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A8B" w:rsidRPr="00A05A09" w:rsidRDefault="009D2A19" w:rsidP="009D2A19">
      <w:pPr>
        <w:pStyle w:val="Chapter"/>
        <w:ind w:left="907" w:hanging="907"/>
      </w:pPr>
      <w:bookmarkStart w:id="0" w:name="ChapterNumber"/>
      <w:r>
        <w:t>9</w:t>
      </w:r>
      <w:bookmarkEnd w:id="0"/>
      <w:r>
        <w:tab/>
      </w:r>
      <w:bookmarkStart w:id="1" w:name="ChapterTitle"/>
      <w:r>
        <w:t>Fire and ambulance services</w:t>
      </w:r>
      <w:bookmarkEnd w:id="1"/>
    </w:p>
    <w:p w:rsidR="00986A8B" w:rsidRPr="00B56AE2" w:rsidRDefault="00986A8B" w:rsidP="00ED547A">
      <w:pPr>
        <w:pStyle w:val="TOC2"/>
        <w:ind w:left="567"/>
        <w:rPr>
          <w:b/>
        </w:rPr>
      </w:pPr>
      <w:r w:rsidRPr="00B56AE2">
        <w:rPr>
          <w:b/>
        </w:rPr>
        <w:t>CONTENTS</w:t>
      </w:r>
    </w:p>
    <w:p w:rsidR="00B56AE2" w:rsidRDefault="00B56AE2" w:rsidP="00B56AE2">
      <w:pPr>
        <w:pStyle w:val="TOC2"/>
        <w:tabs>
          <w:tab w:val="left" w:pos="1134"/>
        </w:tabs>
        <w:rPr>
          <w:noProof/>
        </w:rPr>
      </w:pPr>
      <w:r>
        <w:rPr>
          <w:noProof/>
        </w:rPr>
        <w:t>9.1</w:t>
      </w:r>
      <w:r>
        <w:rPr>
          <w:rFonts w:asciiTheme="minorHAnsi" w:eastAsiaTheme="minorEastAsia" w:hAnsiTheme="minorHAnsi" w:cstheme="minorBidi"/>
          <w:noProof/>
          <w:sz w:val="22"/>
          <w:szCs w:val="22"/>
          <w:lang w:eastAsia="en-AU"/>
        </w:rPr>
        <w:tab/>
      </w:r>
      <w:r w:rsidRPr="00436779">
        <w:rPr>
          <w:noProof/>
        </w:rPr>
        <w:t>Profile of emergency services for fire events</w:t>
      </w:r>
      <w:r>
        <w:rPr>
          <w:noProof/>
        </w:rPr>
        <w:tab/>
        <w:t>9.2</w:t>
      </w:r>
    </w:p>
    <w:p w:rsidR="00B56AE2" w:rsidRDefault="00B56AE2" w:rsidP="00B56AE2">
      <w:pPr>
        <w:pStyle w:val="TOC2"/>
        <w:tabs>
          <w:tab w:val="left" w:pos="1134"/>
        </w:tabs>
        <w:rPr>
          <w:noProof/>
        </w:rPr>
      </w:pPr>
      <w:r>
        <w:rPr>
          <w:noProof/>
        </w:rPr>
        <w:t>9.2</w:t>
      </w:r>
      <w:r>
        <w:rPr>
          <w:noProof/>
        </w:rPr>
        <w:tab/>
        <w:t>Framework of performance indicators for fire events</w:t>
      </w:r>
      <w:r>
        <w:rPr>
          <w:noProof/>
        </w:rPr>
        <w:tab/>
        <w:t>9.5</w:t>
      </w:r>
    </w:p>
    <w:p w:rsidR="00B56AE2" w:rsidRDefault="00B56AE2" w:rsidP="00B56AE2">
      <w:pPr>
        <w:pStyle w:val="TOC2"/>
        <w:tabs>
          <w:tab w:val="left" w:pos="1134"/>
        </w:tabs>
        <w:rPr>
          <w:noProof/>
          <w:webHidden/>
        </w:rPr>
      </w:pPr>
      <w:r>
        <w:rPr>
          <w:noProof/>
        </w:rPr>
        <w:t>9.3</w:t>
      </w:r>
      <w:r>
        <w:rPr>
          <w:noProof/>
        </w:rPr>
        <w:tab/>
      </w:r>
      <w:r w:rsidRPr="00436779">
        <w:rPr>
          <w:noProof/>
        </w:rPr>
        <w:t>Key performance indicator results for fire events</w:t>
      </w:r>
      <w:r>
        <w:rPr>
          <w:noProof/>
        </w:rPr>
        <w:tab/>
      </w:r>
      <w:r>
        <w:rPr>
          <w:noProof/>
          <w:webHidden/>
        </w:rPr>
        <w:t>9.7</w:t>
      </w:r>
    </w:p>
    <w:p w:rsidR="00B56AE2" w:rsidRDefault="00B56AE2" w:rsidP="00B56AE2">
      <w:pPr>
        <w:pStyle w:val="TOC2"/>
        <w:tabs>
          <w:tab w:val="left" w:pos="1134"/>
        </w:tabs>
        <w:rPr>
          <w:noProof/>
          <w:webHidden/>
        </w:rPr>
      </w:pPr>
      <w:r>
        <w:rPr>
          <w:noProof/>
          <w:webHidden/>
        </w:rPr>
        <w:t>9.4</w:t>
      </w:r>
      <w:r w:rsidRPr="00B56AE2">
        <w:rPr>
          <w:noProof/>
        </w:rPr>
        <w:t xml:space="preserve"> </w:t>
      </w:r>
      <w:r>
        <w:rPr>
          <w:noProof/>
        </w:rPr>
        <w:tab/>
      </w:r>
      <w:r w:rsidRPr="00436779">
        <w:rPr>
          <w:noProof/>
        </w:rPr>
        <w:t>Profile of emergency services for ambulance events</w:t>
      </w:r>
      <w:r>
        <w:rPr>
          <w:noProof/>
        </w:rPr>
        <w:tab/>
      </w:r>
      <w:r>
        <w:rPr>
          <w:noProof/>
          <w:webHidden/>
        </w:rPr>
        <w:t>9.39</w:t>
      </w:r>
    </w:p>
    <w:p w:rsidR="00B56AE2" w:rsidRDefault="00B56AE2" w:rsidP="00B56AE2">
      <w:pPr>
        <w:pStyle w:val="TOC2"/>
        <w:tabs>
          <w:tab w:val="left" w:pos="1134"/>
        </w:tabs>
        <w:rPr>
          <w:noProof/>
          <w:webHidden/>
        </w:rPr>
      </w:pPr>
      <w:r>
        <w:rPr>
          <w:noProof/>
          <w:webHidden/>
        </w:rPr>
        <w:t>9.5</w:t>
      </w:r>
      <w:r>
        <w:rPr>
          <w:noProof/>
          <w:webHidden/>
        </w:rPr>
        <w:tab/>
      </w:r>
      <w:r w:rsidRPr="00436779">
        <w:rPr>
          <w:noProof/>
        </w:rPr>
        <w:t>Framework of performance indicators for ambulance events</w:t>
      </w:r>
      <w:r>
        <w:rPr>
          <w:noProof/>
        </w:rPr>
        <w:t xml:space="preserve"> </w:t>
      </w:r>
      <w:r>
        <w:rPr>
          <w:noProof/>
        </w:rPr>
        <w:tab/>
      </w:r>
      <w:r>
        <w:rPr>
          <w:noProof/>
          <w:webHidden/>
        </w:rPr>
        <w:t>9.43</w:t>
      </w:r>
    </w:p>
    <w:p w:rsidR="00B56AE2" w:rsidRDefault="00B56AE2" w:rsidP="00B56AE2">
      <w:pPr>
        <w:pStyle w:val="TOC2"/>
        <w:tabs>
          <w:tab w:val="left" w:pos="1134"/>
        </w:tabs>
        <w:rPr>
          <w:noProof/>
          <w:webHidden/>
        </w:rPr>
      </w:pPr>
      <w:r>
        <w:rPr>
          <w:noProof/>
          <w:webHidden/>
        </w:rPr>
        <w:t>9.6</w:t>
      </w:r>
      <w:r>
        <w:rPr>
          <w:noProof/>
          <w:webHidden/>
        </w:rPr>
        <w:tab/>
        <w:t>Key performance indicator results for ambulance events</w:t>
      </w:r>
      <w:r>
        <w:rPr>
          <w:noProof/>
          <w:webHidden/>
        </w:rPr>
        <w:tab/>
        <w:t>9.46</w:t>
      </w:r>
    </w:p>
    <w:p w:rsidR="00B56AE2" w:rsidRDefault="00B56AE2" w:rsidP="00B56AE2">
      <w:pPr>
        <w:pStyle w:val="TOC2"/>
        <w:tabs>
          <w:tab w:val="left" w:pos="1134"/>
        </w:tabs>
        <w:rPr>
          <w:noProof/>
          <w:webHidden/>
        </w:rPr>
      </w:pPr>
      <w:r>
        <w:rPr>
          <w:noProof/>
          <w:webHidden/>
        </w:rPr>
        <w:t>9.7</w:t>
      </w:r>
      <w:r>
        <w:rPr>
          <w:noProof/>
          <w:webHidden/>
        </w:rPr>
        <w:tab/>
        <w:t>Future directions in performance reporting</w:t>
      </w:r>
      <w:r>
        <w:rPr>
          <w:noProof/>
          <w:webHidden/>
        </w:rPr>
        <w:tab/>
        <w:t>9.76</w:t>
      </w:r>
    </w:p>
    <w:p w:rsidR="00B56AE2" w:rsidRDefault="00B56AE2" w:rsidP="00B56AE2">
      <w:pPr>
        <w:pStyle w:val="TOC2"/>
        <w:tabs>
          <w:tab w:val="left" w:pos="1134"/>
        </w:tabs>
        <w:rPr>
          <w:noProof/>
          <w:webHidden/>
        </w:rPr>
      </w:pPr>
      <w:r>
        <w:rPr>
          <w:noProof/>
          <w:webHidden/>
        </w:rPr>
        <w:t>9.8</w:t>
      </w:r>
      <w:r>
        <w:rPr>
          <w:noProof/>
          <w:webHidden/>
        </w:rPr>
        <w:tab/>
      </w:r>
      <w:r w:rsidRPr="00436779">
        <w:rPr>
          <w:noProof/>
        </w:rPr>
        <w:t>Jurisdictions’ comments</w:t>
      </w:r>
      <w:r>
        <w:rPr>
          <w:noProof/>
        </w:rPr>
        <w:tab/>
      </w:r>
      <w:r>
        <w:rPr>
          <w:noProof/>
          <w:webHidden/>
        </w:rPr>
        <w:t>9.77</w:t>
      </w:r>
    </w:p>
    <w:p w:rsidR="00B56AE2" w:rsidRDefault="00B56AE2" w:rsidP="00B56AE2">
      <w:pPr>
        <w:pStyle w:val="TOC2"/>
        <w:tabs>
          <w:tab w:val="left" w:pos="1134"/>
        </w:tabs>
        <w:rPr>
          <w:noProof/>
          <w:webHidden/>
        </w:rPr>
      </w:pPr>
      <w:r>
        <w:rPr>
          <w:noProof/>
          <w:webHidden/>
        </w:rPr>
        <w:t>9.9</w:t>
      </w:r>
      <w:r>
        <w:rPr>
          <w:noProof/>
          <w:webHidden/>
        </w:rPr>
        <w:tab/>
      </w:r>
      <w:r w:rsidRPr="00436779">
        <w:rPr>
          <w:noProof/>
        </w:rPr>
        <w:t>Definitions of key terms</w:t>
      </w:r>
      <w:r>
        <w:rPr>
          <w:noProof/>
        </w:rPr>
        <w:tab/>
      </w:r>
      <w:r>
        <w:rPr>
          <w:noProof/>
          <w:webHidden/>
        </w:rPr>
        <w:t>9.86</w:t>
      </w:r>
    </w:p>
    <w:p w:rsidR="00B56AE2" w:rsidRDefault="00B56AE2" w:rsidP="00B56AE2">
      <w:pPr>
        <w:pStyle w:val="TOC2"/>
        <w:tabs>
          <w:tab w:val="left" w:pos="1134"/>
        </w:tabs>
        <w:rPr>
          <w:noProof/>
          <w:webHidden/>
        </w:rPr>
      </w:pPr>
      <w:r>
        <w:rPr>
          <w:noProof/>
          <w:webHidden/>
        </w:rPr>
        <w:t>9.10</w:t>
      </w:r>
      <w:r>
        <w:rPr>
          <w:noProof/>
          <w:webHidden/>
        </w:rPr>
        <w:tab/>
        <w:t>List of attachment tables</w:t>
      </w:r>
      <w:r>
        <w:rPr>
          <w:noProof/>
          <w:webHidden/>
        </w:rPr>
        <w:tab/>
        <w:t>9.87</w:t>
      </w:r>
    </w:p>
    <w:p w:rsidR="00B56AE2" w:rsidRDefault="00B56AE2" w:rsidP="00B56AE2">
      <w:pPr>
        <w:pStyle w:val="TOC2"/>
        <w:tabs>
          <w:tab w:val="left" w:pos="1134"/>
        </w:tabs>
        <w:rPr>
          <w:noProof/>
          <w:webHidden/>
        </w:rPr>
      </w:pPr>
      <w:r>
        <w:rPr>
          <w:noProof/>
          <w:webHidden/>
        </w:rPr>
        <w:t>9.11</w:t>
      </w:r>
      <w:r>
        <w:rPr>
          <w:noProof/>
          <w:webHidden/>
        </w:rPr>
        <w:tab/>
        <w:t>References</w:t>
      </w:r>
      <w:r>
        <w:rPr>
          <w:noProof/>
          <w:webHidden/>
        </w:rPr>
        <w:tab/>
        <w:t>9.89</w:t>
      </w:r>
    </w:p>
    <w:p w:rsidR="00861170" w:rsidRDefault="00861170" w:rsidP="00861170">
      <w:pPr>
        <w:pStyle w:val="BoxSpace"/>
        <w:ind w:left="567"/>
      </w:pPr>
      <w:bookmarkStart w:id="2" w:name="begin"/>
      <w:bookmarkEnd w:id="2"/>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61170" w:rsidTr="00EC7BE9">
        <w:tc>
          <w:tcPr>
            <w:tcW w:w="8771" w:type="dxa"/>
            <w:tcBorders>
              <w:top w:val="single" w:sz="6" w:space="0" w:color="78A22F"/>
              <w:left w:val="nil"/>
              <w:bottom w:val="nil"/>
              <w:right w:val="nil"/>
            </w:tcBorders>
            <w:shd w:val="clear" w:color="auto" w:fill="F2F2F2"/>
          </w:tcPr>
          <w:p w:rsidR="00861170" w:rsidRDefault="00861170" w:rsidP="00861170">
            <w:pPr>
              <w:pStyle w:val="BoxTitle"/>
            </w:pPr>
            <w:r>
              <w:t>Attachment tables</w:t>
            </w:r>
          </w:p>
        </w:tc>
      </w:tr>
      <w:tr w:rsidR="00861170" w:rsidTr="00EC7BE9">
        <w:trPr>
          <w:cantSplit/>
        </w:trPr>
        <w:tc>
          <w:tcPr>
            <w:tcW w:w="8771" w:type="dxa"/>
            <w:tcBorders>
              <w:top w:val="nil"/>
              <w:left w:val="nil"/>
              <w:bottom w:val="nil"/>
              <w:right w:val="nil"/>
            </w:tcBorders>
            <w:shd w:val="clear" w:color="auto" w:fill="F2F2F2"/>
          </w:tcPr>
          <w:p w:rsidR="00861170" w:rsidRDefault="00861170" w:rsidP="00861170">
            <w:pPr>
              <w:pStyle w:val="Box"/>
            </w:pPr>
            <w:r w:rsidRPr="00861170">
              <w:t>Attachment tables are identified in references throughout this chapter by a ‘</w:t>
            </w:r>
            <w:r>
              <w:t>9</w:t>
            </w:r>
            <w:r w:rsidRPr="00861170">
              <w:t xml:space="preserve">A’ prefix (for example, table </w:t>
            </w:r>
            <w:r>
              <w:t>9</w:t>
            </w:r>
            <w:r w:rsidRPr="00861170">
              <w:t>A.1). A full list of attachment tables is provided at the end of this chapter, and the attachment tables are available from the Review website at www.pc.gov.au/gsp.</w:t>
            </w:r>
          </w:p>
        </w:tc>
      </w:tr>
      <w:tr w:rsidR="00861170" w:rsidTr="00EC7BE9">
        <w:trPr>
          <w:cantSplit/>
        </w:trPr>
        <w:tc>
          <w:tcPr>
            <w:tcW w:w="8771" w:type="dxa"/>
            <w:tcBorders>
              <w:top w:val="nil"/>
              <w:left w:val="nil"/>
              <w:bottom w:val="single" w:sz="6" w:space="0" w:color="78A22F"/>
              <w:right w:val="nil"/>
            </w:tcBorders>
            <w:shd w:val="clear" w:color="auto" w:fill="F2F2F2"/>
          </w:tcPr>
          <w:p w:rsidR="00861170" w:rsidRDefault="00861170">
            <w:pPr>
              <w:pStyle w:val="Box"/>
              <w:spacing w:before="0" w:line="120" w:lineRule="exact"/>
            </w:pPr>
          </w:p>
        </w:tc>
      </w:tr>
      <w:tr w:rsidR="00861170" w:rsidRPr="000863A5" w:rsidTr="00EC7BE9">
        <w:tc>
          <w:tcPr>
            <w:tcW w:w="8771" w:type="dxa"/>
            <w:tcBorders>
              <w:top w:val="single" w:sz="6" w:space="0" w:color="78A22F"/>
              <w:left w:val="nil"/>
              <w:bottom w:val="nil"/>
              <w:right w:val="nil"/>
            </w:tcBorders>
          </w:tcPr>
          <w:p w:rsidR="00861170" w:rsidRPr="00626D32" w:rsidRDefault="00861170" w:rsidP="00EC7BE9">
            <w:pPr>
              <w:pStyle w:val="BoxSpaceBelow"/>
            </w:pPr>
          </w:p>
        </w:tc>
      </w:tr>
    </w:tbl>
    <w:p w:rsidR="00986A8B" w:rsidRPr="00B42B18" w:rsidRDefault="00986A8B" w:rsidP="00986A8B">
      <w:pPr>
        <w:pStyle w:val="BodyText"/>
      </w:pPr>
      <w:r w:rsidRPr="00B603C3">
        <w:t xml:space="preserve">This chapter reports on </w:t>
      </w:r>
      <w:r w:rsidR="00076DEF">
        <w:t>government</w:t>
      </w:r>
      <w:r w:rsidR="00516CD2">
        <w:t xml:space="preserve"> services for </w:t>
      </w:r>
      <w:r w:rsidRPr="00B603C3">
        <w:t>fire</w:t>
      </w:r>
      <w:r w:rsidR="00516CD2">
        <w:t xml:space="preserve"> events and emergency </w:t>
      </w:r>
      <w:r w:rsidRPr="00B603C3">
        <w:t xml:space="preserve">ambulance </w:t>
      </w:r>
      <w:r w:rsidR="009146BF">
        <w:t>events</w:t>
      </w:r>
      <w:r w:rsidR="00516CD2">
        <w:t xml:space="preserve"> </w:t>
      </w:r>
      <w:r w:rsidRPr="00B603C3">
        <w:t>(pre</w:t>
      </w:r>
      <w:r w:rsidRPr="00B603C3">
        <w:noBreakHyphen/>
        <w:t>hospital care, treatment and transport)</w:t>
      </w:r>
      <w:r w:rsidRPr="00B42B18">
        <w:t>. Information regarding the policy context, scope, profile</w:t>
      </w:r>
      <w:r>
        <w:t>,</w:t>
      </w:r>
      <w:r w:rsidRPr="00B42B18">
        <w:t xml:space="preserve"> social and economic factors, and objectives of the emergency management sector (and related data) are included in the Emergency management sector </w:t>
      </w:r>
      <w:r w:rsidR="00B115F4">
        <w:t>overview (sector overview D)</w:t>
      </w:r>
      <w:r w:rsidRPr="00B42B18">
        <w:t>.</w:t>
      </w:r>
    </w:p>
    <w:p w:rsidR="00986A8B" w:rsidRDefault="00B115F4" w:rsidP="00986A8B">
      <w:pPr>
        <w:pStyle w:val="BodyText"/>
      </w:pPr>
      <w:r>
        <w:t>M</w:t>
      </w:r>
      <w:r w:rsidR="00986A8B">
        <w:t xml:space="preserve">ajor improvements </w:t>
      </w:r>
      <w:r>
        <w:t>in</w:t>
      </w:r>
      <w:r w:rsidR="00986A8B">
        <w:t xml:space="preserve"> reporting </w:t>
      </w:r>
      <w:r>
        <w:t>on</w:t>
      </w:r>
      <w:r w:rsidR="00986A8B">
        <w:t xml:space="preserve"> </w:t>
      </w:r>
      <w:r>
        <w:t xml:space="preserve">fire </w:t>
      </w:r>
      <w:r w:rsidR="00986A8B">
        <w:t xml:space="preserve">and ambulance </w:t>
      </w:r>
      <w:r w:rsidR="00516CD2">
        <w:t xml:space="preserve">services </w:t>
      </w:r>
      <w:r>
        <w:t xml:space="preserve">in this edition </w:t>
      </w:r>
      <w:r w:rsidR="00986A8B">
        <w:t>include:</w:t>
      </w:r>
    </w:p>
    <w:p w:rsidR="00510A3E" w:rsidRDefault="00510A3E" w:rsidP="00510A3E">
      <w:pPr>
        <w:pStyle w:val="ListBullet"/>
      </w:pPr>
      <w:r>
        <w:t xml:space="preserve">a new </w:t>
      </w:r>
      <w:r w:rsidR="00C323EE">
        <w:t xml:space="preserve">output </w:t>
      </w:r>
      <w:r>
        <w:t>indicator for the fire events performance indicator framework</w:t>
      </w:r>
      <w:r w:rsidR="00231063">
        <w:t xml:space="preserve"> —</w:t>
      </w:r>
      <w:r>
        <w:t xml:space="preserve"> </w:t>
      </w:r>
      <w:r w:rsidR="00231063">
        <w:t>firefighter workforce —</w:t>
      </w:r>
      <w:r>
        <w:t xml:space="preserve"> which provides information on fire service organisations’ </w:t>
      </w:r>
      <w:r w:rsidR="00231063">
        <w:t xml:space="preserve">human resource </w:t>
      </w:r>
      <w:r>
        <w:t>preparedness for fire events</w:t>
      </w:r>
    </w:p>
    <w:p w:rsidR="00510A3E" w:rsidRDefault="00510A3E" w:rsidP="00510A3E">
      <w:pPr>
        <w:pStyle w:val="ListBullet"/>
      </w:pPr>
      <w:r>
        <w:lastRenderedPageBreak/>
        <w:t xml:space="preserve">a new </w:t>
      </w:r>
      <w:r w:rsidR="00C323EE">
        <w:t xml:space="preserve">output </w:t>
      </w:r>
      <w:r>
        <w:t>indicator for the ambulance events performance indicator framework</w:t>
      </w:r>
      <w:r w:rsidR="00231063">
        <w:t xml:space="preserve"> — p</w:t>
      </w:r>
      <w:r>
        <w:t>aramedics in training</w:t>
      </w:r>
      <w:r w:rsidR="00231063">
        <w:t xml:space="preserve"> —</w:t>
      </w:r>
      <w:r>
        <w:t xml:space="preserve"> which complements the existing indicators of workforce sustainability and will be measured by </w:t>
      </w:r>
      <w:r w:rsidR="00231063">
        <w:t>e</w:t>
      </w:r>
      <w:r>
        <w:t>nrolments in accred</w:t>
      </w:r>
      <w:r w:rsidR="00231063">
        <w:t>ited paramedic training courses</w:t>
      </w:r>
    </w:p>
    <w:p w:rsidR="00510A3E" w:rsidRDefault="00510A3E" w:rsidP="00510A3E">
      <w:pPr>
        <w:pStyle w:val="ListBullet"/>
      </w:pPr>
      <w:r>
        <w:t>a mini</w:t>
      </w:r>
      <w:r w:rsidR="0026487F">
        <w:noBreakHyphen/>
      </w:r>
      <w:r>
        <w:t>case study which identifies strategies implemented by the ACT Ambulance Service to enable more effective management of increased demand for services, leading to a positive impact on response times at the 50th and 90th percentile.</w:t>
      </w:r>
    </w:p>
    <w:p w:rsidR="00986A8B" w:rsidRDefault="00CB0FE1" w:rsidP="00986A8B">
      <w:pPr>
        <w:pStyle w:val="Heading2"/>
      </w:pPr>
      <w:bookmarkStart w:id="3" w:name="_Toc370724851"/>
      <w:r>
        <w:t>9.</w:t>
      </w:r>
      <w:r w:rsidR="00D52162">
        <w:rPr>
          <w:noProof/>
        </w:rPr>
        <w:t>1</w:t>
      </w:r>
      <w:r w:rsidR="00986A8B">
        <w:tab/>
      </w:r>
      <w:r w:rsidR="00986A8B" w:rsidRPr="00A05A09">
        <w:t xml:space="preserve">Profile of </w:t>
      </w:r>
      <w:r w:rsidR="00986A8B">
        <w:t>e</w:t>
      </w:r>
      <w:r w:rsidR="00986A8B" w:rsidRPr="00FF7415">
        <w:t>mergency services for fire events</w:t>
      </w:r>
      <w:bookmarkEnd w:id="3"/>
    </w:p>
    <w:p w:rsidR="00986A8B" w:rsidRPr="00A05A09" w:rsidRDefault="00986A8B" w:rsidP="00986A8B">
      <w:pPr>
        <w:pStyle w:val="BodyText"/>
      </w:pPr>
      <w:r w:rsidRPr="00A05A09">
        <w:t>A fire event is an incident that is reported to a fire service organisation and requires a response. Fire events include (but are not limited to):</w:t>
      </w:r>
    </w:p>
    <w:p w:rsidR="00986A8B" w:rsidRPr="00A05A09" w:rsidRDefault="00986A8B" w:rsidP="00986A8B">
      <w:pPr>
        <w:pStyle w:val="ListBullet"/>
      </w:pPr>
      <w:r w:rsidRPr="00A05A09">
        <w:t>structure fires (that is, fires inside a building or structure), regardless of whether there is damage to the structure</w:t>
      </w:r>
    </w:p>
    <w:p w:rsidR="00986A8B" w:rsidRPr="00A05A09" w:rsidRDefault="00986A8B" w:rsidP="00986A8B">
      <w:pPr>
        <w:pStyle w:val="ListBullet"/>
      </w:pPr>
      <w:r w:rsidRPr="00A05A09">
        <w:t>landscape fires, including bushfires and grass fires, regardless of the size of the area burnt</w:t>
      </w:r>
    </w:p>
    <w:p w:rsidR="00986A8B" w:rsidRPr="00A05A09" w:rsidRDefault="00986A8B" w:rsidP="00986A8B">
      <w:pPr>
        <w:pStyle w:val="ListBullet"/>
      </w:pPr>
      <w:r w:rsidRPr="00A05A09">
        <w:t>other fires, including vehicle and other mobile property fires, and outside rubbish fires.</w:t>
      </w:r>
    </w:p>
    <w:p w:rsidR="004F5C77" w:rsidRPr="002605A8" w:rsidRDefault="004F5C77" w:rsidP="004F5C77">
      <w:pPr>
        <w:pStyle w:val="Heading3"/>
      </w:pPr>
      <w:r w:rsidRPr="00A90E73">
        <w:t>Fire service organisations</w:t>
      </w:r>
    </w:p>
    <w:p w:rsidR="0042396D" w:rsidRPr="004E7F30" w:rsidRDefault="00986A8B" w:rsidP="0042396D">
      <w:pPr>
        <w:pStyle w:val="BodyText"/>
      </w:pPr>
      <w:r w:rsidRPr="004E7F30">
        <w:t xml:space="preserve">Fire service organisations are the primary agencies involved in providing emergency management services for fire events. </w:t>
      </w:r>
      <w:r w:rsidR="0042023D" w:rsidRPr="004E7F30">
        <w:t xml:space="preserve">The role of fire service organisations varies </w:t>
      </w:r>
      <w:r w:rsidR="00A75EE4">
        <w:t xml:space="preserve">across jurisdictions </w:t>
      </w:r>
      <w:r w:rsidR="0042023D" w:rsidRPr="004E7F30">
        <w:t>but commonly includes prevention/mitigation, preparedness, response and recovery activities</w:t>
      </w:r>
      <w:r w:rsidR="00A75EE4">
        <w:t xml:space="preserve"> and </w:t>
      </w:r>
      <w:r w:rsidR="0042023D" w:rsidRPr="004E7F30">
        <w:t>services for each jurisdiction (</w:t>
      </w:r>
      <w:r w:rsidR="005D4A56" w:rsidRPr="004E7F30">
        <w:t>table</w:t>
      </w:r>
      <w:r w:rsidR="00243CD6">
        <w:t> </w:t>
      </w:r>
      <w:r w:rsidR="00A343B0">
        <w:t>9</w:t>
      </w:r>
      <w:r w:rsidR="005D4A56" w:rsidRPr="004E7F30">
        <w:t>A</w:t>
      </w:r>
      <w:r w:rsidR="0042023D" w:rsidRPr="004E7F30">
        <w:t>.</w:t>
      </w:r>
      <w:r w:rsidR="00A343B0">
        <w:t>1</w:t>
      </w:r>
      <w:r w:rsidR="0042023D" w:rsidRPr="004E7F30">
        <w:t xml:space="preserve">). </w:t>
      </w:r>
      <w:r w:rsidR="0042396D" w:rsidRPr="004E7F30">
        <w:t>The full range of activities include:</w:t>
      </w:r>
    </w:p>
    <w:p w:rsidR="0042023D" w:rsidRPr="004E7F30" w:rsidRDefault="0042023D" w:rsidP="0042396D">
      <w:pPr>
        <w:pStyle w:val="ListBullet"/>
      </w:pPr>
      <w:r w:rsidRPr="004E7F30">
        <w:t>developing building fire safety codes and inspecting fire safety equipment and practices</w:t>
      </w:r>
    </w:p>
    <w:p w:rsidR="0042023D" w:rsidRPr="004E7F30" w:rsidRDefault="0042023D" w:rsidP="0042023D">
      <w:pPr>
        <w:pStyle w:val="ListBullet"/>
      </w:pPr>
      <w:r w:rsidRPr="004E7F30">
        <w:t>training and educating the community to achieve community awareness and behavioural change in relation to fire and road safety issues</w:t>
      </w:r>
    </w:p>
    <w:p w:rsidR="0042023D" w:rsidRPr="004E7F30" w:rsidRDefault="0042023D" w:rsidP="0042023D">
      <w:pPr>
        <w:pStyle w:val="ListBullet"/>
      </w:pPr>
      <w:r w:rsidRPr="004E7F30">
        <w:t>assisting individuals and communities to prepare for bushfires and other hazards</w:t>
      </w:r>
    </w:p>
    <w:p w:rsidR="0042023D" w:rsidRPr="004E7F30" w:rsidRDefault="0042023D" w:rsidP="0042023D">
      <w:pPr>
        <w:pStyle w:val="ListBullet"/>
      </w:pPr>
      <w:r w:rsidRPr="004E7F30">
        <w:t>responding to structure, bush, vehicle and other fires</w:t>
      </w:r>
    </w:p>
    <w:p w:rsidR="0042023D" w:rsidRPr="004E7F30" w:rsidRDefault="0042023D" w:rsidP="0042023D">
      <w:pPr>
        <w:pStyle w:val="ListBullet"/>
      </w:pPr>
      <w:r w:rsidRPr="004E7F30">
        <w:t>providing rural land management advice on the role and use of fire</w:t>
      </w:r>
    </w:p>
    <w:p w:rsidR="0042023D" w:rsidRPr="004E7F30" w:rsidRDefault="0042023D" w:rsidP="0042023D">
      <w:pPr>
        <w:pStyle w:val="ListBullet"/>
      </w:pPr>
      <w:r w:rsidRPr="004E7F30">
        <w:t xml:space="preserve">providing road crash rescue and other rescue services </w:t>
      </w:r>
    </w:p>
    <w:p w:rsidR="0042023D" w:rsidRPr="004E7F30" w:rsidRDefault="0042023D" w:rsidP="0042023D">
      <w:pPr>
        <w:pStyle w:val="ListBullet"/>
      </w:pPr>
      <w:r w:rsidRPr="004E7F30">
        <w:t>managing hazardous material incidents</w:t>
      </w:r>
    </w:p>
    <w:p w:rsidR="0042023D" w:rsidRPr="004E7F30" w:rsidRDefault="0042023D" w:rsidP="0042023D">
      <w:pPr>
        <w:pStyle w:val="ListBullet"/>
      </w:pPr>
      <w:r w:rsidRPr="004E7F30">
        <w:t>administering legislation relating to fire safety, hazardous materials facilities and hazard mitigation</w:t>
      </w:r>
    </w:p>
    <w:p w:rsidR="0042023D" w:rsidRPr="004E7F30" w:rsidRDefault="0042023D" w:rsidP="0042023D">
      <w:pPr>
        <w:pStyle w:val="ListBullet"/>
      </w:pPr>
      <w:r w:rsidRPr="004E7F30">
        <w:t>investigating fire cause and origin</w:t>
      </w:r>
    </w:p>
    <w:p w:rsidR="0042023D" w:rsidRPr="004E7F30" w:rsidRDefault="005F0C77" w:rsidP="0042023D">
      <w:pPr>
        <w:pStyle w:val="ListBullet"/>
      </w:pPr>
      <w:r>
        <w:t xml:space="preserve">providing </w:t>
      </w:r>
      <w:r w:rsidR="0042023D" w:rsidRPr="004E7F30">
        <w:t>specialist rescue capabilities, including Urban Search and Rescue</w:t>
      </w:r>
    </w:p>
    <w:p w:rsidR="0042023D" w:rsidRPr="004E7F30" w:rsidRDefault="0042023D" w:rsidP="0042023D">
      <w:pPr>
        <w:pStyle w:val="ListBullet"/>
      </w:pPr>
      <w:r w:rsidRPr="004E7F30">
        <w:lastRenderedPageBreak/>
        <w:t>providing emergency medical services such as Community First Responder</w:t>
      </w:r>
    </w:p>
    <w:p w:rsidR="00986A8B" w:rsidRPr="004E7F30" w:rsidRDefault="0042023D" w:rsidP="0042023D">
      <w:pPr>
        <w:pStyle w:val="ListBullet"/>
      </w:pPr>
      <w:r w:rsidRPr="004E7F30">
        <w:t>counter</w:t>
      </w:r>
      <w:r w:rsidR="00CC7814">
        <w:noBreakHyphen/>
      </w:r>
      <w:r w:rsidRPr="004E7F30">
        <w:t>terrorist preparedness work with police agencies and consequence management relating to a terrorist attack.</w:t>
      </w:r>
    </w:p>
    <w:p w:rsidR="00E179C3" w:rsidRPr="004E7F30" w:rsidRDefault="00E179C3" w:rsidP="00D76A99">
      <w:pPr>
        <w:pStyle w:val="BodyText"/>
      </w:pPr>
      <w:r>
        <w:t xml:space="preserve">Each jurisdiction operates </w:t>
      </w:r>
      <w:r w:rsidR="001C2413">
        <w:t>multiple</w:t>
      </w:r>
      <w:r>
        <w:t xml:space="preserve"> fire service agencies, </w:t>
      </w:r>
      <w:r w:rsidR="00CC618E">
        <w:t>which service</w:t>
      </w:r>
      <w:r>
        <w:t xml:space="preserve"> different populations and </w:t>
      </w:r>
      <w:r w:rsidRPr="004E7F30">
        <w:t>geographic area</w:t>
      </w:r>
      <w:r>
        <w:t xml:space="preserve"> according to specified </w:t>
      </w:r>
      <w:r w:rsidRPr="004E7F30">
        <w:t>governance arrangements (table 9A.</w:t>
      </w:r>
      <w:r>
        <w:t>2</w:t>
      </w:r>
      <w:r w:rsidRPr="004E7F30">
        <w:t>)</w:t>
      </w:r>
      <w:r w:rsidR="001C2413">
        <w:t>. S</w:t>
      </w:r>
      <w:r w:rsidR="0042396D" w:rsidRPr="004E7F30">
        <w:t xml:space="preserve">eparate urban and rural fire service </w:t>
      </w:r>
      <w:r w:rsidR="00B649B9">
        <w:t xml:space="preserve">agencies </w:t>
      </w:r>
      <w:r w:rsidR="0042396D" w:rsidRPr="004E7F30">
        <w:t xml:space="preserve">deliver fire services in most jurisdictions. </w:t>
      </w:r>
      <w:r w:rsidR="007412CE" w:rsidRPr="00CC618E">
        <w:t xml:space="preserve">In addition, land </w:t>
      </w:r>
      <w:r w:rsidR="0042396D" w:rsidRPr="00CC618E">
        <w:t>management agencies provide fire services within designated areas</w:t>
      </w:r>
      <w:r w:rsidR="001C2413" w:rsidRPr="00CC618E">
        <w:t xml:space="preserve"> (for example, in national or state parks)</w:t>
      </w:r>
      <w:r w:rsidR="0042396D" w:rsidRPr="00CC618E">
        <w:t xml:space="preserve">. </w:t>
      </w:r>
      <w:r w:rsidRPr="00CC618E">
        <w:t>However, each jurisdiction allocates the fire service responsibilities of their agencies in different ways — for</w:t>
      </w:r>
      <w:r w:rsidRPr="004E7F30">
        <w:t xml:space="preserve"> example, NSW separates fire services based on service function and geographic area, whereas Victoria separates fire services by geographic area only.</w:t>
      </w:r>
    </w:p>
    <w:p w:rsidR="00986A8B" w:rsidRPr="004E7F30" w:rsidRDefault="00986A8B" w:rsidP="00D76A99">
      <w:pPr>
        <w:pStyle w:val="BodyText"/>
      </w:pPr>
      <w:r w:rsidRPr="004E7F30">
        <w:t>Fire service organisations work closely with other government departments and agencies</w:t>
      </w:r>
      <w:r w:rsidR="00462E6E">
        <w:t xml:space="preserve"> that </w:t>
      </w:r>
      <w:r w:rsidRPr="004E7F30">
        <w:t xml:space="preserve">also have responsibilities in the case of fire events. These include ambulance service organisations, State/Territory Emergency Services, police services, and community services (Emergency management </w:t>
      </w:r>
      <w:r w:rsidR="0095214A" w:rsidRPr="004E7F30">
        <w:t>sector overview</w:t>
      </w:r>
      <w:r w:rsidRPr="004E7F30">
        <w:t xml:space="preserve"> — attachment, table DA.1).</w:t>
      </w:r>
    </w:p>
    <w:p w:rsidR="00E179C3" w:rsidRDefault="00E179C3" w:rsidP="00D76A99">
      <w:pPr>
        <w:pStyle w:val="BodyText"/>
      </w:pPr>
      <w:r w:rsidRPr="00CC618E">
        <w:t>This chapter covers the finances and activities of urban and rural fire service agencies and — for selected tables and jurisdictions — the fire event finances and activities of land management agencies (table 9A.3).</w:t>
      </w:r>
    </w:p>
    <w:p w:rsidR="00986A8B" w:rsidRPr="00D53333" w:rsidRDefault="004F5C77" w:rsidP="00986A8B">
      <w:pPr>
        <w:pStyle w:val="Heading3"/>
      </w:pPr>
      <w:r>
        <w:t>Revenue</w:t>
      </w:r>
      <w:r w:rsidRPr="00A90E73">
        <w:t xml:space="preserve"> and f</w:t>
      </w:r>
      <w:r w:rsidR="00986A8B" w:rsidRPr="00A90E73">
        <w:t>unding</w:t>
      </w:r>
    </w:p>
    <w:p w:rsidR="00986A8B" w:rsidRDefault="00986A8B" w:rsidP="00E04D8D">
      <w:pPr>
        <w:pStyle w:val="BodyText"/>
      </w:pPr>
      <w:r w:rsidRPr="00D53333">
        <w:t xml:space="preserve">Total </w:t>
      </w:r>
      <w:r w:rsidR="004F5C77" w:rsidRPr="00A90E73">
        <w:t>revenue</w:t>
      </w:r>
      <w:r w:rsidRPr="00D53333">
        <w:t xml:space="preserve"> of the fire service organisations covered in this chapter was $</w:t>
      </w:r>
      <w:r w:rsidR="00CB0FE1">
        <w:t>3.6</w:t>
      </w:r>
      <w:r w:rsidRPr="00D53333">
        <w:t xml:space="preserve"> billion in </w:t>
      </w:r>
      <w:r w:rsidR="00BB2B41" w:rsidRPr="00D53333">
        <w:t>201</w:t>
      </w:r>
      <w:r w:rsidR="00FA5D77">
        <w:t>3</w:t>
      </w:r>
      <w:r w:rsidR="00CC7814">
        <w:noBreakHyphen/>
      </w:r>
      <w:r w:rsidR="00BB2B41" w:rsidRPr="00D53333">
        <w:t>1</w:t>
      </w:r>
      <w:r w:rsidR="00FA5D77">
        <w:t>4</w:t>
      </w:r>
      <w:r w:rsidR="00482709">
        <w:t xml:space="preserve">. </w:t>
      </w:r>
      <w:r w:rsidRPr="00D53333">
        <w:t xml:space="preserve">Real </w:t>
      </w:r>
      <w:r w:rsidR="004F5C77" w:rsidRPr="00A90E73">
        <w:t>revenue</w:t>
      </w:r>
      <w:r w:rsidR="004F5C77" w:rsidRPr="00D53333">
        <w:t xml:space="preserve"> </w:t>
      </w:r>
      <w:r w:rsidR="004F5C77">
        <w:t>of</w:t>
      </w:r>
      <w:r w:rsidRPr="00D53333">
        <w:t xml:space="preserve"> fire service organisations grew, on average</w:t>
      </w:r>
      <w:r w:rsidR="00923F0B" w:rsidRPr="00D53333">
        <w:t xml:space="preserve">, </w:t>
      </w:r>
      <w:r w:rsidR="00482709">
        <w:t>3.6</w:t>
      </w:r>
      <w:r w:rsidRPr="00D53333">
        <w:t> per cent annually over the period 200</w:t>
      </w:r>
      <w:r w:rsidR="00FA5D77">
        <w:t>9</w:t>
      </w:r>
      <w:r w:rsidRPr="00D53333">
        <w:noBreakHyphen/>
      </w:r>
      <w:r w:rsidR="00FA5D77">
        <w:t>10</w:t>
      </w:r>
      <w:r w:rsidRPr="00D53333">
        <w:t xml:space="preserve"> to </w:t>
      </w:r>
      <w:r w:rsidR="00BB2B41" w:rsidRPr="00D53333">
        <w:t>201</w:t>
      </w:r>
      <w:r w:rsidR="00FA5D77">
        <w:t>3</w:t>
      </w:r>
      <w:r w:rsidR="00CC7814">
        <w:noBreakHyphen/>
      </w:r>
      <w:r w:rsidR="00BB2B41" w:rsidRPr="00D53333">
        <w:t>1</w:t>
      </w:r>
      <w:r w:rsidR="00FA5D77">
        <w:t>4</w:t>
      </w:r>
      <w:r w:rsidR="00C55783">
        <w:t xml:space="preserve"> </w:t>
      </w:r>
      <w:r w:rsidR="00C55783" w:rsidRPr="00D53333">
        <w:t>(table 9.1)</w:t>
      </w:r>
      <w:r w:rsidRPr="00D53333">
        <w:t>. Within this period there are fluctuations for individual jurisdictions</w:t>
      </w:r>
      <w:r w:rsidR="00161540">
        <w:t>, which can result</w:t>
      </w:r>
      <w:r w:rsidRPr="00D53333">
        <w:t xml:space="preserve"> from </w:t>
      </w:r>
      <w:r w:rsidR="00482709">
        <w:t xml:space="preserve">funding </w:t>
      </w:r>
      <w:r w:rsidRPr="00D53333">
        <w:t>related to specific major emergencies</w:t>
      </w:r>
      <w:r w:rsidR="00F53D47">
        <w:t xml:space="preserve"> (see section</w:t>
      </w:r>
      <w:r w:rsidR="00243CD6">
        <w:t> </w:t>
      </w:r>
      <w:r w:rsidR="00F53D47">
        <w:t>9.3)</w:t>
      </w:r>
      <w:r w:rsidRPr="00D53333">
        <w:t xml:space="preserve">. </w:t>
      </w:r>
      <w:r w:rsidR="00482709">
        <w:t xml:space="preserve">It should also be noted that </w:t>
      </w:r>
      <w:r w:rsidR="00F33424">
        <w:t>jurisdictions may fund other fire event services (not provided fire service organisations)</w:t>
      </w:r>
      <w:r w:rsidR="00482709">
        <w:t xml:space="preserve">, </w:t>
      </w:r>
      <w:r w:rsidR="00F33424">
        <w:t xml:space="preserve">on </w:t>
      </w:r>
      <w:r w:rsidR="00482709">
        <w:t xml:space="preserve">which </w:t>
      </w:r>
      <w:r w:rsidR="00F33424">
        <w:t xml:space="preserve">data </w:t>
      </w:r>
      <w:r w:rsidR="00482709">
        <w:t xml:space="preserve">are </w:t>
      </w:r>
      <w:r w:rsidR="00F33424">
        <w:t xml:space="preserve">currently </w:t>
      </w:r>
      <w:r w:rsidR="00482709">
        <w:t>not available.</w:t>
      </w:r>
    </w:p>
    <w:p w:rsidR="00C52DD3" w:rsidRPr="00D53333" w:rsidRDefault="00C52DD3" w:rsidP="00C52DD3">
      <w:pPr>
        <w:pStyle w:val="BodyText"/>
      </w:pPr>
      <w:r w:rsidRPr="00D53333">
        <w:t xml:space="preserve">Fire levies were the primary source of funding in </w:t>
      </w:r>
      <w:r>
        <w:t>most</w:t>
      </w:r>
      <w:r w:rsidRPr="00D53333">
        <w:t xml:space="preserve"> jurisdictions</w:t>
      </w:r>
      <w:r>
        <w:t>.</w:t>
      </w:r>
      <w:r w:rsidRPr="00D53333">
        <w:t xml:space="preserve"> Governments provide the legislative framework for the imposition of fire levies</w:t>
      </w:r>
      <w:r>
        <w:t xml:space="preserve">, which are </w:t>
      </w:r>
      <w:r w:rsidRPr="00D53333">
        <w:t>raised from levies on property owners or, in some jurisdictions, from levies on both insurance companies and property owners (table 9A.</w:t>
      </w:r>
      <w:r>
        <w:t>4</w:t>
      </w:r>
      <w:r w:rsidRPr="00D53333">
        <w:t xml:space="preserve">). </w:t>
      </w:r>
      <w:r>
        <w:t>T</w:t>
      </w:r>
      <w:r w:rsidRPr="00D53333">
        <w:t xml:space="preserve">he ACT and </w:t>
      </w:r>
      <w:r w:rsidR="00E45EDD">
        <w:t xml:space="preserve">the </w:t>
      </w:r>
      <w:r w:rsidRPr="00D53333">
        <w:t>NT</w:t>
      </w:r>
      <w:r>
        <w:t xml:space="preserve"> do not raise fire levies, relying on government grants as </w:t>
      </w:r>
      <w:r w:rsidRPr="00D53333">
        <w:t>the</w:t>
      </w:r>
      <w:r>
        <w:t>ir</w:t>
      </w:r>
      <w:r w:rsidRPr="00D53333">
        <w:t xml:space="preserve"> largest </w:t>
      </w:r>
      <w:r>
        <w:t xml:space="preserve">revenue </w:t>
      </w:r>
      <w:r w:rsidRPr="00D53333">
        <w:t>source.</w:t>
      </w:r>
      <w:r>
        <w:t xml:space="preserve"> A</w:t>
      </w:r>
      <w:r w:rsidRPr="00D53333">
        <w:t xml:space="preserve">ll states and territories </w:t>
      </w:r>
      <w:r>
        <w:t xml:space="preserve">also </w:t>
      </w:r>
      <w:r w:rsidRPr="00D53333">
        <w:t>rely on volunteer firefighters.</w:t>
      </w:r>
    </w:p>
    <w:p w:rsidR="00C52DD3" w:rsidRPr="004E7F30" w:rsidRDefault="00C52DD3" w:rsidP="00C52DD3">
      <w:pPr>
        <w:pStyle w:val="BodyText"/>
      </w:pPr>
      <w:r w:rsidRPr="004E7F30">
        <w:t>More information on fire service organisation funding and expenditure can be found in section</w:t>
      </w:r>
      <w:r>
        <w:t> </w:t>
      </w:r>
      <w:r w:rsidRPr="004E7F30">
        <w:t>9.3.</w:t>
      </w:r>
    </w:p>
    <w:p w:rsidR="003551EB" w:rsidRDefault="003551EB" w:rsidP="003551E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3551EB" w:rsidTr="003551EB">
        <w:tc>
          <w:tcPr>
            <w:tcW w:w="8771" w:type="dxa"/>
            <w:tcBorders>
              <w:top w:val="single" w:sz="6" w:space="0" w:color="78A22F" w:themeColor="accent1"/>
              <w:left w:val="nil"/>
              <w:bottom w:val="nil"/>
              <w:right w:val="nil"/>
            </w:tcBorders>
            <w:shd w:val="clear" w:color="auto" w:fill="auto"/>
          </w:tcPr>
          <w:p w:rsidR="003551EB" w:rsidRPr="00784A05" w:rsidRDefault="003551EB" w:rsidP="00FA5D77">
            <w:pPr>
              <w:pStyle w:val="TableTitle"/>
            </w:pPr>
            <w:r>
              <w:rPr>
                <w:b w:val="0"/>
              </w:rPr>
              <w:t xml:space="preserve">Table </w:t>
            </w:r>
            <w:r w:rsidR="00CB0FE1">
              <w:rPr>
                <w:b w:val="0"/>
              </w:rPr>
              <w:t>9.</w:t>
            </w:r>
            <w:r w:rsidR="00D52162">
              <w:rPr>
                <w:b w:val="0"/>
                <w:noProof/>
              </w:rPr>
              <w:t>1</w:t>
            </w:r>
            <w:r>
              <w:tab/>
            </w:r>
            <w:r w:rsidR="0089007B" w:rsidRPr="00D53333">
              <w:t xml:space="preserve">Real </w:t>
            </w:r>
            <w:r w:rsidR="0089007B" w:rsidRPr="00A90E73">
              <w:t>revenue</w:t>
            </w:r>
            <w:r w:rsidR="0089007B" w:rsidRPr="00D53333">
              <w:t xml:space="preserve"> of fire service organisations (201</w:t>
            </w:r>
            <w:r w:rsidR="00FA5D77">
              <w:t>3</w:t>
            </w:r>
            <w:r w:rsidR="0089007B">
              <w:noBreakHyphen/>
            </w:r>
            <w:r w:rsidR="0089007B" w:rsidRPr="00D53333">
              <w:t>1</w:t>
            </w:r>
            <w:r w:rsidR="00FA5D77">
              <w:t>4</w:t>
            </w:r>
            <w:r w:rsidR="0089007B" w:rsidRPr="00D53333">
              <w:t xml:space="preserve"> dollars) ($ million)</w:t>
            </w:r>
            <w:r w:rsidR="0089007B" w:rsidRPr="00D53333">
              <w:rPr>
                <w:rStyle w:val="NoteLabel"/>
                <w:b/>
              </w:rPr>
              <w:t>a, b</w:t>
            </w:r>
            <w:r w:rsidR="00F33424">
              <w:rPr>
                <w:rStyle w:val="NoteLabel"/>
                <w:b/>
              </w:rPr>
              <w:t>, c</w:t>
            </w:r>
          </w:p>
        </w:tc>
      </w:tr>
      <w:tr w:rsidR="003551EB" w:rsidTr="003551EB">
        <w:trPr>
          <w:cantSplit/>
        </w:trPr>
        <w:tc>
          <w:tcPr>
            <w:tcW w:w="8771" w:type="dxa"/>
            <w:tcBorders>
              <w:top w:val="nil"/>
              <w:left w:val="nil"/>
              <w:bottom w:val="nil"/>
              <w:right w:val="nil"/>
            </w:tcBorders>
            <w:shd w:val="clear" w:color="auto" w:fill="auto"/>
          </w:tcPr>
          <w:tbl>
            <w:tblPr>
              <w:tblW w:w="8790" w:type="dxa"/>
              <w:tblCellMar>
                <w:left w:w="0" w:type="dxa"/>
                <w:right w:w="0" w:type="dxa"/>
              </w:tblCellMar>
              <w:tblLook w:val="0000" w:firstRow="0" w:lastRow="0" w:firstColumn="0" w:lastColumn="0" w:noHBand="0" w:noVBand="0"/>
            </w:tblPr>
            <w:tblGrid>
              <w:gridCol w:w="591"/>
              <w:gridCol w:w="1044"/>
              <w:gridCol w:w="833"/>
              <w:gridCol w:w="859"/>
              <w:gridCol w:w="871"/>
              <w:gridCol w:w="825"/>
              <w:gridCol w:w="867"/>
              <w:gridCol w:w="905"/>
              <w:gridCol w:w="825"/>
              <w:gridCol w:w="1005"/>
            </w:tblGrid>
            <w:tr w:rsidR="0089007B" w:rsidRPr="00D53333" w:rsidTr="00B57E35">
              <w:tc>
                <w:tcPr>
                  <w:tcW w:w="849" w:type="dxa"/>
                  <w:tcBorders>
                    <w:top w:val="single" w:sz="6" w:space="0" w:color="BFBFBF"/>
                    <w:bottom w:val="single" w:sz="6" w:space="0" w:color="BFBFBF"/>
                  </w:tcBorders>
                  <w:shd w:val="clear" w:color="auto" w:fill="auto"/>
                </w:tcPr>
                <w:p w:rsidR="0089007B" w:rsidRPr="00D53333" w:rsidRDefault="0089007B" w:rsidP="0089007B">
                  <w:pPr>
                    <w:pStyle w:val="TableColumnHeading"/>
                    <w:jc w:val="left"/>
                  </w:pPr>
                </w:p>
              </w:tc>
              <w:tc>
                <w:tcPr>
                  <w:tcW w:w="990" w:type="dxa"/>
                  <w:tcBorders>
                    <w:top w:val="single" w:sz="6" w:space="0" w:color="BFBFBF"/>
                    <w:bottom w:val="single" w:sz="6" w:space="0" w:color="BFBFBF"/>
                  </w:tcBorders>
                  <w:shd w:val="clear" w:color="auto" w:fill="auto"/>
                </w:tcPr>
                <w:p w:rsidR="0089007B" w:rsidRPr="00D53333" w:rsidRDefault="0089007B" w:rsidP="0089007B">
                  <w:pPr>
                    <w:pStyle w:val="TableColumnHeading"/>
                    <w:outlineLvl w:val="4"/>
                  </w:pPr>
                  <w:r w:rsidRPr="00D53333">
                    <w:t>NSW</w:t>
                  </w:r>
                </w:p>
              </w:tc>
              <w:tc>
                <w:tcPr>
                  <w:tcW w:w="848" w:type="dxa"/>
                  <w:tcBorders>
                    <w:top w:val="single" w:sz="6" w:space="0" w:color="BFBFBF"/>
                    <w:bottom w:val="single" w:sz="6" w:space="0" w:color="BFBFBF"/>
                  </w:tcBorders>
                  <w:shd w:val="clear" w:color="auto" w:fill="auto"/>
                </w:tcPr>
                <w:p w:rsidR="0089007B" w:rsidRPr="00D53333" w:rsidRDefault="0089007B" w:rsidP="0089007B">
                  <w:pPr>
                    <w:pStyle w:val="TableColumnHeading"/>
                    <w:outlineLvl w:val="4"/>
                  </w:pPr>
                  <w:r w:rsidRPr="00D53333">
                    <w:t>Vic</w:t>
                  </w:r>
                </w:p>
              </w:tc>
              <w:tc>
                <w:tcPr>
                  <w:tcW w:w="857" w:type="dxa"/>
                  <w:tcBorders>
                    <w:top w:val="single" w:sz="6" w:space="0" w:color="BFBFBF"/>
                    <w:bottom w:val="single" w:sz="6" w:space="0" w:color="BFBFBF"/>
                  </w:tcBorders>
                  <w:shd w:val="clear" w:color="auto" w:fill="auto"/>
                </w:tcPr>
                <w:p w:rsidR="0089007B" w:rsidRPr="00D53333" w:rsidRDefault="0089007B" w:rsidP="0089007B">
                  <w:pPr>
                    <w:pStyle w:val="TableColumnHeading"/>
                    <w:outlineLvl w:val="4"/>
                  </w:pPr>
                  <w:r w:rsidRPr="00D53333">
                    <w:t>Qld</w:t>
                  </w:r>
                </w:p>
              </w:tc>
              <w:tc>
                <w:tcPr>
                  <w:tcW w:w="866" w:type="dxa"/>
                  <w:tcBorders>
                    <w:top w:val="single" w:sz="6" w:space="0" w:color="BFBFBF"/>
                    <w:bottom w:val="single" w:sz="6" w:space="0" w:color="BFBFBF"/>
                  </w:tcBorders>
                  <w:shd w:val="clear" w:color="auto" w:fill="auto"/>
                </w:tcPr>
                <w:p w:rsidR="0089007B" w:rsidRPr="00D53333" w:rsidRDefault="0089007B" w:rsidP="0089007B">
                  <w:pPr>
                    <w:pStyle w:val="TableColumnHeading"/>
                    <w:outlineLvl w:val="4"/>
                  </w:pPr>
                  <w:r w:rsidRPr="00D53333">
                    <w:t>WA</w:t>
                  </w:r>
                </w:p>
              </w:tc>
              <w:tc>
                <w:tcPr>
                  <w:tcW w:w="847" w:type="dxa"/>
                  <w:tcBorders>
                    <w:top w:val="single" w:sz="6" w:space="0" w:color="BFBFBF"/>
                    <w:bottom w:val="single" w:sz="6" w:space="0" w:color="BFBFBF"/>
                  </w:tcBorders>
                  <w:shd w:val="clear" w:color="auto" w:fill="auto"/>
                </w:tcPr>
                <w:p w:rsidR="0089007B" w:rsidRPr="00D53333" w:rsidRDefault="0089007B" w:rsidP="0089007B">
                  <w:pPr>
                    <w:pStyle w:val="TableColumnHeading"/>
                    <w:outlineLvl w:val="4"/>
                    <w:rPr>
                      <w:b/>
                      <w:i w:val="0"/>
                      <w:position w:val="6"/>
                    </w:rPr>
                  </w:pPr>
                  <w:r w:rsidRPr="00D53333">
                    <w:t>SA</w:t>
                  </w:r>
                </w:p>
              </w:tc>
              <w:tc>
                <w:tcPr>
                  <w:tcW w:w="848" w:type="dxa"/>
                  <w:tcBorders>
                    <w:top w:val="single" w:sz="6" w:space="0" w:color="BFBFBF"/>
                    <w:bottom w:val="single" w:sz="6" w:space="0" w:color="BFBFBF"/>
                  </w:tcBorders>
                  <w:shd w:val="clear" w:color="auto" w:fill="auto"/>
                </w:tcPr>
                <w:p w:rsidR="0089007B" w:rsidRPr="00D53333" w:rsidRDefault="0089007B" w:rsidP="0089007B">
                  <w:pPr>
                    <w:pStyle w:val="TableColumnHeading"/>
                    <w:outlineLvl w:val="4"/>
                  </w:pPr>
                  <w:r w:rsidRPr="00D53333">
                    <w:t>Tas</w:t>
                  </w:r>
                </w:p>
              </w:tc>
              <w:tc>
                <w:tcPr>
                  <w:tcW w:w="847" w:type="dxa"/>
                  <w:tcBorders>
                    <w:top w:val="single" w:sz="6" w:space="0" w:color="BFBFBF"/>
                    <w:bottom w:val="single" w:sz="6" w:space="0" w:color="BFBFBF"/>
                  </w:tcBorders>
                  <w:shd w:val="clear" w:color="auto" w:fill="auto"/>
                </w:tcPr>
                <w:p w:rsidR="0089007B" w:rsidRPr="00D53333" w:rsidRDefault="0089007B" w:rsidP="0089007B">
                  <w:pPr>
                    <w:pStyle w:val="TableColumnHeading"/>
                    <w:outlineLvl w:val="4"/>
                    <w:rPr>
                      <w:rStyle w:val="NoteLabel"/>
                      <w:i w:val="0"/>
                    </w:rPr>
                  </w:pPr>
                  <w:r w:rsidRPr="00D53333">
                    <w:t>ACT</w:t>
                  </w:r>
                </w:p>
              </w:tc>
              <w:tc>
                <w:tcPr>
                  <w:tcW w:w="848" w:type="dxa"/>
                  <w:tcBorders>
                    <w:top w:val="single" w:sz="6" w:space="0" w:color="BFBFBF"/>
                    <w:bottom w:val="single" w:sz="6" w:space="0" w:color="BFBFBF"/>
                  </w:tcBorders>
                  <w:shd w:val="clear" w:color="auto" w:fill="auto"/>
                </w:tcPr>
                <w:p w:rsidR="0089007B" w:rsidRPr="00D53333" w:rsidRDefault="0089007B" w:rsidP="0089007B">
                  <w:pPr>
                    <w:pStyle w:val="TableColumnHeading"/>
                    <w:outlineLvl w:val="4"/>
                  </w:pPr>
                  <w:r w:rsidRPr="00D53333">
                    <w:t>NT</w:t>
                  </w:r>
                </w:p>
              </w:tc>
              <w:tc>
                <w:tcPr>
                  <w:tcW w:w="990" w:type="dxa"/>
                  <w:tcBorders>
                    <w:top w:val="single" w:sz="6" w:space="0" w:color="BFBFBF"/>
                    <w:bottom w:val="single" w:sz="6" w:space="0" w:color="BFBFBF"/>
                  </w:tcBorders>
                  <w:shd w:val="clear" w:color="auto" w:fill="auto"/>
                </w:tcPr>
                <w:p w:rsidR="0089007B" w:rsidRPr="00D53333" w:rsidRDefault="0089007B" w:rsidP="0089007B">
                  <w:pPr>
                    <w:pStyle w:val="TableColumnHeading"/>
                    <w:outlineLvl w:val="4"/>
                  </w:pPr>
                  <w:r w:rsidRPr="00D53333">
                    <w:t>Aust</w:t>
                  </w:r>
                </w:p>
              </w:tc>
            </w:tr>
            <w:tr w:rsidR="0089007B" w:rsidRPr="00D53333" w:rsidTr="00B57E35">
              <w:tc>
                <w:tcPr>
                  <w:tcW w:w="8790" w:type="dxa"/>
                  <w:gridSpan w:val="10"/>
                  <w:tcBorders>
                    <w:top w:val="single" w:sz="6" w:space="0" w:color="BFBFBF"/>
                  </w:tcBorders>
                  <w:vAlign w:val="center"/>
                </w:tcPr>
                <w:p w:rsidR="00CB0FE1" w:rsidRPr="00CB0FE1" w:rsidRDefault="00CB0FE1" w:rsidP="00CB0FE1">
                  <w:pPr>
                    <w:pStyle w:val="HeaderEnd"/>
                    <w:rPr>
                      <w:sz w:val="20"/>
                    </w:rPr>
                  </w:pPr>
                </w:p>
                <w:tbl>
                  <w:tblPr>
                    <w:tblW w:w="8789" w:type="dxa"/>
                    <w:tblCellMar>
                      <w:left w:w="0" w:type="dxa"/>
                      <w:right w:w="28" w:type="dxa"/>
                    </w:tblCellMar>
                    <w:tblLook w:val="04A0" w:firstRow="1" w:lastRow="0" w:firstColumn="1" w:lastColumn="0" w:noHBand="0" w:noVBand="1"/>
                  </w:tblPr>
                  <w:tblGrid>
                    <w:gridCol w:w="836"/>
                    <w:gridCol w:w="973"/>
                    <w:gridCol w:w="836"/>
                    <w:gridCol w:w="835"/>
                    <w:gridCol w:w="835"/>
                    <w:gridCol w:w="834"/>
                    <w:gridCol w:w="835"/>
                    <w:gridCol w:w="834"/>
                    <w:gridCol w:w="835"/>
                    <w:gridCol w:w="972"/>
                  </w:tblGrid>
                  <w:tr w:rsidR="00CB0FE1" w:rsidRPr="00CB0FE1" w:rsidTr="00CB0FE1">
                    <w:trPr>
                      <w:divId w:val="999386111"/>
                      <w:trHeight w:val="270"/>
                    </w:trPr>
                    <w:tc>
                      <w:tcPr>
                        <w:tcW w:w="851" w:type="dxa"/>
                        <w:shd w:val="clear" w:color="auto" w:fill="auto"/>
                        <w:noWrap/>
                        <w:vAlign w:val="center"/>
                        <w:hideMark/>
                      </w:tcPr>
                      <w:p w:rsidR="00CB0FE1" w:rsidRPr="00CB0FE1" w:rsidRDefault="00CB0FE1" w:rsidP="00CB0FE1">
                        <w:pPr>
                          <w:rPr>
                            <w:rFonts w:ascii="Arial" w:hAnsi="Arial" w:cs="Arial"/>
                            <w:sz w:val="20"/>
                            <w:szCs w:val="20"/>
                          </w:rPr>
                        </w:pPr>
                        <w:r w:rsidRPr="00CB0FE1">
                          <w:rPr>
                            <w:rFonts w:ascii="Arial" w:hAnsi="Arial" w:cs="Arial"/>
                            <w:sz w:val="20"/>
                            <w:szCs w:val="20"/>
                          </w:rPr>
                          <w:t>2009-10</w:t>
                        </w:r>
                      </w:p>
                    </w:tc>
                    <w:tc>
                      <w:tcPr>
                        <w:tcW w:w="992"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1 001.3</w:t>
                        </w:r>
                      </w:p>
                    </w:tc>
                    <w:tc>
                      <w:tcPr>
                        <w:tcW w:w="851"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1 036.8</w:t>
                        </w:r>
                      </w:p>
                    </w:tc>
                    <w:tc>
                      <w:tcPr>
                        <w:tcW w:w="850"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488.5</w:t>
                        </w:r>
                      </w:p>
                    </w:tc>
                    <w:tc>
                      <w:tcPr>
                        <w:tcW w:w="851"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271.6</w:t>
                        </w:r>
                      </w:p>
                    </w:tc>
                    <w:tc>
                      <w:tcPr>
                        <w:tcW w:w="850"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187.5</w:t>
                        </w:r>
                      </w:p>
                    </w:tc>
                    <w:tc>
                      <w:tcPr>
                        <w:tcW w:w="851"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74.9</w:t>
                        </w:r>
                      </w:p>
                    </w:tc>
                    <w:tc>
                      <w:tcPr>
                        <w:tcW w:w="850"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57.2</w:t>
                        </w:r>
                      </w:p>
                    </w:tc>
                    <w:tc>
                      <w:tcPr>
                        <w:tcW w:w="851"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28.2</w:t>
                        </w:r>
                      </w:p>
                    </w:tc>
                    <w:tc>
                      <w:tcPr>
                        <w:tcW w:w="992"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3 145.9</w:t>
                        </w:r>
                      </w:p>
                    </w:tc>
                  </w:tr>
                  <w:tr w:rsidR="00CB0FE1" w:rsidRPr="00CB0FE1" w:rsidTr="00CB0FE1">
                    <w:trPr>
                      <w:divId w:val="999386111"/>
                      <w:trHeight w:val="330"/>
                    </w:trPr>
                    <w:tc>
                      <w:tcPr>
                        <w:tcW w:w="851" w:type="dxa"/>
                        <w:shd w:val="clear" w:color="auto" w:fill="auto"/>
                        <w:noWrap/>
                        <w:vAlign w:val="center"/>
                        <w:hideMark/>
                      </w:tcPr>
                      <w:p w:rsidR="00CB0FE1" w:rsidRPr="00CB0FE1" w:rsidRDefault="00CB0FE1" w:rsidP="00CB0FE1">
                        <w:pPr>
                          <w:rPr>
                            <w:rFonts w:ascii="Arial" w:hAnsi="Arial" w:cs="Arial"/>
                            <w:sz w:val="20"/>
                            <w:szCs w:val="20"/>
                          </w:rPr>
                        </w:pPr>
                        <w:r w:rsidRPr="00CB0FE1">
                          <w:rPr>
                            <w:rFonts w:ascii="Arial" w:hAnsi="Arial" w:cs="Arial"/>
                            <w:sz w:val="20"/>
                            <w:szCs w:val="20"/>
                          </w:rPr>
                          <w:t>2010-11</w:t>
                        </w:r>
                      </w:p>
                    </w:tc>
                    <w:tc>
                      <w:tcPr>
                        <w:tcW w:w="992"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997.2</w:t>
                        </w:r>
                      </w:p>
                    </w:tc>
                    <w:tc>
                      <w:tcPr>
                        <w:tcW w:w="851"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1 042.5</w:t>
                        </w:r>
                      </w:p>
                    </w:tc>
                    <w:tc>
                      <w:tcPr>
                        <w:tcW w:w="850" w:type="dxa"/>
                        <w:shd w:val="clear" w:color="auto" w:fill="auto"/>
                        <w:noWrap/>
                        <w:vAlign w:val="center"/>
                        <w:hideMark/>
                      </w:tcPr>
                      <w:p w:rsidR="00CB0FE1" w:rsidRPr="00CB0FE1" w:rsidRDefault="0026487F" w:rsidP="00CB0FE1">
                        <w:pPr>
                          <w:jc w:val="right"/>
                          <w:rPr>
                            <w:rFonts w:ascii="Arial" w:hAnsi="Arial" w:cs="Arial"/>
                            <w:sz w:val="20"/>
                            <w:szCs w:val="20"/>
                          </w:rPr>
                        </w:pPr>
                        <w:r>
                          <w:rPr>
                            <w:rFonts w:ascii="Arial" w:hAnsi="Arial" w:cs="Arial"/>
                            <w:sz w:val="20"/>
                            <w:szCs w:val="20"/>
                          </w:rPr>
                          <w:t xml:space="preserve"> </w:t>
                        </w:r>
                        <w:r w:rsidR="00CB0FE1" w:rsidRPr="00CB0FE1">
                          <w:rPr>
                            <w:rFonts w:ascii="Arial" w:hAnsi="Arial" w:cs="Arial"/>
                            <w:sz w:val="20"/>
                            <w:szCs w:val="20"/>
                          </w:rPr>
                          <w:t>509.7</w:t>
                        </w:r>
                      </w:p>
                    </w:tc>
                    <w:tc>
                      <w:tcPr>
                        <w:tcW w:w="851" w:type="dxa"/>
                        <w:shd w:val="clear" w:color="auto" w:fill="auto"/>
                        <w:noWrap/>
                        <w:vAlign w:val="center"/>
                        <w:hideMark/>
                      </w:tcPr>
                      <w:p w:rsidR="00CB0FE1" w:rsidRPr="00CB0FE1" w:rsidRDefault="0026487F" w:rsidP="00CB0FE1">
                        <w:pPr>
                          <w:jc w:val="right"/>
                          <w:rPr>
                            <w:rFonts w:ascii="Arial" w:hAnsi="Arial" w:cs="Arial"/>
                            <w:sz w:val="20"/>
                            <w:szCs w:val="20"/>
                          </w:rPr>
                        </w:pPr>
                        <w:r>
                          <w:rPr>
                            <w:rFonts w:ascii="Arial" w:hAnsi="Arial" w:cs="Arial"/>
                            <w:sz w:val="20"/>
                            <w:szCs w:val="20"/>
                          </w:rPr>
                          <w:t xml:space="preserve"> </w:t>
                        </w:r>
                        <w:r w:rsidR="00CB0FE1" w:rsidRPr="00CB0FE1">
                          <w:rPr>
                            <w:rFonts w:ascii="Arial" w:hAnsi="Arial" w:cs="Arial"/>
                            <w:sz w:val="20"/>
                            <w:szCs w:val="20"/>
                          </w:rPr>
                          <w:t>412.0</w:t>
                        </w:r>
                      </w:p>
                    </w:tc>
                    <w:tc>
                      <w:tcPr>
                        <w:tcW w:w="850"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173.1</w:t>
                        </w:r>
                      </w:p>
                    </w:tc>
                    <w:tc>
                      <w:tcPr>
                        <w:tcW w:w="851"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67.5</w:t>
                        </w:r>
                      </w:p>
                    </w:tc>
                    <w:tc>
                      <w:tcPr>
                        <w:tcW w:w="850"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51.4</w:t>
                        </w:r>
                      </w:p>
                    </w:tc>
                    <w:tc>
                      <w:tcPr>
                        <w:tcW w:w="851"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30.7</w:t>
                        </w:r>
                      </w:p>
                    </w:tc>
                    <w:tc>
                      <w:tcPr>
                        <w:tcW w:w="992"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3 284.1</w:t>
                        </w:r>
                      </w:p>
                    </w:tc>
                  </w:tr>
                  <w:tr w:rsidR="00CB0FE1" w:rsidRPr="00CB0FE1" w:rsidTr="00CB0FE1">
                    <w:trPr>
                      <w:divId w:val="999386111"/>
                      <w:trHeight w:val="330"/>
                    </w:trPr>
                    <w:tc>
                      <w:tcPr>
                        <w:tcW w:w="851" w:type="dxa"/>
                        <w:shd w:val="clear" w:color="auto" w:fill="auto"/>
                        <w:noWrap/>
                        <w:vAlign w:val="center"/>
                        <w:hideMark/>
                      </w:tcPr>
                      <w:p w:rsidR="00CB0FE1" w:rsidRPr="00CB0FE1" w:rsidRDefault="00CB0FE1" w:rsidP="00CB0FE1">
                        <w:pPr>
                          <w:rPr>
                            <w:rFonts w:ascii="Arial" w:hAnsi="Arial" w:cs="Arial"/>
                            <w:sz w:val="20"/>
                            <w:szCs w:val="20"/>
                          </w:rPr>
                        </w:pPr>
                        <w:r w:rsidRPr="00CB0FE1">
                          <w:rPr>
                            <w:rFonts w:ascii="Arial" w:hAnsi="Arial" w:cs="Arial"/>
                            <w:sz w:val="20"/>
                            <w:szCs w:val="20"/>
                          </w:rPr>
                          <w:t>2011-12</w:t>
                        </w:r>
                      </w:p>
                    </w:tc>
                    <w:tc>
                      <w:tcPr>
                        <w:tcW w:w="992"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977.3</w:t>
                        </w:r>
                      </w:p>
                    </w:tc>
                    <w:tc>
                      <w:tcPr>
                        <w:tcW w:w="851"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1 194.1</w:t>
                        </w:r>
                      </w:p>
                    </w:tc>
                    <w:tc>
                      <w:tcPr>
                        <w:tcW w:w="850"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515.4</w:t>
                        </w:r>
                      </w:p>
                    </w:tc>
                    <w:tc>
                      <w:tcPr>
                        <w:tcW w:w="851"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419.6</w:t>
                        </w:r>
                      </w:p>
                    </w:tc>
                    <w:tc>
                      <w:tcPr>
                        <w:tcW w:w="850"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183.2</w:t>
                        </w:r>
                      </w:p>
                    </w:tc>
                    <w:tc>
                      <w:tcPr>
                        <w:tcW w:w="851"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70.0</w:t>
                        </w:r>
                      </w:p>
                    </w:tc>
                    <w:tc>
                      <w:tcPr>
                        <w:tcW w:w="850"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66.0</w:t>
                        </w:r>
                      </w:p>
                    </w:tc>
                    <w:tc>
                      <w:tcPr>
                        <w:tcW w:w="851"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37.1</w:t>
                        </w:r>
                      </w:p>
                    </w:tc>
                    <w:tc>
                      <w:tcPr>
                        <w:tcW w:w="992"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3 462.8</w:t>
                        </w:r>
                      </w:p>
                    </w:tc>
                  </w:tr>
                  <w:tr w:rsidR="00CB0FE1" w:rsidRPr="00CB0FE1" w:rsidTr="00B57E35">
                    <w:trPr>
                      <w:divId w:val="999386111"/>
                      <w:trHeight w:val="330"/>
                    </w:trPr>
                    <w:tc>
                      <w:tcPr>
                        <w:tcW w:w="851" w:type="dxa"/>
                        <w:shd w:val="clear" w:color="auto" w:fill="auto"/>
                        <w:noWrap/>
                        <w:vAlign w:val="center"/>
                        <w:hideMark/>
                      </w:tcPr>
                      <w:p w:rsidR="00CB0FE1" w:rsidRPr="00CB0FE1" w:rsidRDefault="00CB0FE1" w:rsidP="00CB0FE1">
                        <w:pPr>
                          <w:rPr>
                            <w:rFonts w:ascii="Arial" w:hAnsi="Arial" w:cs="Arial"/>
                            <w:sz w:val="20"/>
                            <w:szCs w:val="20"/>
                          </w:rPr>
                        </w:pPr>
                        <w:r w:rsidRPr="00CB0FE1">
                          <w:rPr>
                            <w:rFonts w:ascii="Arial" w:hAnsi="Arial" w:cs="Arial"/>
                            <w:sz w:val="20"/>
                            <w:szCs w:val="20"/>
                          </w:rPr>
                          <w:t>2012-13</w:t>
                        </w:r>
                      </w:p>
                    </w:tc>
                    <w:tc>
                      <w:tcPr>
                        <w:tcW w:w="992"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1 023.0</w:t>
                        </w:r>
                      </w:p>
                    </w:tc>
                    <w:tc>
                      <w:tcPr>
                        <w:tcW w:w="851"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1 157.0</w:t>
                        </w:r>
                      </w:p>
                    </w:tc>
                    <w:tc>
                      <w:tcPr>
                        <w:tcW w:w="850"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508.5</w:t>
                        </w:r>
                      </w:p>
                    </w:tc>
                    <w:tc>
                      <w:tcPr>
                        <w:tcW w:w="851"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365.9</w:t>
                        </w:r>
                      </w:p>
                    </w:tc>
                    <w:tc>
                      <w:tcPr>
                        <w:tcW w:w="850"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179.9</w:t>
                        </w:r>
                      </w:p>
                    </w:tc>
                    <w:tc>
                      <w:tcPr>
                        <w:tcW w:w="851"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84.1</w:t>
                        </w:r>
                      </w:p>
                    </w:tc>
                    <w:tc>
                      <w:tcPr>
                        <w:tcW w:w="850"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61.7</w:t>
                        </w:r>
                      </w:p>
                    </w:tc>
                    <w:tc>
                      <w:tcPr>
                        <w:tcW w:w="851"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49.3</w:t>
                        </w:r>
                      </w:p>
                    </w:tc>
                    <w:tc>
                      <w:tcPr>
                        <w:tcW w:w="992" w:type="dxa"/>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3 429.5</w:t>
                        </w:r>
                      </w:p>
                    </w:tc>
                  </w:tr>
                  <w:tr w:rsidR="00CB0FE1" w:rsidRPr="00CB0FE1" w:rsidTr="00B57E35">
                    <w:trPr>
                      <w:divId w:val="999386111"/>
                      <w:trHeight w:val="330"/>
                    </w:trPr>
                    <w:tc>
                      <w:tcPr>
                        <w:tcW w:w="851" w:type="dxa"/>
                        <w:tcBorders>
                          <w:bottom w:val="single" w:sz="6" w:space="0" w:color="BFBFBF"/>
                        </w:tcBorders>
                        <w:shd w:val="clear" w:color="auto" w:fill="auto"/>
                        <w:noWrap/>
                        <w:vAlign w:val="center"/>
                        <w:hideMark/>
                      </w:tcPr>
                      <w:p w:rsidR="00CB0FE1" w:rsidRPr="00CB0FE1" w:rsidRDefault="00CB0FE1" w:rsidP="00CB0FE1">
                        <w:pPr>
                          <w:rPr>
                            <w:rFonts w:ascii="Arial" w:hAnsi="Arial" w:cs="Arial"/>
                            <w:sz w:val="20"/>
                            <w:szCs w:val="20"/>
                          </w:rPr>
                        </w:pPr>
                        <w:r w:rsidRPr="00CB0FE1">
                          <w:rPr>
                            <w:rFonts w:ascii="Arial" w:hAnsi="Arial" w:cs="Arial"/>
                            <w:sz w:val="20"/>
                            <w:szCs w:val="20"/>
                          </w:rPr>
                          <w:t>2013-14</w:t>
                        </w:r>
                      </w:p>
                    </w:tc>
                    <w:tc>
                      <w:tcPr>
                        <w:tcW w:w="992" w:type="dxa"/>
                        <w:tcBorders>
                          <w:bottom w:val="single" w:sz="6" w:space="0" w:color="BFBFBF"/>
                        </w:tcBorders>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1 101.8</w:t>
                        </w:r>
                      </w:p>
                    </w:tc>
                    <w:tc>
                      <w:tcPr>
                        <w:tcW w:w="851" w:type="dxa"/>
                        <w:tcBorders>
                          <w:bottom w:val="single" w:sz="6" w:space="0" w:color="BFBFBF"/>
                        </w:tcBorders>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1 184.7</w:t>
                        </w:r>
                      </w:p>
                    </w:tc>
                    <w:tc>
                      <w:tcPr>
                        <w:tcW w:w="850" w:type="dxa"/>
                        <w:tcBorders>
                          <w:bottom w:val="single" w:sz="6" w:space="0" w:color="BFBFBF"/>
                        </w:tcBorders>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622.1</w:t>
                        </w:r>
                      </w:p>
                    </w:tc>
                    <w:tc>
                      <w:tcPr>
                        <w:tcW w:w="851" w:type="dxa"/>
                        <w:tcBorders>
                          <w:bottom w:val="single" w:sz="6" w:space="0" w:color="BFBFBF"/>
                        </w:tcBorders>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341.1</w:t>
                        </w:r>
                      </w:p>
                    </w:tc>
                    <w:tc>
                      <w:tcPr>
                        <w:tcW w:w="850" w:type="dxa"/>
                        <w:tcBorders>
                          <w:bottom w:val="single" w:sz="6" w:space="0" w:color="BFBFBF"/>
                        </w:tcBorders>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207.8</w:t>
                        </w:r>
                      </w:p>
                    </w:tc>
                    <w:tc>
                      <w:tcPr>
                        <w:tcW w:w="851" w:type="dxa"/>
                        <w:tcBorders>
                          <w:bottom w:val="single" w:sz="6" w:space="0" w:color="BFBFBF"/>
                        </w:tcBorders>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74.1</w:t>
                        </w:r>
                      </w:p>
                    </w:tc>
                    <w:tc>
                      <w:tcPr>
                        <w:tcW w:w="850" w:type="dxa"/>
                        <w:tcBorders>
                          <w:bottom w:val="single" w:sz="6" w:space="0" w:color="BFBFBF"/>
                        </w:tcBorders>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62.8</w:t>
                        </w:r>
                      </w:p>
                    </w:tc>
                    <w:tc>
                      <w:tcPr>
                        <w:tcW w:w="851" w:type="dxa"/>
                        <w:tcBorders>
                          <w:bottom w:val="single" w:sz="6" w:space="0" w:color="BFBFBF"/>
                        </w:tcBorders>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32.6</w:t>
                        </w:r>
                      </w:p>
                    </w:tc>
                    <w:tc>
                      <w:tcPr>
                        <w:tcW w:w="992" w:type="dxa"/>
                        <w:tcBorders>
                          <w:bottom w:val="single" w:sz="6" w:space="0" w:color="BFBFBF"/>
                        </w:tcBorders>
                        <w:shd w:val="clear" w:color="auto" w:fill="auto"/>
                        <w:noWrap/>
                        <w:vAlign w:val="center"/>
                        <w:hideMark/>
                      </w:tcPr>
                      <w:p w:rsidR="00CB0FE1" w:rsidRPr="00CB0FE1" w:rsidRDefault="00CB0FE1" w:rsidP="00CB0FE1">
                        <w:pPr>
                          <w:jc w:val="right"/>
                          <w:rPr>
                            <w:rFonts w:ascii="Arial" w:hAnsi="Arial" w:cs="Arial"/>
                            <w:sz w:val="20"/>
                            <w:szCs w:val="20"/>
                          </w:rPr>
                        </w:pPr>
                        <w:r w:rsidRPr="00CB0FE1">
                          <w:rPr>
                            <w:rFonts w:ascii="Arial" w:hAnsi="Arial" w:cs="Arial"/>
                            <w:sz w:val="20"/>
                            <w:szCs w:val="20"/>
                          </w:rPr>
                          <w:t xml:space="preserve"> 3 627.1</w:t>
                        </w:r>
                      </w:p>
                    </w:tc>
                  </w:tr>
                </w:tbl>
                <w:p w:rsidR="0089007B" w:rsidRPr="00D53333" w:rsidRDefault="0089007B" w:rsidP="0089007B">
                  <w:pPr>
                    <w:pStyle w:val="FooterEnd"/>
                  </w:pPr>
                </w:p>
              </w:tc>
            </w:tr>
          </w:tbl>
          <w:p w:rsidR="003551EB" w:rsidRDefault="003551EB" w:rsidP="003551EB">
            <w:pPr>
              <w:pStyle w:val="Box"/>
            </w:pPr>
          </w:p>
        </w:tc>
      </w:tr>
      <w:tr w:rsidR="003551EB" w:rsidTr="003551EB">
        <w:trPr>
          <w:cantSplit/>
        </w:trPr>
        <w:tc>
          <w:tcPr>
            <w:tcW w:w="8771" w:type="dxa"/>
            <w:tcBorders>
              <w:top w:val="nil"/>
              <w:left w:val="nil"/>
              <w:bottom w:val="nil"/>
              <w:right w:val="nil"/>
            </w:tcBorders>
            <w:shd w:val="clear" w:color="auto" w:fill="auto"/>
          </w:tcPr>
          <w:p w:rsidR="003551EB" w:rsidRDefault="0089007B" w:rsidP="00E45EDD">
            <w:pPr>
              <w:pStyle w:val="Note"/>
              <w:rPr>
                <w:i/>
              </w:rPr>
            </w:pPr>
            <w:r w:rsidRPr="00854E63">
              <w:rPr>
                <w:rStyle w:val="NoteLabel"/>
              </w:rPr>
              <w:t>a</w:t>
            </w:r>
            <w:r w:rsidRPr="00854E63">
              <w:t> </w:t>
            </w:r>
            <w:r w:rsidR="00554D80" w:rsidRPr="009432C9">
              <w:t>Time series financial data are adjusted to 2013</w:t>
            </w:r>
            <w:r w:rsidR="0026487F">
              <w:noBreakHyphen/>
            </w:r>
            <w:r w:rsidR="00554D80" w:rsidRPr="009432C9">
              <w:t>14 dollars using the General Government Final Consumption Expenditure (GGFCE) chain price deflator (2013</w:t>
            </w:r>
            <w:r w:rsidR="0026487F">
              <w:noBreakHyphen/>
            </w:r>
            <w:r w:rsidR="00554D80" w:rsidRPr="009432C9">
              <w:t>14 = 100) (table 2A.51). See chapter 2 (sections 2.5</w:t>
            </w:r>
            <w:r w:rsidR="0026487F">
              <w:noBreakHyphen/>
            </w:r>
            <w:r w:rsidR="00554D80" w:rsidRPr="009432C9">
              <w:t>6) for details.</w:t>
            </w:r>
            <w:r w:rsidRPr="00854E63">
              <w:t xml:space="preserve"> </w:t>
            </w:r>
            <w:r w:rsidRPr="00854E63">
              <w:rPr>
                <w:rStyle w:val="NoteLabel"/>
              </w:rPr>
              <w:t>b</w:t>
            </w:r>
            <w:r w:rsidRPr="00854E63">
              <w:t> Figures vary from year to year as a result of abnormal expenditure related to the response to specific major emergencies. (For jurisdiction examples see notes to attachment table</w:t>
            </w:r>
            <w:r>
              <w:t> </w:t>
            </w:r>
            <w:r w:rsidRPr="00854E63">
              <w:t xml:space="preserve">9A.4). </w:t>
            </w:r>
            <w:r w:rsidRPr="00854E63">
              <w:rPr>
                <w:rStyle w:val="NoteLabel"/>
              </w:rPr>
              <w:t>c</w:t>
            </w:r>
            <w:r w:rsidRPr="00854E63">
              <w:t> Financial and activity data are affected by the reporting scope of each jurisdiction’s ‘fire service organisation’. See table</w:t>
            </w:r>
            <w:r>
              <w:t> </w:t>
            </w:r>
            <w:r w:rsidRPr="00854E63">
              <w:t xml:space="preserve">9A.3 for details for the scope of </w:t>
            </w:r>
            <w:r w:rsidR="00E45EDD">
              <w:t>jurisdictional reporting, including the impact of machinery of government changes</w:t>
            </w:r>
            <w:r w:rsidRPr="00854E63">
              <w:t>.</w:t>
            </w:r>
            <w:r w:rsidR="00E45EDD">
              <w:t xml:space="preserve"> </w:t>
            </w:r>
          </w:p>
        </w:tc>
      </w:tr>
      <w:tr w:rsidR="003551EB" w:rsidTr="003551EB">
        <w:trPr>
          <w:cantSplit/>
        </w:trPr>
        <w:tc>
          <w:tcPr>
            <w:tcW w:w="8771" w:type="dxa"/>
            <w:tcBorders>
              <w:top w:val="nil"/>
              <w:left w:val="nil"/>
              <w:bottom w:val="nil"/>
              <w:right w:val="nil"/>
            </w:tcBorders>
            <w:shd w:val="clear" w:color="auto" w:fill="auto"/>
          </w:tcPr>
          <w:p w:rsidR="003551EB" w:rsidRDefault="0089007B" w:rsidP="0089007B">
            <w:pPr>
              <w:pStyle w:val="Source"/>
            </w:pPr>
            <w:r w:rsidRPr="00854E63">
              <w:rPr>
                <w:i/>
              </w:rPr>
              <w:t>Source</w:t>
            </w:r>
            <w:r w:rsidRPr="00854E63">
              <w:t>: State and Territory governments (unpublished); table 9A.4.</w:t>
            </w:r>
          </w:p>
        </w:tc>
      </w:tr>
      <w:tr w:rsidR="003551EB" w:rsidTr="003551EB">
        <w:trPr>
          <w:cantSplit/>
        </w:trPr>
        <w:tc>
          <w:tcPr>
            <w:tcW w:w="8771" w:type="dxa"/>
            <w:tcBorders>
              <w:top w:val="nil"/>
              <w:left w:val="nil"/>
              <w:bottom w:val="single" w:sz="6" w:space="0" w:color="78A22F" w:themeColor="accent1"/>
              <w:right w:val="nil"/>
            </w:tcBorders>
            <w:shd w:val="clear" w:color="auto" w:fill="auto"/>
          </w:tcPr>
          <w:p w:rsidR="003551EB" w:rsidRDefault="003551EB" w:rsidP="003551EB">
            <w:pPr>
              <w:pStyle w:val="Box"/>
              <w:spacing w:before="0" w:line="120" w:lineRule="exact"/>
            </w:pPr>
          </w:p>
        </w:tc>
      </w:tr>
      <w:tr w:rsidR="003551EB" w:rsidRPr="000863A5" w:rsidTr="003551EB">
        <w:tc>
          <w:tcPr>
            <w:tcW w:w="8771" w:type="dxa"/>
            <w:tcBorders>
              <w:top w:val="single" w:sz="6" w:space="0" w:color="78A22F" w:themeColor="accent1"/>
              <w:left w:val="nil"/>
              <w:bottom w:val="nil"/>
              <w:right w:val="nil"/>
            </w:tcBorders>
          </w:tcPr>
          <w:p w:rsidR="003551EB" w:rsidRPr="00626D32" w:rsidRDefault="003551EB" w:rsidP="003551EB">
            <w:pPr>
              <w:pStyle w:val="BoxSpaceBelow"/>
            </w:pPr>
          </w:p>
        </w:tc>
      </w:tr>
    </w:tbl>
    <w:p w:rsidR="00A55D47" w:rsidRDefault="00A55D47" w:rsidP="0015799A">
      <w:pPr>
        <w:pStyle w:val="Heading3"/>
      </w:pPr>
      <w:r w:rsidRPr="00A05A09">
        <w:t>Human resources</w:t>
      </w:r>
    </w:p>
    <w:p w:rsidR="00986A8B" w:rsidRPr="004E7F30" w:rsidRDefault="00986A8B" w:rsidP="0015799A">
      <w:pPr>
        <w:pStyle w:val="BodyText"/>
      </w:pPr>
      <w:r w:rsidRPr="004E7F30">
        <w:t xml:space="preserve">Nationally, </w:t>
      </w:r>
      <w:r w:rsidR="00CB0FE1">
        <w:t>19 198</w:t>
      </w:r>
      <w:r w:rsidRPr="004E7F30">
        <w:t xml:space="preserve"> full time equivalent (FTE) paid personnel were employed by fire service organisations in </w:t>
      </w:r>
      <w:r w:rsidR="00FA5D77">
        <w:t>2013</w:t>
      </w:r>
      <w:r w:rsidR="0026487F">
        <w:noBreakHyphen/>
      </w:r>
      <w:r w:rsidR="00FA5D77">
        <w:t>14</w:t>
      </w:r>
      <w:r w:rsidR="00490FAF" w:rsidRPr="004E7F30">
        <w:t xml:space="preserve">, of which </w:t>
      </w:r>
      <w:r w:rsidR="00CB0FE1">
        <w:t>77.1</w:t>
      </w:r>
      <w:r w:rsidRPr="004E7F30">
        <w:t> per cent were paid firefighters. A large number of volunteer firefighters (</w:t>
      </w:r>
      <w:r w:rsidR="00CB0FE1">
        <w:t>223 727</w:t>
      </w:r>
      <w:r w:rsidRPr="004E7F30">
        <w:t xml:space="preserve"> people) also participated in the delivery of fire services in </w:t>
      </w:r>
      <w:r w:rsidR="00FA5D77">
        <w:t>2013</w:t>
      </w:r>
      <w:r w:rsidR="0026487F">
        <w:noBreakHyphen/>
      </w:r>
      <w:r w:rsidR="00FA5D77">
        <w:t>14</w:t>
      </w:r>
      <w:r w:rsidRPr="004E7F30">
        <w:t xml:space="preserve"> (table 9A.</w:t>
      </w:r>
      <w:r w:rsidR="005F79C3">
        <w:t>5</w:t>
      </w:r>
      <w:r w:rsidRPr="004E7F30">
        <w:t>).</w:t>
      </w:r>
    </w:p>
    <w:p w:rsidR="00756420" w:rsidRPr="004E7F30" w:rsidRDefault="00756420" w:rsidP="00756420">
      <w:pPr>
        <w:pStyle w:val="BodyText"/>
      </w:pPr>
      <w:r w:rsidRPr="004E7F30">
        <w:t xml:space="preserve">More information on fire service organisation </w:t>
      </w:r>
      <w:r>
        <w:t xml:space="preserve">human resources </w:t>
      </w:r>
      <w:r w:rsidRPr="004E7F30">
        <w:t>can be found in section</w:t>
      </w:r>
      <w:r>
        <w:t> </w:t>
      </w:r>
      <w:r w:rsidRPr="004E7F30">
        <w:t>9.3.</w:t>
      </w:r>
    </w:p>
    <w:p w:rsidR="00986A8B" w:rsidRPr="00B23F85" w:rsidRDefault="003576F3" w:rsidP="00134024">
      <w:pPr>
        <w:pStyle w:val="Heading3"/>
      </w:pPr>
      <w:r w:rsidRPr="00D364D0">
        <w:t>Demand for</w:t>
      </w:r>
      <w:r>
        <w:t xml:space="preserve"> </w:t>
      </w:r>
      <w:r w:rsidR="00C52DD3">
        <w:t xml:space="preserve">fire service organisation </w:t>
      </w:r>
      <w:r>
        <w:t xml:space="preserve">services </w:t>
      </w:r>
    </w:p>
    <w:p w:rsidR="00756420" w:rsidRDefault="00CD291F" w:rsidP="00134024">
      <w:pPr>
        <w:pStyle w:val="BodyText"/>
      </w:pPr>
      <w:r>
        <w:t xml:space="preserve">Australian fire service organisations provide emergency response and rescue services for a range of domestic, industrial, medical, and transport fire and emergency events. </w:t>
      </w:r>
      <w:r w:rsidR="00B35C5F" w:rsidRPr="003F6EF6">
        <w:t>Nationally</w:t>
      </w:r>
      <w:r w:rsidR="00A833A2" w:rsidRPr="003F6EF6">
        <w:t xml:space="preserve">, fire service organisations </w:t>
      </w:r>
      <w:r w:rsidR="00B35C5F" w:rsidRPr="003F6EF6">
        <w:t xml:space="preserve">attended </w:t>
      </w:r>
      <w:r w:rsidR="00A833A2" w:rsidRPr="003F6EF6">
        <w:t>a total of</w:t>
      </w:r>
      <w:r w:rsidR="005C08B3">
        <w:t xml:space="preserve"> 384 017 emergency incidents</w:t>
      </w:r>
      <w:r w:rsidR="005C08B3" w:rsidRPr="005C08B3">
        <w:t xml:space="preserve"> </w:t>
      </w:r>
      <w:r w:rsidR="005C08B3">
        <w:t>in 2013</w:t>
      </w:r>
      <w:r w:rsidR="0026487F">
        <w:noBreakHyphen/>
      </w:r>
      <w:r w:rsidR="005C08B3">
        <w:t xml:space="preserve">14, of which </w:t>
      </w:r>
      <w:r w:rsidR="00CB0FE1">
        <w:t>101 867</w:t>
      </w:r>
      <w:r w:rsidR="00A833A2" w:rsidRPr="003F6EF6">
        <w:t xml:space="preserve"> </w:t>
      </w:r>
      <w:r w:rsidR="005C08B3">
        <w:t>were</w:t>
      </w:r>
      <w:r w:rsidR="005C08B3" w:rsidRPr="003F6EF6">
        <w:t xml:space="preserve"> </w:t>
      </w:r>
      <w:r w:rsidR="00A833A2" w:rsidRPr="003F6EF6">
        <w:t xml:space="preserve">fire </w:t>
      </w:r>
      <w:r w:rsidR="005C08B3">
        <w:t xml:space="preserve">event </w:t>
      </w:r>
      <w:r w:rsidR="00A833A2" w:rsidRPr="003F6EF6">
        <w:t xml:space="preserve">incidents </w:t>
      </w:r>
      <w:r w:rsidR="00B35C5F" w:rsidRPr="003F6EF6">
        <w:t>(table</w:t>
      </w:r>
      <w:r w:rsidR="00F936A9">
        <w:t> </w:t>
      </w:r>
      <w:r w:rsidR="004029AC">
        <w:t>9A.13</w:t>
      </w:r>
      <w:r w:rsidR="00B35C5F" w:rsidRPr="003F6EF6">
        <w:t xml:space="preserve">). </w:t>
      </w:r>
    </w:p>
    <w:p w:rsidR="003576F3" w:rsidRPr="00DE5343" w:rsidRDefault="00756420" w:rsidP="00756420">
      <w:pPr>
        <w:pStyle w:val="BodyText"/>
      </w:pPr>
      <w:r w:rsidRPr="004E7F30">
        <w:t xml:space="preserve">More information on </w:t>
      </w:r>
      <w:r w:rsidR="00CD291F" w:rsidRPr="00DE5343">
        <w:t>the range of emergency events to which fire service organisations respond</w:t>
      </w:r>
      <w:r>
        <w:t xml:space="preserve"> can be found in section 9.3</w:t>
      </w:r>
      <w:r w:rsidR="00CD291F" w:rsidRPr="00DE5343">
        <w:t xml:space="preserve">. </w:t>
      </w:r>
    </w:p>
    <w:p w:rsidR="00986A8B" w:rsidRPr="00A05A09" w:rsidRDefault="00CB0FE1" w:rsidP="00B23F85">
      <w:pPr>
        <w:pStyle w:val="Heading2"/>
      </w:pPr>
      <w:bookmarkStart w:id="4" w:name="_Toc370724852"/>
      <w:r>
        <w:lastRenderedPageBreak/>
        <w:t>9.</w:t>
      </w:r>
      <w:r w:rsidR="00D52162">
        <w:rPr>
          <w:noProof/>
        </w:rPr>
        <w:t>2</w:t>
      </w:r>
      <w:r w:rsidR="00986A8B">
        <w:tab/>
      </w:r>
      <w:r w:rsidR="00986A8B" w:rsidRPr="00A05A09">
        <w:t>Framework of performance indicators</w:t>
      </w:r>
      <w:r w:rsidR="00986A8B">
        <w:t xml:space="preserve"> for </w:t>
      </w:r>
      <w:r w:rsidR="00986A8B" w:rsidRPr="00A05A09">
        <w:t>fire events</w:t>
      </w:r>
      <w:bookmarkEnd w:id="4"/>
    </w:p>
    <w:p w:rsidR="00986A8B" w:rsidRDefault="00986A8B" w:rsidP="00986A8B">
      <w:pPr>
        <w:pStyle w:val="BodyText"/>
      </w:pPr>
      <w:r w:rsidRPr="003F6EF6">
        <w:t>Figure </w:t>
      </w:r>
      <w:r w:rsidR="00970353">
        <w:t>9.1</w:t>
      </w:r>
      <w:r w:rsidR="00BF115A" w:rsidRPr="003F6EF6">
        <w:t xml:space="preserve"> </w:t>
      </w:r>
      <w:r w:rsidRPr="003F6EF6">
        <w:t xml:space="preserve">presents the performance indicator framework for fire events, based on the general framework for all emergency events (see the Emergency management </w:t>
      </w:r>
      <w:r w:rsidR="0095214A" w:rsidRPr="003F6EF6">
        <w:t>sector overview</w:t>
      </w:r>
      <w:r w:rsidRPr="003F6EF6">
        <w:t xml:space="preserve"> box D.3) and governments’ objectives for emergency services for fire events (box</w:t>
      </w:r>
      <w:r w:rsidR="00CE2426">
        <w:t> </w:t>
      </w:r>
      <w:r w:rsidR="00B2521B">
        <w:t>9.1</w:t>
      </w:r>
      <w:r w:rsidRPr="003F6EF6">
        <w:t xml:space="preserve">). </w:t>
      </w:r>
    </w:p>
    <w:p w:rsidR="0089007B" w:rsidRDefault="0089007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9007B" w:rsidTr="0089007B">
        <w:tc>
          <w:tcPr>
            <w:tcW w:w="8771" w:type="dxa"/>
            <w:tcBorders>
              <w:top w:val="single" w:sz="6" w:space="0" w:color="78A22F"/>
              <w:left w:val="nil"/>
              <w:bottom w:val="nil"/>
              <w:right w:val="nil"/>
            </w:tcBorders>
            <w:shd w:val="clear" w:color="auto" w:fill="F2F2F2" w:themeFill="background1" w:themeFillShade="F2"/>
          </w:tcPr>
          <w:p w:rsidR="0089007B" w:rsidRDefault="0089007B" w:rsidP="001C4E13">
            <w:pPr>
              <w:pStyle w:val="BoxTitle"/>
            </w:pPr>
            <w:r>
              <w:rPr>
                <w:b w:val="0"/>
              </w:rPr>
              <w:t xml:space="preserve">Box </w:t>
            </w:r>
            <w:bookmarkStart w:id="5" w:name="OLE_LINK16"/>
            <w:r w:rsidR="00CB0FE1">
              <w:rPr>
                <w:b w:val="0"/>
              </w:rPr>
              <w:t>9.</w:t>
            </w:r>
            <w:r w:rsidR="00D52162">
              <w:rPr>
                <w:b w:val="0"/>
                <w:noProof/>
              </w:rPr>
              <w:t>1</w:t>
            </w:r>
            <w:bookmarkEnd w:id="5"/>
            <w:r>
              <w:tab/>
            </w:r>
            <w:r w:rsidR="001C4E13" w:rsidRPr="001C4E13">
              <w:t>Objectives for emergency services for fire events</w:t>
            </w:r>
          </w:p>
        </w:tc>
      </w:tr>
      <w:tr w:rsidR="0089007B" w:rsidTr="0089007B">
        <w:trPr>
          <w:cantSplit/>
        </w:trPr>
        <w:tc>
          <w:tcPr>
            <w:tcW w:w="8771" w:type="dxa"/>
            <w:tcBorders>
              <w:top w:val="nil"/>
              <w:left w:val="nil"/>
              <w:bottom w:val="nil"/>
              <w:right w:val="nil"/>
            </w:tcBorders>
            <w:shd w:val="clear" w:color="auto" w:fill="F2F2F2" w:themeFill="background1" w:themeFillShade="F2"/>
          </w:tcPr>
          <w:p w:rsidR="0089007B" w:rsidRPr="003F6EF6" w:rsidRDefault="0089007B" w:rsidP="0089007B">
            <w:pPr>
              <w:pStyle w:val="Box"/>
            </w:pPr>
            <w:r w:rsidRPr="003F6EF6">
              <w:t>Emergency services for fire events aim to build fire resilient communities that work together to understand and manage the fire risks that they confront. Emergency management services provide highly effective, efficient and accessible services that:</w:t>
            </w:r>
          </w:p>
          <w:p w:rsidR="0089007B" w:rsidRPr="003F6EF6" w:rsidRDefault="0089007B" w:rsidP="0089007B">
            <w:pPr>
              <w:pStyle w:val="BoxListBullet"/>
            </w:pPr>
            <w:r w:rsidRPr="003F6EF6">
              <w:t>reduce the adverse effects of fire events on the community (including people, property, infrastructure, economy and environment)</w:t>
            </w:r>
          </w:p>
          <w:p w:rsidR="0089007B" w:rsidRPr="003F6EF6" w:rsidRDefault="0089007B" w:rsidP="0089007B">
            <w:pPr>
              <w:pStyle w:val="BoxListBullet"/>
            </w:pPr>
            <w:r w:rsidRPr="003F6EF6">
              <w:t>contribute to the management of fire risks to the community</w:t>
            </w:r>
          </w:p>
          <w:p w:rsidR="0089007B" w:rsidRPr="003F6EF6" w:rsidRDefault="0089007B" w:rsidP="0089007B">
            <w:pPr>
              <w:pStyle w:val="BoxListBullet"/>
            </w:pPr>
            <w:r w:rsidRPr="003F6EF6">
              <w:t>enhance public safety.</w:t>
            </w:r>
          </w:p>
        </w:tc>
      </w:tr>
      <w:tr w:rsidR="0089007B" w:rsidTr="0089007B">
        <w:trPr>
          <w:cantSplit/>
        </w:trPr>
        <w:tc>
          <w:tcPr>
            <w:tcW w:w="8771" w:type="dxa"/>
            <w:tcBorders>
              <w:top w:val="nil"/>
              <w:left w:val="nil"/>
              <w:bottom w:val="single" w:sz="6" w:space="0" w:color="78A22F"/>
              <w:right w:val="nil"/>
            </w:tcBorders>
            <w:shd w:val="clear" w:color="auto" w:fill="F2F2F2" w:themeFill="background1" w:themeFillShade="F2"/>
          </w:tcPr>
          <w:p w:rsidR="0089007B" w:rsidRDefault="0089007B">
            <w:pPr>
              <w:pStyle w:val="Box"/>
              <w:spacing w:before="0" w:line="120" w:lineRule="exact"/>
            </w:pPr>
          </w:p>
        </w:tc>
      </w:tr>
      <w:tr w:rsidR="0089007B" w:rsidRPr="000863A5" w:rsidTr="0089007B">
        <w:tc>
          <w:tcPr>
            <w:tcW w:w="8771" w:type="dxa"/>
            <w:tcBorders>
              <w:top w:val="single" w:sz="6" w:space="0" w:color="78A22F"/>
              <w:left w:val="nil"/>
              <w:bottom w:val="nil"/>
              <w:right w:val="nil"/>
            </w:tcBorders>
          </w:tcPr>
          <w:p w:rsidR="0089007B" w:rsidRPr="00626D32" w:rsidRDefault="0089007B" w:rsidP="0089007B">
            <w:pPr>
              <w:pStyle w:val="BoxSpaceBelow"/>
            </w:pPr>
          </w:p>
        </w:tc>
      </w:tr>
    </w:tbl>
    <w:p w:rsidR="00647A72" w:rsidRDefault="00516C38" w:rsidP="00DE5D3D">
      <w:pPr>
        <w:pStyle w:val="BodyText"/>
      </w:pPr>
      <w:r w:rsidRPr="00516C38">
        <w:t xml:space="preserve">The performance indicator framework provides information on equity, efficiency and effectiveness, and distinguishes the outputs and outcomes of </w:t>
      </w:r>
      <w:r w:rsidR="00647A72" w:rsidRPr="003F6EF6">
        <w:t>emergency services for fire events (figure</w:t>
      </w:r>
      <w:r w:rsidR="00243CD6">
        <w:t> </w:t>
      </w:r>
      <w:r w:rsidR="00970353">
        <w:t>9.1</w:t>
      </w:r>
      <w:r w:rsidR="00647A72" w:rsidRPr="003F6EF6">
        <w:t>). To reflect the activities of the emergency management sector, performance reporting also reflects the prevention/mitigation, preparedness, response and recovery framework (</w:t>
      </w:r>
      <w:r w:rsidR="0095214A" w:rsidRPr="003F6EF6">
        <w:t>sector overview</w:t>
      </w:r>
      <w:r w:rsidR="00B23F85" w:rsidRPr="003F6EF6">
        <w:t> D</w:t>
      </w:r>
      <w:r w:rsidR="00647A72" w:rsidRPr="003F6EF6">
        <w:t xml:space="preserve">). </w:t>
      </w:r>
      <w:r w:rsidRPr="00516C38">
        <w:t>The performance indicator framework shows which data are comparable in the 2015 Report. For data that are not considered directly comparable, text includes relevant caveats and supporting commentary. Chapter</w:t>
      </w:r>
      <w:r>
        <w:t> </w:t>
      </w:r>
      <w:r w:rsidRPr="00516C38">
        <w:t xml:space="preserve">1 discusses data comparability </w:t>
      </w:r>
      <w:r w:rsidR="005374AD" w:rsidRPr="00B721C9">
        <w:t>and data completeness</w:t>
      </w:r>
      <w:r w:rsidR="005374AD">
        <w:t xml:space="preserve"> </w:t>
      </w:r>
      <w:r w:rsidRPr="00516C38">
        <w:t>from a Report</w:t>
      </w:r>
      <w:r w:rsidR="0026487F">
        <w:noBreakHyphen/>
      </w:r>
      <w:r w:rsidRPr="00516C38">
        <w:t>wide perspective (section</w:t>
      </w:r>
      <w:r>
        <w:t> </w:t>
      </w:r>
      <w:r w:rsidRPr="00516C38">
        <w:t>1.6).</w:t>
      </w:r>
    </w:p>
    <w:p w:rsidR="00171A40" w:rsidRPr="003F6EF6" w:rsidRDefault="00516C38" w:rsidP="00171A40">
      <w:pPr>
        <w:pStyle w:val="BodyText"/>
      </w:pPr>
      <w:r w:rsidRPr="00516C38">
        <w:t>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w:t>
      </w:r>
      <w:r w:rsidR="0026487F">
        <w:noBreakHyphen/>
      </w:r>
      <w:r w:rsidRPr="00516C38">
        <w:t xml:space="preserve"> and ethnic</w:t>
      </w:r>
      <w:r w:rsidR="0026487F">
        <w:noBreakHyphen/>
      </w:r>
      <w:r w:rsidRPr="00516C38">
        <w:t>status) (chapter 2).</w:t>
      </w:r>
    </w:p>
    <w:p w:rsidR="003551EB" w:rsidRDefault="003551EB" w:rsidP="003551E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551EB" w:rsidTr="003551EB">
        <w:tc>
          <w:tcPr>
            <w:tcW w:w="8771" w:type="dxa"/>
            <w:tcBorders>
              <w:top w:val="single" w:sz="6" w:space="0" w:color="78A22F"/>
              <w:left w:val="nil"/>
              <w:bottom w:val="nil"/>
              <w:right w:val="nil"/>
            </w:tcBorders>
            <w:shd w:val="clear" w:color="auto" w:fill="auto"/>
          </w:tcPr>
          <w:p w:rsidR="003551EB" w:rsidRPr="00176D3F" w:rsidRDefault="003551EB" w:rsidP="003551EB">
            <w:pPr>
              <w:pStyle w:val="FigureTitle"/>
            </w:pPr>
            <w:r w:rsidRPr="00784A05">
              <w:rPr>
                <w:b w:val="0"/>
              </w:rPr>
              <w:t xml:space="preserve">Figure </w:t>
            </w:r>
            <w:bookmarkStart w:id="6" w:name="OLE_LINK68"/>
            <w:r w:rsidR="00B2521B">
              <w:rPr>
                <w:b w:val="0"/>
              </w:rPr>
              <w:t>9.</w:t>
            </w:r>
            <w:r w:rsidR="00D52162">
              <w:rPr>
                <w:b w:val="0"/>
                <w:noProof/>
              </w:rPr>
              <w:t>1</w:t>
            </w:r>
            <w:bookmarkEnd w:id="6"/>
            <w:r>
              <w:tab/>
            </w:r>
            <w:r w:rsidRPr="00FB2CB0">
              <w:t>Fire events performance indicator framework</w:t>
            </w:r>
            <w:r>
              <w:t xml:space="preserve"> </w:t>
            </w:r>
          </w:p>
        </w:tc>
      </w:tr>
      <w:tr w:rsidR="003551EB" w:rsidTr="003551EB">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3551EB" w:rsidTr="003551EB">
              <w:tc>
                <w:tcPr>
                  <w:tcW w:w="5000" w:type="pct"/>
                  <w:tcBorders>
                    <w:top w:val="nil"/>
                    <w:bottom w:val="nil"/>
                  </w:tcBorders>
                </w:tcPr>
                <w:p w:rsidR="003551EB" w:rsidRDefault="007245E4" w:rsidP="003551EB">
                  <w:pPr>
                    <w:pStyle w:val="Figure"/>
                    <w:spacing w:before="60" w:after="60"/>
                  </w:pPr>
                  <w:r>
                    <w:rPr>
                      <w:noProof/>
                    </w:rPr>
                    <w:drawing>
                      <wp:inline distT="0" distB="0" distL="0" distR="0">
                        <wp:extent cx="5386705" cy="4999355"/>
                        <wp:effectExtent l="0" t="0" r="4445" b="0"/>
                        <wp:docPr id="7" name="Picture 7" descr="Figure 9.1 Fire even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6705" cy="4999355"/>
                                </a:xfrm>
                                <a:prstGeom prst="rect">
                                  <a:avLst/>
                                </a:prstGeom>
                                <a:noFill/>
                                <a:ln>
                                  <a:noFill/>
                                </a:ln>
                              </pic:spPr>
                            </pic:pic>
                          </a:graphicData>
                        </a:graphic>
                      </wp:inline>
                    </w:drawing>
                  </w:r>
                </w:p>
              </w:tc>
            </w:tr>
          </w:tbl>
          <w:p w:rsidR="003551EB" w:rsidRDefault="003551EB" w:rsidP="003551EB">
            <w:pPr>
              <w:pStyle w:val="Figure"/>
            </w:pPr>
          </w:p>
        </w:tc>
      </w:tr>
      <w:tr w:rsidR="003551EB" w:rsidTr="003551EB">
        <w:tc>
          <w:tcPr>
            <w:tcW w:w="8771" w:type="dxa"/>
            <w:tcBorders>
              <w:top w:val="nil"/>
              <w:left w:val="nil"/>
              <w:bottom w:val="single" w:sz="6" w:space="0" w:color="78A22F"/>
              <w:right w:val="nil"/>
            </w:tcBorders>
            <w:shd w:val="clear" w:color="auto" w:fill="auto"/>
          </w:tcPr>
          <w:p w:rsidR="003551EB" w:rsidRDefault="003551EB" w:rsidP="003551EB">
            <w:pPr>
              <w:pStyle w:val="Figurespace"/>
            </w:pPr>
          </w:p>
        </w:tc>
      </w:tr>
      <w:tr w:rsidR="003551EB" w:rsidRPr="000863A5" w:rsidTr="003551EB">
        <w:tc>
          <w:tcPr>
            <w:tcW w:w="8771" w:type="dxa"/>
            <w:tcBorders>
              <w:top w:val="single" w:sz="6" w:space="0" w:color="78A22F"/>
              <w:left w:val="nil"/>
              <w:bottom w:val="nil"/>
              <w:right w:val="nil"/>
            </w:tcBorders>
          </w:tcPr>
          <w:p w:rsidR="003551EB" w:rsidRPr="00626D32" w:rsidRDefault="003551EB" w:rsidP="003551EB">
            <w:pPr>
              <w:pStyle w:val="BoxSpaceBelow"/>
            </w:pPr>
          </w:p>
        </w:tc>
      </w:tr>
    </w:tbl>
    <w:p w:rsidR="00516C38" w:rsidRPr="00D76CC2" w:rsidRDefault="00516C38" w:rsidP="00516C38">
      <w:pPr>
        <w:spacing w:before="240" w:line="320" w:lineRule="atLeast"/>
        <w:jc w:val="both"/>
        <w:rPr>
          <w:szCs w:val="20"/>
        </w:rPr>
      </w:pPr>
      <w:r w:rsidRPr="00516C38">
        <w:rPr>
          <w:szCs w:val="20"/>
        </w:rPr>
        <w:t xml:space="preserve">Data quality information (DQI) is being progressively introduced for all indicators in the Report. The purpose of DQI is to provide structured and consistent information about quality aspects of data used to report on performance indicators, in addition to material in the chapter or sector overview and attachment tables. DQI in this Report cover the seven dimensions in the </w:t>
      </w:r>
      <w:r w:rsidR="00256B44">
        <w:rPr>
          <w:szCs w:val="20"/>
        </w:rPr>
        <w:t>Australian Bureau of Statistics (</w:t>
      </w:r>
      <w:r w:rsidRPr="00516C38">
        <w:rPr>
          <w:szCs w:val="20"/>
        </w:rPr>
        <w:t>ABS</w:t>
      </w:r>
      <w:r w:rsidR="00256B44">
        <w:rPr>
          <w:szCs w:val="20"/>
        </w:rPr>
        <w:t>)</w:t>
      </w:r>
      <w:r w:rsidRPr="00516C38">
        <w:rPr>
          <w:szCs w:val="20"/>
        </w:rPr>
        <w:t xml:space="preserve"> data quality framework (institutional environment, relevance, timeliness, accuracy, coherence, accessibility and interpretability) in addition to dimensions that define and describe performance indicators in a consistent manner, and key data gaps and issues identified by the Steering Committee. All DQI for the 2015</w:t>
      </w:r>
      <w:r>
        <w:rPr>
          <w:szCs w:val="20"/>
        </w:rPr>
        <w:t> </w:t>
      </w:r>
      <w:r w:rsidRPr="00516C38">
        <w:rPr>
          <w:szCs w:val="20"/>
        </w:rPr>
        <w:t>Repor</w:t>
      </w:r>
      <w:r w:rsidR="00DA507A">
        <w:rPr>
          <w:szCs w:val="20"/>
        </w:rPr>
        <w:t>t can be found at www.pc.gov.au</w:t>
      </w:r>
      <w:r w:rsidRPr="00516C38">
        <w:rPr>
          <w:szCs w:val="20"/>
        </w:rPr>
        <w:t>/rogs/2015.</w:t>
      </w:r>
    </w:p>
    <w:p w:rsidR="00F26E40" w:rsidRPr="003F6EF6" w:rsidRDefault="00F26E40" w:rsidP="00F26E40">
      <w:pPr>
        <w:pStyle w:val="BodyText"/>
      </w:pPr>
      <w:r w:rsidRPr="003F6EF6">
        <w:t>Performance information is reported for a number of indicators. These results might have been influenced by factors such as differences in climatic and weather conditions, the socio</w:t>
      </w:r>
      <w:r w:rsidRPr="003F6EF6">
        <w:noBreakHyphen/>
        <w:t xml:space="preserve">demographic and topographic composition of jurisdictions, property values and </w:t>
      </w:r>
      <w:r w:rsidRPr="003F6EF6">
        <w:lastRenderedPageBreak/>
        <w:t>dwelling construction types. Importantly, jurisdictions also have diverse legislative fire protection requirements.</w:t>
      </w:r>
    </w:p>
    <w:p w:rsidR="00F26E40" w:rsidRPr="003F6EF6" w:rsidRDefault="00F26E40" w:rsidP="00F26E40">
      <w:pPr>
        <w:pStyle w:val="BodyText"/>
      </w:pPr>
      <w:r w:rsidRPr="003F6EF6">
        <w:t>Results need to be interpreted with care because data might have been derived from small samples (for example, jurisdictions’ fire safety measures surveys) or may be highly variable as a result of relatively small populations (as in Tasmania, the ACT and the NT).</w:t>
      </w:r>
    </w:p>
    <w:p w:rsidR="004E600B" w:rsidRPr="003F6EF6" w:rsidRDefault="004E600B" w:rsidP="004E600B">
      <w:pPr>
        <w:pStyle w:val="BodyText"/>
      </w:pPr>
      <w:r w:rsidRPr="003F6EF6">
        <w:t>The role of volunteers also needs to be considered when interpreting some indicators (such as fire service organisation expenditure per person). Volunteer personnel provide a substantial proportion of fire services (and emergency services more generally). While costs such as the training and equipment associated with volunteers are included in the cost of fire service provision, the labour costs of providing fire services would be greater without volunteers (assuming these functions were still performed).</w:t>
      </w:r>
    </w:p>
    <w:p w:rsidR="00986A8B" w:rsidRPr="003F6EF6" w:rsidRDefault="00986A8B" w:rsidP="00986A8B">
      <w:pPr>
        <w:pStyle w:val="BodyText"/>
      </w:pPr>
      <w:r w:rsidRPr="003F6EF6">
        <w:t xml:space="preserve">Information has not been reported for all fire events in each jurisdiction consistently over time. Reported results sometimes exclude rural fire events, so performance data are not always directly comparable across jurisdictions. </w:t>
      </w:r>
    </w:p>
    <w:p w:rsidR="00986A8B" w:rsidRDefault="00B2521B" w:rsidP="00986A8B">
      <w:pPr>
        <w:pStyle w:val="Heading2"/>
      </w:pPr>
      <w:bookmarkStart w:id="7" w:name="_Toc370724853"/>
      <w:r>
        <w:t>9.</w:t>
      </w:r>
      <w:r w:rsidR="00D52162">
        <w:rPr>
          <w:noProof/>
        </w:rPr>
        <w:t>3</w:t>
      </w:r>
      <w:r w:rsidR="00986A8B">
        <w:tab/>
      </w:r>
      <w:r w:rsidR="00986A8B" w:rsidRPr="00A05A09">
        <w:t>Key performance indicator results</w:t>
      </w:r>
      <w:r w:rsidR="00986A8B">
        <w:t xml:space="preserve"> </w:t>
      </w:r>
      <w:r w:rsidR="00986A8B" w:rsidRPr="005D465C">
        <w:t>for fire events</w:t>
      </w:r>
      <w:bookmarkEnd w:id="7"/>
      <w:r w:rsidR="00986A8B" w:rsidRPr="005D465C">
        <w:t xml:space="preserve"> </w:t>
      </w:r>
    </w:p>
    <w:p w:rsidR="00986A8B" w:rsidRPr="00A05A09" w:rsidRDefault="00986A8B" w:rsidP="00337BA6">
      <w:pPr>
        <w:pStyle w:val="Heading3"/>
        <w:spacing w:before="480"/>
      </w:pPr>
      <w:r w:rsidRPr="00A05A09">
        <w:t xml:space="preserve">Outputs </w:t>
      </w:r>
    </w:p>
    <w:p w:rsidR="00986A8B" w:rsidRDefault="00986A8B" w:rsidP="00A90E73">
      <w:pPr>
        <w:pStyle w:val="BodyText"/>
      </w:pPr>
      <w:r w:rsidRPr="003F6EF6">
        <w:t xml:space="preserve">Outputs are the services delivered (while outcomes are the impact of these services on the status of an individual or group) (see chapter 1, section 1.5). </w:t>
      </w:r>
    </w:p>
    <w:p w:rsidR="00986A8B" w:rsidRPr="00A05A09" w:rsidRDefault="00986A8B" w:rsidP="00A90E73">
      <w:pPr>
        <w:pStyle w:val="Heading4"/>
        <w:spacing w:before="360"/>
      </w:pPr>
      <w:r w:rsidRPr="00A05A09">
        <w:t xml:space="preserve">Equity and effectiveness </w:t>
      </w:r>
    </w:p>
    <w:p w:rsidR="004640B4" w:rsidRDefault="00986A8B" w:rsidP="00A90E73">
      <w:pPr>
        <w:pStyle w:val="BodyText"/>
      </w:pPr>
      <w:r w:rsidRPr="00CB27BE">
        <w:t xml:space="preserve">Equity and effectiveness indicators are linked for fire events. </w:t>
      </w:r>
    </w:p>
    <w:p w:rsidR="004640B4" w:rsidRDefault="00986A8B" w:rsidP="00A90E73">
      <w:pPr>
        <w:pStyle w:val="ListBullet"/>
      </w:pPr>
      <w:r w:rsidRPr="00CB27BE">
        <w:t>The equity dimension relates to whether specific parts of the community with special needs or difficulties in accessing government services benefit from fire services’ activities</w:t>
      </w:r>
      <w:r w:rsidR="004D526F" w:rsidRPr="00CB27BE">
        <w:t>.</w:t>
      </w:r>
      <w:r w:rsidRPr="00CB27BE">
        <w:t xml:space="preserve"> </w:t>
      </w:r>
      <w:r w:rsidR="004D526F" w:rsidRPr="00CB27BE">
        <w:t xml:space="preserve">This </w:t>
      </w:r>
      <w:r w:rsidRPr="00CB27BE">
        <w:t xml:space="preserve">chapter currently provides data on services provided in remote locations, but not </w:t>
      </w:r>
      <w:r w:rsidR="000F19BD">
        <w:t xml:space="preserve">for </w:t>
      </w:r>
      <w:r w:rsidRPr="00CB27BE">
        <w:t xml:space="preserve">other special needs groups. </w:t>
      </w:r>
    </w:p>
    <w:p w:rsidR="004640B4" w:rsidRDefault="004640B4" w:rsidP="00A90E73">
      <w:pPr>
        <w:pStyle w:val="ListBullet"/>
      </w:pPr>
      <w:r>
        <w:t>The effectiveness dimension relates to the fire service organisations’ ability to meet the objectives of prevention/mitigation, preparedness, response and recovery.</w:t>
      </w:r>
    </w:p>
    <w:p w:rsidR="004640B4" w:rsidRPr="00A05A09" w:rsidRDefault="004640B4" w:rsidP="00A90E73">
      <w:pPr>
        <w:pStyle w:val="Heading4"/>
        <w:spacing w:before="360"/>
      </w:pPr>
      <w:r w:rsidRPr="00A05A09">
        <w:t>Equity and effectiveness — prevention/mitigation</w:t>
      </w:r>
    </w:p>
    <w:p w:rsidR="004640B4" w:rsidRDefault="004640B4" w:rsidP="00A90E73">
      <w:pPr>
        <w:pStyle w:val="BodyText"/>
      </w:pPr>
      <w:r>
        <w:t>P</w:t>
      </w:r>
      <w:r w:rsidRPr="00CB27BE">
        <w:t>revention/mitigation indicators relate to fire service organisations’ ability to prevent fires and mitigate fire damage.</w:t>
      </w:r>
    </w:p>
    <w:p w:rsidR="00416A49" w:rsidRDefault="00416A49" w:rsidP="001D4B1E">
      <w:pPr>
        <w:pStyle w:val="Heading5"/>
      </w:pPr>
      <w:r w:rsidRPr="00CB27BE">
        <w:lastRenderedPageBreak/>
        <w:t>Fire incidents</w:t>
      </w:r>
    </w:p>
    <w:p w:rsidR="00416A49" w:rsidRDefault="00416A49" w:rsidP="00416A49">
      <w:pPr>
        <w:pStyle w:val="BodyText"/>
      </w:pPr>
      <w:r w:rsidRPr="00CB27BE">
        <w:t xml:space="preserve">‘Fire incidents’ is an indicator of governments’ objective to manage the risk of fires by </w:t>
      </w:r>
      <w:r w:rsidR="00F26E40" w:rsidRPr="00CB27BE">
        <w:t>preventing/</w:t>
      </w:r>
      <w:r w:rsidRPr="00CB27BE">
        <w:t>reducing the number of structure, landscape and other fires (box</w:t>
      </w:r>
      <w:r w:rsidR="005D4946">
        <w:t> </w:t>
      </w:r>
      <w:r w:rsidR="00800D6F">
        <w:t>9.2</w:t>
      </w:r>
      <w:r w:rsidRPr="00CB27BE">
        <w:t>).</w:t>
      </w:r>
    </w:p>
    <w:p w:rsidR="001C4E13" w:rsidRDefault="001C4E1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C4E13" w:rsidTr="0058308D">
        <w:tc>
          <w:tcPr>
            <w:tcW w:w="8771" w:type="dxa"/>
            <w:tcBorders>
              <w:top w:val="single" w:sz="6" w:space="0" w:color="78A22F"/>
              <w:left w:val="nil"/>
              <w:bottom w:val="nil"/>
              <w:right w:val="nil"/>
            </w:tcBorders>
            <w:shd w:val="clear" w:color="auto" w:fill="F2F2F2" w:themeFill="background1" w:themeFillShade="F2"/>
          </w:tcPr>
          <w:p w:rsidR="001C4E13" w:rsidRDefault="001C4E13" w:rsidP="001C4E13">
            <w:pPr>
              <w:pStyle w:val="BoxTitle"/>
            </w:pPr>
            <w:r>
              <w:rPr>
                <w:b w:val="0"/>
              </w:rPr>
              <w:t xml:space="preserve">Box </w:t>
            </w:r>
            <w:bookmarkStart w:id="8" w:name="OLE_LINK6"/>
            <w:r w:rsidR="00B2521B">
              <w:rPr>
                <w:b w:val="0"/>
              </w:rPr>
              <w:t>9.</w:t>
            </w:r>
            <w:r w:rsidR="00D52162">
              <w:rPr>
                <w:b w:val="0"/>
                <w:noProof/>
              </w:rPr>
              <w:t>2</w:t>
            </w:r>
            <w:bookmarkEnd w:id="8"/>
            <w:r>
              <w:tab/>
            </w:r>
            <w:r w:rsidRPr="002F1A36">
              <w:t>Fire incidents</w:t>
            </w:r>
          </w:p>
        </w:tc>
      </w:tr>
      <w:tr w:rsidR="001C4E13" w:rsidTr="0058308D">
        <w:trPr>
          <w:cantSplit/>
        </w:trPr>
        <w:tc>
          <w:tcPr>
            <w:tcW w:w="8771" w:type="dxa"/>
            <w:tcBorders>
              <w:top w:val="nil"/>
              <w:left w:val="nil"/>
              <w:bottom w:val="nil"/>
              <w:right w:val="nil"/>
            </w:tcBorders>
            <w:shd w:val="clear" w:color="auto" w:fill="F2F2F2" w:themeFill="background1" w:themeFillShade="F2"/>
          </w:tcPr>
          <w:p w:rsidR="001C4E13" w:rsidRPr="002F1A36" w:rsidRDefault="001C4E13" w:rsidP="00110310">
            <w:pPr>
              <w:pStyle w:val="Box"/>
            </w:pPr>
            <w:r w:rsidRPr="002F1A36">
              <w:t xml:space="preserve">‘Fire incidents’ is defined as the number of </w:t>
            </w:r>
            <w:r w:rsidR="00AE6E00">
              <w:t xml:space="preserve">fire </w:t>
            </w:r>
            <w:r w:rsidRPr="002F1A36">
              <w:t xml:space="preserve">events that are reported to a fire service </w:t>
            </w:r>
            <w:r w:rsidR="00AE6E00">
              <w:t xml:space="preserve">organisation that </w:t>
            </w:r>
            <w:r w:rsidRPr="002F1A36">
              <w:t>require a response</w:t>
            </w:r>
            <w:r w:rsidR="00AE6E00">
              <w:t>,</w:t>
            </w:r>
            <w:r w:rsidRPr="002F1A36">
              <w:t xml:space="preserve"> per 100</w:t>
            </w:r>
            <w:r>
              <w:t> </w:t>
            </w:r>
            <w:r w:rsidRPr="002F1A36">
              <w:t>000 people</w:t>
            </w:r>
            <w:r w:rsidR="00110310">
              <w:t>.</w:t>
            </w:r>
          </w:p>
          <w:p w:rsidR="001C4E13" w:rsidRPr="002F1A36" w:rsidRDefault="00270D9F" w:rsidP="0058308D">
            <w:pPr>
              <w:pStyle w:val="Box"/>
            </w:pPr>
            <w:r>
              <w:t>A</w:t>
            </w:r>
            <w:r w:rsidRPr="002F1A36">
              <w:t>s contextual information</w:t>
            </w:r>
            <w:r>
              <w:t>,</w:t>
            </w:r>
            <w:r w:rsidRPr="002F1A36">
              <w:t xml:space="preserve"> measures </w:t>
            </w:r>
            <w:r>
              <w:t xml:space="preserve">are </w:t>
            </w:r>
            <w:r w:rsidR="00F33424">
              <w:t xml:space="preserve">also </w:t>
            </w:r>
            <w:r>
              <w:t xml:space="preserve">provided for </w:t>
            </w:r>
            <w:r w:rsidR="00F33424">
              <w:t xml:space="preserve">false alarm events and </w:t>
            </w:r>
            <w:r w:rsidR="001C4E13" w:rsidRPr="002F1A36">
              <w:t>non</w:t>
            </w:r>
            <w:r w:rsidR="001C4E13">
              <w:noBreakHyphen/>
            </w:r>
            <w:r>
              <w:t>fire</w:t>
            </w:r>
            <w:r w:rsidR="001C4E13" w:rsidRPr="002F1A36">
              <w:t xml:space="preserve"> </w:t>
            </w:r>
            <w:r>
              <w:t xml:space="preserve">events that </w:t>
            </w:r>
            <w:r w:rsidR="001C4E13" w:rsidRPr="002F1A36">
              <w:t xml:space="preserve">fire service organisations </w:t>
            </w:r>
            <w:r>
              <w:t>attend</w:t>
            </w:r>
            <w:r w:rsidR="001C4E13" w:rsidRPr="002F1A36">
              <w:t xml:space="preserve">. </w:t>
            </w:r>
          </w:p>
          <w:p w:rsidR="001C4E13" w:rsidRPr="002F1A36" w:rsidRDefault="001C4E13" w:rsidP="0058308D">
            <w:pPr>
              <w:pStyle w:val="Box"/>
            </w:pPr>
            <w:r w:rsidRPr="002F1A36">
              <w:t xml:space="preserve">A low or decreasing number of fire incidents </w:t>
            </w:r>
            <w:r w:rsidR="00F33424">
              <w:t xml:space="preserve">per 100 000 people </w:t>
            </w:r>
            <w:r w:rsidRPr="002F1A36">
              <w:t xml:space="preserve">suggests </w:t>
            </w:r>
            <w:r w:rsidR="00F33424">
              <w:t xml:space="preserve">a </w:t>
            </w:r>
            <w:r w:rsidRPr="002F1A36">
              <w:t>greater likelihood that the adverse effects of fire will be avoided or reduced.</w:t>
            </w:r>
          </w:p>
          <w:p w:rsidR="001C4E13" w:rsidRDefault="001C4E13" w:rsidP="0058308D">
            <w:pPr>
              <w:pStyle w:val="Box"/>
            </w:pPr>
            <w:r w:rsidRPr="0052371F">
              <w:t>Data reported for this measure are</w:t>
            </w:r>
            <w:r>
              <w:t>:</w:t>
            </w:r>
          </w:p>
          <w:p w:rsidR="001C4E13" w:rsidRDefault="001C4E13" w:rsidP="0058308D">
            <w:pPr>
              <w:pStyle w:val="BoxListBullet"/>
            </w:pPr>
            <w:r w:rsidRPr="0052371F">
              <w:t>comparable (subject to caveats) within jurisdictions over time but are not comparable across jurisdictions</w:t>
            </w:r>
          </w:p>
          <w:p w:rsidR="001C4E13" w:rsidRPr="002F1A36" w:rsidRDefault="001C4E13" w:rsidP="0058308D">
            <w:pPr>
              <w:pStyle w:val="BoxListBullet"/>
            </w:pPr>
            <w:r>
              <w:t>complete (subject to caveats) for the current reporting period</w:t>
            </w:r>
            <w:r w:rsidRPr="0052371F">
              <w:t xml:space="preserve">. All required </w:t>
            </w:r>
            <w:r w:rsidR="00FA5D77">
              <w:t>2013</w:t>
            </w:r>
            <w:r w:rsidR="0026487F">
              <w:noBreakHyphen/>
            </w:r>
            <w:r w:rsidR="00FA5D77">
              <w:t>14</w:t>
            </w:r>
            <w:r>
              <w:t xml:space="preserve"> </w:t>
            </w:r>
            <w:r w:rsidRPr="0052371F">
              <w:t>data are available for all jurisdictions.</w:t>
            </w:r>
          </w:p>
          <w:p w:rsidR="001C4E13" w:rsidRPr="002F1A36" w:rsidRDefault="001C4E13" w:rsidP="0058308D">
            <w:pPr>
              <w:pStyle w:val="Box"/>
            </w:pPr>
            <w:r w:rsidRPr="00231BC8">
              <w:t>Data quality information for this indicator</w:t>
            </w:r>
            <w:r w:rsidR="00DA507A">
              <w:t xml:space="preserve"> is at www.pc.gov.au</w:t>
            </w:r>
            <w:r w:rsidR="00992CC1">
              <w:t>/rogs/2015</w:t>
            </w:r>
            <w:r w:rsidRPr="00231BC8">
              <w:t>.</w:t>
            </w:r>
          </w:p>
        </w:tc>
      </w:tr>
      <w:tr w:rsidR="001C4E13" w:rsidTr="0058308D">
        <w:trPr>
          <w:cantSplit/>
        </w:trPr>
        <w:tc>
          <w:tcPr>
            <w:tcW w:w="8771" w:type="dxa"/>
            <w:tcBorders>
              <w:top w:val="nil"/>
              <w:left w:val="nil"/>
              <w:bottom w:val="single" w:sz="6" w:space="0" w:color="78A22F"/>
              <w:right w:val="nil"/>
            </w:tcBorders>
            <w:shd w:val="clear" w:color="auto" w:fill="F2F2F2" w:themeFill="background1" w:themeFillShade="F2"/>
          </w:tcPr>
          <w:p w:rsidR="001C4E13" w:rsidRDefault="001C4E13">
            <w:pPr>
              <w:pStyle w:val="Box"/>
              <w:spacing w:before="0" w:line="120" w:lineRule="exact"/>
            </w:pPr>
          </w:p>
        </w:tc>
      </w:tr>
      <w:tr w:rsidR="001C4E13" w:rsidRPr="000863A5" w:rsidTr="0058308D">
        <w:tc>
          <w:tcPr>
            <w:tcW w:w="8771" w:type="dxa"/>
            <w:tcBorders>
              <w:top w:val="single" w:sz="6" w:space="0" w:color="78A22F"/>
              <w:left w:val="nil"/>
              <w:bottom w:val="nil"/>
              <w:right w:val="nil"/>
            </w:tcBorders>
          </w:tcPr>
          <w:p w:rsidR="001C4E13" w:rsidRPr="00626D32" w:rsidRDefault="001C4E13" w:rsidP="0058308D">
            <w:pPr>
              <w:pStyle w:val="BoxSpaceBelow"/>
            </w:pPr>
          </w:p>
        </w:tc>
      </w:tr>
    </w:tbl>
    <w:p w:rsidR="004B0270" w:rsidRPr="00930A0C" w:rsidRDefault="0077787A" w:rsidP="004B0270">
      <w:pPr>
        <w:pStyle w:val="BodyText"/>
      </w:pPr>
      <w:r w:rsidRPr="002E1A20">
        <w:t>Nationally</w:t>
      </w:r>
      <w:r w:rsidR="00756420">
        <w:t xml:space="preserve"> </w:t>
      </w:r>
      <w:r w:rsidR="00756420" w:rsidRPr="002E1A20">
        <w:t xml:space="preserve">in </w:t>
      </w:r>
      <w:r w:rsidR="00756420">
        <w:t>2013</w:t>
      </w:r>
      <w:r w:rsidR="0026487F">
        <w:noBreakHyphen/>
      </w:r>
      <w:r w:rsidR="00756420">
        <w:t>14</w:t>
      </w:r>
      <w:r w:rsidRPr="002E1A20">
        <w:t>,</w:t>
      </w:r>
      <w:r w:rsidR="00756420">
        <w:t xml:space="preserve"> fire service organisations attended </w:t>
      </w:r>
      <w:r w:rsidR="00B2521B">
        <w:t>437</w:t>
      </w:r>
      <w:r w:rsidRPr="002E1A20">
        <w:t xml:space="preserve"> fire incidents per</w:t>
      </w:r>
      <w:r w:rsidR="00F33424">
        <w:t> </w:t>
      </w:r>
      <w:r w:rsidRPr="002E1A20">
        <w:t>100 000</w:t>
      </w:r>
      <w:r w:rsidR="00F33424">
        <w:t> </w:t>
      </w:r>
      <w:r w:rsidRPr="002E1A20">
        <w:t xml:space="preserve">people </w:t>
      </w:r>
      <w:r w:rsidR="00756420">
        <w:t>in the population</w:t>
      </w:r>
      <w:r w:rsidRPr="002E1A20">
        <w:t xml:space="preserve">, a </w:t>
      </w:r>
      <w:r w:rsidR="00FC5EA0">
        <w:t>de</w:t>
      </w:r>
      <w:r w:rsidRPr="002E1A20">
        <w:t xml:space="preserve">crease from the rate of </w:t>
      </w:r>
      <w:r w:rsidR="00B2521B" w:rsidRPr="00B2521B">
        <w:rPr>
          <w:bCs/>
          <w:lang w:val="en-US"/>
        </w:rPr>
        <w:t>490</w:t>
      </w:r>
      <w:r w:rsidRPr="00381C48">
        <w:t xml:space="preserve"> </w:t>
      </w:r>
      <w:r w:rsidR="00F33424" w:rsidRPr="002E1A20">
        <w:t>fire incidents per 100 000</w:t>
      </w:r>
      <w:r w:rsidR="00F33424">
        <w:t> </w:t>
      </w:r>
      <w:r w:rsidR="00F33424" w:rsidRPr="002E1A20">
        <w:t xml:space="preserve">people </w:t>
      </w:r>
      <w:r w:rsidRPr="002E1A20">
        <w:t>in 201</w:t>
      </w:r>
      <w:r w:rsidR="00756420">
        <w:t>2</w:t>
      </w:r>
      <w:r w:rsidRPr="002E1A20">
        <w:noBreakHyphen/>
        <w:t>1</w:t>
      </w:r>
      <w:r w:rsidR="00756420">
        <w:t>3</w:t>
      </w:r>
      <w:r w:rsidRPr="002E1A20">
        <w:t xml:space="preserve"> (figure</w:t>
      </w:r>
      <w:r w:rsidR="005D4946">
        <w:t> </w:t>
      </w:r>
      <w:r w:rsidR="00800D6F">
        <w:t>9.2</w:t>
      </w:r>
      <w:r w:rsidRPr="002E1A20">
        <w:t xml:space="preserve">). </w:t>
      </w:r>
    </w:p>
    <w:p w:rsidR="004B0270" w:rsidRDefault="004B0270" w:rsidP="004B02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B0270" w:rsidTr="00CB0FE1">
        <w:tc>
          <w:tcPr>
            <w:tcW w:w="8771" w:type="dxa"/>
            <w:tcBorders>
              <w:top w:val="single" w:sz="6" w:space="0" w:color="78A22F"/>
              <w:left w:val="nil"/>
              <w:bottom w:val="nil"/>
              <w:right w:val="nil"/>
            </w:tcBorders>
            <w:shd w:val="clear" w:color="auto" w:fill="auto"/>
          </w:tcPr>
          <w:p w:rsidR="004B0270" w:rsidRPr="00176D3F" w:rsidRDefault="004B0270" w:rsidP="00D802A1">
            <w:pPr>
              <w:pStyle w:val="FigureTitle"/>
            </w:pPr>
            <w:r w:rsidRPr="00784A05">
              <w:rPr>
                <w:b w:val="0"/>
              </w:rPr>
              <w:t xml:space="preserve">Figure </w:t>
            </w:r>
            <w:bookmarkStart w:id="9" w:name="OLE_LINK7"/>
            <w:r w:rsidR="00B2521B">
              <w:rPr>
                <w:b w:val="0"/>
              </w:rPr>
              <w:t>9.</w:t>
            </w:r>
            <w:r w:rsidR="00D52162">
              <w:rPr>
                <w:b w:val="0"/>
                <w:noProof/>
              </w:rPr>
              <w:t>2</w:t>
            </w:r>
            <w:bookmarkEnd w:id="9"/>
            <w:r>
              <w:tab/>
            </w:r>
            <w:r w:rsidRPr="002429C1">
              <w:t xml:space="preserve">Fire incidents </w:t>
            </w:r>
            <w:r>
              <w:t xml:space="preserve">that </w:t>
            </w:r>
            <w:r w:rsidRPr="002429C1">
              <w:t xml:space="preserve">fire service organisations </w:t>
            </w:r>
            <w:r>
              <w:t xml:space="preserve">attended, </w:t>
            </w:r>
            <w:r w:rsidRPr="002429C1">
              <w:t>per 100 000 people</w:t>
            </w:r>
            <w:r w:rsidRPr="002429C1">
              <w:rPr>
                <w:rStyle w:val="NoteLabel"/>
                <w:b/>
              </w:rPr>
              <w:t>a, b, c, d, e</w:t>
            </w:r>
          </w:p>
        </w:tc>
      </w:tr>
      <w:tr w:rsidR="004B0270" w:rsidTr="00CB0FE1">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4B0270" w:rsidTr="00677D4D">
              <w:tc>
                <w:tcPr>
                  <w:tcW w:w="5000" w:type="pct"/>
                  <w:tcBorders>
                    <w:top w:val="nil"/>
                    <w:bottom w:val="nil"/>
                  </w:tcBorders>
                </w:tcPr>
                <w:p w:rsidR="004B0270" w:rsidRDefault="00D8556E" w:rsidP="00CB0FE1">
                  <w:pPr>
                    <w:pStyle w:val="Figure"/>
                    <w:spacing w:before="60" w:after="60"/>
                  </w:pPr>
                  <w:r>
                    <w:rPr>
                      <w:noProof/>
                    </w:rPr>
                    <w:drawing>
                      <wp:inline distT="0" distB="0" distL="0" distR="0">
                        <wp:extent cx="5405755" cy="2707640"/>
                        <wp:effectExtent l="0" t="0" r="4445" b="0"/>
                        <wp:docPr id="2" name="Picture 2" descr="Figure 9.2 Fire incidents that fire service organisations attended, per 100 000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4B0270" w:rsidRDefault="004B0270" w:rsidP="00CB0FE1">
            <w:pPr>
              <w:pStyle w:val="Figure"/>
            </w:pPr>
          </w:p>
        </w:tc>
      </w:tr>
      <w:tr w:rsidR="004B0270" w:rsidRPr="00176D3F" w:rsidTr="00CB0FE1">
        <w:tc>
          <w:tcPr>
            <w:tcW w:w="8771" w:type="dxa"/>
            <w:tcBorders>
              <w:top w:val="nil"/>
              <w:left w:val="nil"/>
              <w:bottom w:val="nil"/>
              <w:right w:val="nil"/>
            </w:tcBorders>
            <w:shd w:val="clear" w:color="auto" w:fill="auto"/>
          </w:tcPr>
          <w:p w:rsidR="004B0270" w:rsidRPr="00176D3F" w:rsidRDefault="004B0270" w:rsidP="00A73035">
            <w:pPr>
              <w:pStyle w:val="Note"/>
            </w:pPr>
            <w:proofErr w:type="spellStart"/>
            <w:r w:rsidRPr="00854E63">
              <w:rPr>
                <w:rStyle w:val="NoteLabel"/>
              </w:rPr>
              <w:t>a</w:t>
            </w:r>
            <w:proofErr w:type="spellEnd"/>
            <w:r w:rsidRPr="00854E63">
              <w:t> </w:t>
            </w:r>
            <w:r w:rsidR="00E45EDD">
              <w:t>A</w:t>
            </w:r>
            <w:r w:rsidRPr="00854E63">
              <w:t>ctivity data are affected by the reporting scope of each jurisdiction’s ‘fire service organisation’. See table</w:t>
            </w:r>
            <w:r>
              <w:t> </w:t>
            </w:r>
            <w:r w:rsidRPr="00854E63">
              <w:t xml:space="preserve">9A.3 for details for the scope of agencies’ reporting. </w:t>
            </w:r>
            <w:r w:rsidRPr="00854E63">
              <w:rPr>
                <w:rStyle w:val="NoteLabel"/>
              </w:rPr>
              <w:t>b</w:t>
            </w:r>
            <w:r w:rsidRPr="00854E63">
              <w:t> </w:t>
            </w:r>
            <w:r w:rsidR="00E45EDD" w:rsidRPr="00E45EDD">
              <w:t xml:space="preserve">Jurisdictions provide data for both urban and rural services (including land management agencies) and for both career and volunteer services, other than the NT — see </w:t>
            </w:r>
            <w:r w:rsidR="00E45EDD">
              <w:t xml:space="preserve">table </w:t>
            </w:r>
            <w:r w:rsidR="004029AC">
              <w:t>9A.14</w:t>
            </w:r>
            <w:r w:rsidR="00E45EDD">
              <w:t xml:space="preserve"> </w:t>
            </w:r>
            <w:r w:rsidR="00E45EDD" w:rsidRPr="00E45EDD">
              <w:t>for caveats.</w:t>
            </w:r>
            <w:r w:rsidRPr="00854E63">
              <w:t xml:space="preserve"> </w:t>
            </w:r>
            <w:r w:rsidR="005A296E" w:rsidRPr="00854E63">
              <w:rPr>
                <w:rStyle w:val="NoteLabel"/>
              </w:rPr>
              <w:t>c</w:t>
            </w:r>
            <w:r w:rsidR="005A296E">
              <w:rPr>
                <w:rStyle w:val="NoteLabel"/>
              </w:rPr>
              <w:t xml:space="preserve"> </w:t>
            </w:r>
            <w:r w:rsidR="005A296E" w:rsidRPr="005A296E">
              <w:t xml:space="preserve">Population data used to derive rates are as at 31 December. Estimated Resident Population (ERP) data for </w:t>
            </w:r>
            <w:r w:rsidR="00D32E9E">
              <w:t>2009 to 2010</w:t>
            </w:r>
            <w:r w:rsidR="005A296E" w:rsidRPr="005A296E">
              <w:t xml:space="preserve"> are final, based on the 2011 Census of Population and Housing. Estimates for 2011 onwards are preliminary. See chapter 2 (table 2A.2) for details.</w:t>
            </w:r>
            <w:r w:rsidR="005A296E">
              <w:t xml:space="preserve"> </w:t>
            </w:r>
            <w:r w:rsidR="005A296E">
              <w:rPr>
                <w:rStyle w:val="NoteLabel"/>
              </w:rPr>
              <w:t>d</w:t>
            </w:r>
            <w:r w:rsidRPr="00854E63">
              <w:t xml:space="preserve"> Qld: Accurate identification of incidents </w:t>
            </w:r>
            <w:r w:rsidRPr="00446594">
              <w:t>attended by</w:t>
            </w:r>
            <w:r w:rsidR="0049071D" w:rsidRPr="00446594">
              <w:t xml:space="preserve"> the former</w:t>
            </w:r>
            <w:r w:rsidRPr="00446594">
              <w:t xml:space="preserve"> </w:t>
            </w:r>
            <w:r w:rsidR="00A73035" w:rsidRPr="00446594">
              <w:t>Queensland Fire Rescue Service (</w:t>
            </w:r>
            <w:r w:rsidRPr="00446594">
              <w:t>QFRS</w:t>
            </w:r>
            <w:r w:rsidR="00A73035" w:rsidRPr="00446594">
              <w:t>)</w:t>
            </w:r>
            <w:r w:rsidRPr="00854E63">
              <w:t xml:space="preserve"> Rural brigades prior to </w:t>
            </w:r>
            <w:r w:rsidR="008204BE">
              <w:t>2013</w:t>
            </w:r>
            <w:r w:rsidR="0026487F">
              <w:noBreakHyphen/>
            </w:r>
            <w:r w:rsidR="008204BE">
              <w:t xml:space="preserve">14 </w:t>
            </w:r>
            <w:r w:rsidR="0092328A">
              <w:t xml:space="preserve">was </w:t>
            </w:r>
            <w:r w:rsidRPr="00854E63">
              <w:t xml:space="preserve">not possible due to incomplete voluntary reporting procedures. </w:t>
            </w:r>
            <w:r w:rsidR="009D35AB" w:rsidRPr="002605A8">
              <w:t xml:space="preserve">New procedures </w:t>
            </w:r>
            <w:r w:rsidR="008204BE">
              <w:t xml:space="preserve">were </w:t>
            </w:r>
            <w:r w:rsidR="009D35AB" w:rsidRPr="002605A8">
              <w:t>fully implemented</w:t>
            </w:r>
            <w:r w:rsidR="008204BE">
              <w:t xml:space="preserve"> from 1 July 2013</w:t>
            </w:r>
            <w:r w:rsidR="009D35AB" w:rsidRPr="002605A8">
              <w:t>.</w:t>
            </w:r>
            <w:r w:rsidR="009D35AB">
              <w:t xml:space="preserve"> </w:t>
            </w:r>
            <w:r w:rsidR="005A296E">
              <w:rPr>
                <w:rStyle w:val="NoteLabel"/>
              </w:rPr>
              <w:t>e</w:t>
            </w:r>
            <w:r w:rsidRPr="00854E63">
              <w:t xml:space="preserve"> NT: The high number of incidents per 100 000 people can be attributed to deliberately lit fires and the large number of grass fires in northern Australia that are caused by the annual growth of vegetation following the wet season. </w:t>
            </w:r>
          </w:p>
        </w:tc>
      </w:tr>
      <w:tr w:rsidR="004B0270" w:rsidRPr="00176D3F" w:rsidTr="00CB0FE1">
        <w:tc>
          <w:tcPr>
            <w:tcW w:w="8771" w:type="dxa"/>
            <w:tcBorders>
              <w:top w:val="nil"/>
              <w:left w:val="nil"/>
              <w:bottom w:val="nil"/>
              <w:right w:val="nil"/>
            </w:tcBorders>
            <w:shd w:val="clear" w:color="auto" w:fill="auto"/>
          </w:tcPr>
          <w:p w:rsidR="004B0270" w:rsidRPr="00176D3F" w:rsidRDefault="004B0270" w:rsidP="00CB0FE1">
            <w:pPr>
              <w:pStyle w:val="Source"/>
            </w:pPr>
            <w:r w:rsidRPr="00854E63">
              <w:rPr>
                <w:i/>
              </w:rPr>
              <w:t>Source</w:t>
            </w:r>
            <w:r w:rsidRPr="00854E63">
              <w:t>: State and Territory governments (unpublished);</w:t>
            </w:r>
            <w:r w:rsidR="00E45EDD">
              <w:t xml:space="preserve"> ABS (unpublished);</w:t>
            </w:r>
            <w:r w:rsidRPr="00854E63">
              <w:t xml:space="preserve"> table </w:t>
            </w:r>
            <w:r w:rsidR="004029AC">
              <w:t>9A.14</w:t>
            </w:r>
            <w:r w:rsidRPr="00854E63">
              <w:t>.</w:t>
            </w:r>
          </w:p>
        </w:tc>
      </w:tr>
      <w:tr w:rsidR="004B0270" w:rsidTr="00CB0FE1">
        <w:tc>
          <w:tcPr>
            <w:tcW w:w="8771" w:type="dxa"/>
            <w:tcBorders>
              <w:top w:val="nil"/>
              <w:left w:val="nil"/>
              <w:bottom w:val="single" w:sz="6" w:space="0" w:color="78A22F"/>
              <w:right w:val="nil"/>
            </w:tcBorders>
            <w:shd w:val="clear" w:color="auto" w:fill="auto"/>
          </w:tcPr>
          <w:p w:rsidR="004B0270" w:rsidRDefault="004B0270" w:rsidP="00CB0FE1">
            <w:pPr>
              <w:pStyle w:val="Figurespace"/>
            </w:pPr>
          </w:p>
        </w:tc>
      </w:tr>
      <w:tr w:rsidR="004B0270" w:rsidRPr="000863A5" w:rsidTr="00CB0FE1">
        <w:tc>
          <w:tcPr>
            <w:tcW w:w="8771" w:type="dxa"/>
            <w:tcBorders>
              <w:top w:val="single" w:sz="6" w:space="0" w:color="78A22F"/>
              <w:left w:val="nil"/>
              <w:bottom w:val="nil"/>
              <w:right w:val="nil"/>
            </w:tcBorders>
          </w:tcPr>
          <w:p w:rsidR="004B0270" w:rsidRPr="00626D32" w:rsidRDefault="004B0270" w:rsidP="00CB0FE1">
            <w:pPr>
              <w:pStyle w:val="BoxSpaceBelow"/>
            </w:pPr>
          </w:p>
        </w:tc>
      </w:tr>
    </w:tbl>
    <w:p w:rsidR="00F276AE" w:rsidRDefault="00F276AE" w:rsidP="004B0270">
      <w:pPr>
        <w:pStyle w:val="BodyText"/>
      </w:pPr>
      <w:r w:rsidRPr="002E1A20">
        <w:t>Changes in the fire incident rate can be understood by analysing changes i</w:t>
      </w:r>
      <w:r>
        <w:t xml:space="preserve">n the number of structure fires, </w:t>
      </w:r>
      <w:r w:rsidRPr="002E1A20">
        <w:t>landscape fires</w:t>
      </w:r>
      <w:r>
        <w:t xml:space="preserve"> and other fires.</w:t>
      </w:r>
      <w:r w:rsidRPr="004B0270">
        <w:t xml:space="preserve"> </w:t>
      </w:r>
    </w:p>
    <w:p w:rsidR="00756420" w:rsidRDefault="001D4B1E" w:rsidP="00F276AE">
      <w:pPr>
        <w:pStyle w:val="ListBullet"/>
      </w:pPr>
      <w:r w:rsidRPr="001D4B1E">
        <w:t>S</w:t>
      </w:r>
      <w:r w:rsidR="00110310" w:rsidRPr="000D2973">
        <w:rPr>
          <w:i/>
        </w:rPr>
        <w:t xml:space="preserve">tructure fire incidents </w:t>
      </w:r>
      <w:r>
        <w:t>—</w:t>
      </w:r>
      <w:r w:rsidR="00756420">
        <w:t xml:space="preserve"> </w:t>
      </w:r>
      <w:r w:rsidR="00930A0C">
        <w:t>Nationally in 2013</w:t>
      </w:r>
      <w:r w:rsidR="0026487F">
        <w:noBreakHyphen/>
      </w:r>
      <w:r w:rsidR="00930A0C">
        <w:t xml:space="preserve">14 there were </w:t>
      </w:r>
      <w:r w:rsidR="00B2521B">
        <w:t>19 524</w:t>
      </w:r>
      <w:r w:rsidR="00930A0C">
        <w:t xml:space="preserve"> structure fires (a rate of </w:t>
      </w:r>
      <w:r w:rsidR="00B2521B">
        <w:t>84</w:t>
      </w:r>
      <w:r w:rsidR="00930A0C">
        <w:t xml:space="preserve"> per 100 000 people), </w:t>
      </w:r>
      <w:r w:rsidR="00F276AE">
        <w:t>a de</w:t>
      </w:r>
      <w:r w:rsidR="00930A0C">
        <w:t xml:space="preserve">crease from </w:t>
      </w:r>
      <w:r w:rsidR="00B2521B">
        <w:t>19 947</w:t>
      </w:r>
      <w:r w:rsidR="00605AF9">
        <w:t xml:space="preserve"> structure fires in 2012</w:t>
      </w:r>
      <w:r w:rsidR="00605AF9" w:rsidRPr="00F276AE">
        <w:noBreakHyphen/>
      </w:r>
      <w:r w:rsidR="00930A0C" w:rsidRPr="00F276AE">
        <w:t>13</w:t>
      </w:r>
      <w:bookmarkStart w:id="10" w:name="_Toc343078107"/>
      <w:bookmarkStart w:id="11" w:name="_Toc343078560"/>
      <w:bookmarkStart w:id="12" w:name="_Toc343078604"/>
      <w:bookmarkStart w:id="13" w:name="_Toc343089195"/>
      <w:r w:rsidR="00930A0C" w:rsidRPr="00F276AE">
        <w:t xml:space="preserve"> </w:t>
      </w:r>
      <w:r w:rsidR="007801AA">
        <w:t xml:space="preserve">(a rate of </w:t>
      </w:r>
      <w:r w:rsidR="00B2521B">
        <w:t>87</w:t>
      </w:r>
      <w:r w:rsidR="007801AA">
        <w:t xml:space="preserve"> per 100 000 people) </w:t>
      </w:r>
      <w:r w:rsidR="00F276AE" w:rsidRPr="00F276AE">
        <w:t>(figure</w:t>
      </w:r>
      <w:r w:rsidR="00F276AE">
        <w:t> </w:t>
      </w:r>
      <w:r w:rsidR="00F276AE" w:rsidRPr="00110310">
        <w:t>9.2</w:t>
      </w:r>
      <w:r w:rsidR="007801AA">
        <w:t xml:space="preserve"> and table 9A.13</w:t>
      </w:r>
      <w:r w:rsidR="00F276AE" w:rsidRPr="00CB1DBD">
        <w:t>)</w:t>
      </w:r>
      <w:r w:rsidR="00F276AE">
        <w:t>.</w:t>
      </w:r>
      <w:r w:rsidR="000D2973">
        <w:t xml:space="preserve"> </w:t>
      </w:r>
    </w:p>
    <w:p w:rsidR="000D2973" w:rsidRDefault="000D2973" w:rsidP="00756420">
      <w:pPr>
        <w:pStyle w:val="ListBullet"/>
        <w:numPr>
          <w:ilvl w:val="0"/>
          <w:numId w:val="0"/>
        </w:numPr>
        <w:ind w:left="340"/>
      </w:pPr>
      <w:r>
        <w:t xml:space="preserve">Discussion of the </w:t>
      </w:r>
      <w:r w:rsidRPr="00231BC8">
        <w:t>fire risk prevention/mitigation activities</w:t>
      </w:r>
      <w:r>
        <w:t xml:space="preserve"> indicator provides further analysis of structure fire rates (box </w:t>
      </w:r>
      <w:r w:rsidR="00970353">
        <w:t>9.3</w:t>
      </w:r>
      <w:r w:rsidR="00756420">
        <w:t>).</w:t>
      </w:r>
    </w:p>
    <w:p w:rsidR="00F276AE" w:rsidRDefault="001D4B1E" w:rsidP="00312133">
      <w:pPr>
        <w:pStyle w:val="ListBullet"/>
      </w:pPr>
      <w:r w:rsidRPr="00F276AE">
        <w:rPr>
          <w:i/>
        </w:rPr>
        <w:t>L</w:t>
      </w:r>
      <w:r w:rsidR="00930A0C" w:rsidRPr="00F276AE">
        <w:rPr>
          <w:i/>
        </w:rPr>
        <w:t xml:space="preserve">andscape fire incidents </w:t>
      </w:r>
      <w:r>
        <w:t xml:space="preserve">— </w:t>
      </w:r>
      <w:r w:rsidR="00930A0C" w:rsidRPr="00CB1DBD">
        <w:t xml:space="preserve">Landscape fire incidents include all vegetation fires (such as bushfires or grassfires), irrespective of the size of the area burnt and can vary substantially in their impact on fire resources, the community and longer term consequences. </w:t>
      </w:r>
      <w:bookmarkEnd w:id="10"/>
      <w:bookmarkEnd w:id="11"/>
      <w:bookmarkEnd w:id="12"/>
      <w:bookmarkEnd w:id="13"/>
      <w:r w:rsidR="007E2576" w:rsidRPr="00446594">
        <w:t>De</w:t>
      </w:r>
      <w:r w:rsidR="00930A0C" w:rsidRPr="00446594">
        <w:t>creases</w:t>
      </w:r>
      <w:r w:rsidR="00930A0C" w:rsidRPr="00CB1DBD">
        <w:t xml:space="preserve"> in the rate of landscape fire incidents </w:t>
      </w:r>
      <w:r w:rsidR="007E2576">
        <w:t xml:space="preserve">per 100 000 people </w:t>
      </w:r>
      <w:r w:rsidR="00930A0C" w:rsidRPr="00CB1DBD">
        <w:t xml:space="preserve">were recorded </w:t>
      </w:r>
      <w:r w:rsidR="007E2576">
        <w:t xml:space="preserve">in most </w:t>
      </w:r>
      <w:r w:rsidR="00930A0C" w:rsidRPr="00CB1DBD">
        <w:t xml:space="preserve">jurisdictions </w:t>
      </w:r>
      <w:r w:rsidR="007E2576">
        <w:t xml:space="preserve">in </w:t>
      </w:r>
      <w:r w:rsidR="00930A0C" w:rsidRPr="00CB1DBD">
        <w:t>201</w:t>
      </w:r>
      <w:r w:rsidR="007E2576">
        <w:t>3</w:t>
      </w:r>
      <w:r w:rsidR="00930A0C">
        <w:noBreakHyphen/>
      </w:r>
      <w:r w:rsidR="00930A0C" w:rsidRPr="00CB1DBD">
        <w:t>1</w:t>
      </w:r>
      <w:r w:rsidR="007E2576">
        <w:t>4</w:t>
      </w:r>
      <w:r w:rsidR="00930A0C" w:rsidRPr="00CB1DBD">
        <w:t>. Nationally</w:t>
      </w:r>
      <w:r w:rsidR="007E2576" w:rsidRPr="007E2576">
        <w:t xml:space="preserve"> </w:t>
      </w:r>
      <w:r w:rsidR="007E2576" w:rsidRPr="00CB1DBD">
        <w:t xml:space="preserve">in </w:t>
      </w:r>
      <w:r w:rsidR="007E2576">
        <w:t>2013</w:t>
      </w:r>
      <w:r w:rsidR="0026487F">
        <w:noBreakHyphen/>
      </w:r>
      <w:r w:rsidR="007E2576">
        <w:t>14</w:t>
      </w:r>
      <w:r w:rsidR="00930A0C" w:rsidRPr="00CB1DBD">
        <w:t xml:space="preserve">, </w:t>
      </w:r>
      <w:r w:rsidR="00B2521B">
        <w:t>43 646</w:t>
      </w:r>
      <w:r w:rsidR="00930A0C" w:rsidRPr="00CB1DBD">
        <w:t xml:space="preserve"> landscape (bush and grass) fire incidents were reported by fire service and land management agencies, a rate of </w:t>
      </w:r>
      <w:r w:rsidR="00B2521B">
        <w:t>187</w:t>
      </w:r>
      <w:r w:rsidR="00930A0C" w:rsidRPr="00CB1DBD">
        <w:t xml:space="preserve"> fires per 100 000 people, or </w:t>
      </w:r>
      <w:r w:rsidR="00B2521B">
        <w:t>5.7</w:t>
      </w:r>
      <w:r w:rsidR="00930A0C" w:rsidRPr="00CB1DBD">
        <w:t xml:space="preserve"> per 100 000 </w:t>
      </w:r>
      <w:r w:rsidR="00930A0C" w:rsidRPr="00CB1DBD">
        <w:lastRenderedPageBreak/>
        <w:t>hectares</w:t>
      </w:r>
      <w:r w:rsidR="00312133">
        <w:t xml:space="preserve">. The number of landscape fires per 100 000 people declined from </w:t>
      </w:r>
      <w:r w:rsidR="00B2521B">
        <w:t>213</w:t>
      </w:r>
      <w:r w:rsidR="00312133" w:rsidRPr="00CB1DBD">
        <w:t xml:space="preserve"> fires per 100 000 people</w:t>
      </w:r>
      <w:r w:rsidR="00312133">
        <w:t xml:space="preserve"> in 2012</w:t>
      </w:r>
      <w:r w:rsidR="0026487F">
        <w:noBreakHyphen/>
      </w:r>
      <w:r w:rsidR="00312133">
        <w:t>13</w:t>
      </w:r>
      <w:r w:rsidR="00312133" w:rsidRPr="00CB1DBD">
        <w:t xml:space="preserve">, or </w:t>
      </w:r>
      <w:r w:rsidR="00B2521B">
        <w:t>6.3</w:t>
      </w:r>
      <w:r w:rsidR="00312133" w:rsidRPr="00CB1DBD">
        <w:t xml:space="preserve"> </w:t>
      </w:r>
      <w:r w:rsidR="00312133">
        <w:t xml:space="preserve">landscape fires </w:t>
      </w:r>
      <w:r w:rsidR="00312133" w:rsidRPr="00CB1DBD">
        <w:t xml:space="preserve">per 100 000 hectares </w:t>
      </w:r>
      <w:r w:rsidR="00930A0C" w:rsidRPr="00CB1DBD">
        <w:t>(figure</w:t>
      </w:r>
      <w:r w:rsidR="00930A0C">
        <w:t> </w:t>
      </w:r>
      <w:r w:rsidR="00930A0C" w:rsidRPr="00110310">
        <w:t>9.2</w:t>
      </w:r>
      <w:r w:rsidR="00930A0C" w:rsidRPr="00CB1DBD">
        <w:t xml:space="preserve"> and table </w:t>
      </w:r>
      <w:r w:rsidR="004029AC">
        <w:t>9A.16</w:t>
      </w:r>
      <w:r w:rsidR="00930A0C" w:rsidRPr="00CB1DBD">
        <w:t>).</w:t>
      </w:r>
      <w:bookmarkStart w:id="14" w:name="_Toc343078106"/>
      <w:bookmarkStart w:id="15" w:name="_Toc343078559"/>
      <w:bookmarkStart w:id="16" w:name="_Toc343078603"/>
      <w:bookmarkStart w:id="17" w:name="_Toc343089194"/>
    </w:p>
    <w:p w:rsidR="001D4B1E" w:rsidRPr="00F276AE" w:rsidRDefault="001D4B1E" w:rsidP="00F276AE">
      <w:pPr>
        <w:pStyle w:val="ListBullet"/>
        <w:numPr>
          <w:ilvl w:val="0"/>
          <w:numId w:val="0"/>
        </w:numPr>
        <w:ind w:left="340"/>
      </w:pPr>
      <w:r w:rsidRPr="002605A8">
        <w:t xml:space="preserve">The number and severity of landscape fires is influenced by many </w:t>
      </w:r>
      <w:r w:rsidR="001512F5">
        <w:t xml:space="preserve">interrelated </w:t>
      </w:r>
      <w:r w:rsidRPr="002605A8">
        <w:t>factors, including</w:t>
      </w:r>
      <w:r w:rsidR="001512F5">
        <w:t>:</w:t>
      </w:r>
      <w:r w:rsidRPr="002605A8">
        <w:t xml:space="preserve"> enviro</w:t>
      </w:r>
      <w:r w:rsidR="001512F5">
        <w:t xml:space="preserve">nmental factors, such as weather, </w:t>
      </w:r>
      <w:r w:rsidRPr="002605A8">
        <w:t>climate</w:t>
      </w:r>
      <w:r w:rsidR="001512F5">
        <w:t>, and landscape conditions (fuel loads associated with growth and dryness of grasses and forests)</w:t>
      </w:r>
      <w:r w:rsidR="009811B9">
        <w:t>;</w:t>
      </w:r>
      <w:r w:rsidRPr="002605A8">
        <w:t xml:space="preserve"> </w:t>
      </w:r>
      <w:r w:rsidR="001512F5">
        <w:t>and human factor</w:t>
      </w:r>
      <w:r w:rsidR="009811B9">
        <w:t>s</w:t>
      </w:r>
      <w:r w:rsidR="001512F5">
        <w:t xml:space="preserve">, </w:t>
      </w:r>
      <w:r w:rsidRPr="002605A8">
        <w:t>with the majority of landscape fires triggered by human activity (AIC 2008).</w:t>
      </w:r>
      <w:r w:rsidR="00476616">
        <w:t xml:space="preserve"> </w:t>
      </w:r>
      <w:r w:rsidR="00476616" w:rsidRPr="001512F5">
        <w:t xml:space="preserve">For the </w:t>
      </w:r>
      <w:r w:rsidRPr="001512F5">
        <w:t>2013</w:t>
      </w:r>
      <w:r w:rsidR="0026487F">
        <w:noBreakHyphen/>
      </w:r>
      <w:r w:rsidR="00476616" w:rsidRPr="001512F5">
        <w:t xml:space="preserve">14 fire season, Australia generally experienced warmer but approximately average rainfall conditions (BoM 2014). The Bushfire </w:t>
      </w:r>
      <w:r w:rsidR="00476616" w:rsidRPr="00F276AE">
        <w:t xml:space="preserve">Cooperative Research Centre predicted </w:t>
      </w:r>
      <w:r w:rsidR="001512F5" w:rsidRPr="00F276AE">
        <w:t xml:space="preserve">normal to above normal fire potential </w:t>
      </w:r>
      <w:r w:rsidRPr="00F276AE">
        <w:t>(</w:t>
      </w:r>
      <w:r w:rsidR="009653AF" w:rsidRPr="00F276AE">
        <w:t>B</w:t>
      </w:r>
      <w:r w:rsidRPr="00F276AE">
        <w:t>CRC 2013).</w:t>
      </w:r>
    </w:p>
    <w:p w:rsidR="00B42374" w:rsidRPr="0077787A" w:rsidRDefault="001D4B1E" w:rsidP="004B0270">
      <w:pPr>
        <w:pStyle w:val="ListBullet"/>
      </w:pPr>
      <w:r w:rsidRPr="00F276AE">
        <w:rPr>
          <w:i/>
        </w:rPr>
        <w:t xml:space="preserve">Other fire incidents </w:t>
      </w:r>
      <w:r w:rsidRPr="00F276AE">
        <w:t>—</w:t>
      </w:r>
      <w:r w:rsidR="006E5398">
        <w:t xml:space="preserve"> </w:t>
      </w:r>
      <w:r>
        <w:t>Nationally in 2013</w:t>
      </w:r>
      <w:r w:rsidR="0026487F">
        <w:noBreakHyphen/>
      </w:r>
      <w:r>
        <w:t xml:space="preserve">14, there were </w:t>
      </w:r>
      <w:r w:rsidR="00B2521B">
        <w:t>38 697</w:t>
      </w:r>
      <w:r>
        <w:t xml:space="preserve"> other fires </w:t>
      </w:r>
      <w:r w:rsidR="006E5398">
        <w:t xml:space="preserve">(such as </w:t>
      </w:r>
      <w:r w:rsidR="006E5398" w:rsidRPr="00F276AE">
        <w:t xml:space="preserve">mobile property </w:t>
      </w:r>
      <w:r w:rsidR="006E5398">
        <w:t xml:space="preserve">type fires </w:t>
      </w:r>
      <w:r w:rsidR="00312133">
        <w:t>[</w:t>
      </w:r>
      <w:r w:rsidR="006E5398">
        <w:t xml:space="preserve">cars, planes, </w:t>
      </w:r>
      <w:proofErr w:type="spellStart"/>
      <w:r w:rsidR="006E5398">
        <w:t>etc</w:t>
      </w:r>
      <w:proofErr w:type="spellEnd"/>
      <w:r w:rsidR="00312133">
        <w:t>]</w:t>
      </w:r>
      <w:r w:rsidR="006E5398">
        <w:t xml:space="preserve"> or outside storage fires) </w:t>
      </w:r>
      <w:r>
        <w:t xml:space="preserve">(a rate of </w:t>
      </w:r>
      <w:r w:rsidR="00B2521B">
        <w:t>166</w:t>
      </w:r>
      <w:r>
        <w:t xml:space="preserve"> per 100 000 people)</w:t>
      </w:r>
      <w:r w:rsidR="006E5398">
        <w:t>. Th</w:t>
      </w:r>
      <w:r w:rsidR="00312133">
        <w:t xml:space="preserve">e number of other fire incidents </w:t>
      </w:r>
      <w:r w:rsidR="007E2576">
        <w:t>de</w:t>
      </w:r>
      <w:r>
        <w:t>crease</w:t>
      </w:r>
      <w:r w:rsidR="00312133">
        <w:t>d</w:t>
      </w:r>
      <w:r>
        <w:t xml:space="preserve"> from </w:t>
      </w:r>
      <w:r w:rsidR="00B2521B">
        <w:t>43 582</w:t>
      </w:r>
      <w:r>
        <w:t xml:space="preserve"> </w:t>
      </w:r>
      <w:r w:rsidR="00F276AE">
        <w:t>other</w:t>
      </w:r>
      <w:r>
        <w:t xml:space="preserve"> fires in 2012</w:t>
      </w:r>
      <w:r w:rsidR="0026487F">
        <w:noBreakHyphen/>
      </w:r>
      <w:r>
        <w:t>13</w:t>
      </w:r>
      <w:r w:rsidR="00F276AE">
        <w:t xml:space="preserve"> </w:t>
      </w:r>
      <w:r w:rsidR="00312133">
        <w:t xml:space="preserve">(a rate of </w:t>
      </w:r>
      <w:r w:rsidR="00B2521B">
        <w:t>190</w:t>
      </w:r>
      <w:r w:rsidR="00312133">
        <w:t xml:space="preserve"> per 100 000 people)</w:t>
      </w:r>
      <w:r w:rsidR="00312133" w:rsidRPr="00F276AE">
        <w:t xml:space="preserve"> </w:t>
      </w:r>
      <w:r w:rsidR="00F276AE" w:rsidRPr="00F276AE">
        <w:t>(figure</w:t>
      </w:r>
      <w:r w:rsidR="00F276AE">
        <w:t> </w:t>
      </w:r>
      <w:r w:rsidR="00F276AE" w:rsidRPr="00110310">
        <w:t>9.2</w:t>
      </w:r>
      <w:r w:rsidR="00312133">
        <w:t xml:space="preserve"> and table 9A.13</w:t>
      </w:r>
      <w:r w:rsidR="00F276AE" w:rsidRPr="00CB1DBD">
        <w:t>)</w:t>
      </w:r>
      <w:r>
        <w:t>.</w:t>
      </w:r>
      <w:r w:rsidRPr="00F276AE">
        <w:rPr>
          <w:i/>
        </w:rPr>
        <w:t xml:space="preserve"> </w:t>
      </w:r>
      <w:bookmarkEnd w:id="14"/>
      <w:bookmarkEnd w:id="15"/>
      <w:bookmarkEnd w:id="16"/>
      <w:bookmarkEnd w:id="17"/>
    </w:p>
    <w:p w:rsidR="004B0270" w:rsidRDefault="004B0270" w:rsidP="004B0270">
      <w:pPr>
        <w:pStyle w:val="Heading5"/>
      </w:pPr>
      <w:r>
        <w:t>F</w:t>
      </w:r>
      <w:r w:rsidRPr="00F0244A">
        <w:t xml:space="preserve">ire incidents </w:t>
      </w:r>
      <w:r>
        <w:t>— false alarms</w:t>
      </w:r>
    </w:p>
    <w:p w:rsidR="00B42374" w:rsidRPr="00CB1DBD" w:rsidRDefault="00B42374" w:rsidP="00B42374">
      <w:pPr>
        <w:pStyle w:val="BodyText"/>
      </w:pPr>
      <w:r w:rsidRPr="00CB1DBD">
        <w:t>A significant proportion of calls for assistance across all jurisdictions are found upon investigation to be false alarms. Fire service organisations are required by legislation to respond to all calls</w:t>
      </w:r>
      <w:r>
        <w:t xml:space="preserve"> and investigate</w:t>
      </w:r>
      <w:r w:rsidRPr="00CB1DBD">
        <w:t xml:space="preserve"> the site</w:t>
      </w:r>
      <w:r>
        <w:t xml:space="preserve"> prior to determining a false alarm</w:t>
      </w:r>
      <w:r w:rsidRPr="00CB1DBD">
        <w:t>.</w:t>
      </w:r>
      <w:r>
        <w:t xml:space="preserve"> </w:t>
      </w:r>
      <w:r w:rsidR="001D676F">
        <w:t xml:space="preserve">Nationally in </w:t>
      </w:r>
      <w:r w:rsidR="00FA5D77">
        <w:t>2013</w:t>
      </w:r>
      <w:r w:rsidR="0026487F">
        <w:noBreakHyphen/>
      </w:r>
      <w:r w:rsidR="00FA5D77">
        <w:t>14</w:t>
      </w:r>
      <w:r>
        <w:t xml:space="preserve">, </w:t>
      </w:r>
      <w:r w:rsidR="001D676F">
        <w:t xml:space="preserve">fire service organisations attended </w:t>
      </w:r>
      <w:r w:rsidR="00B2521B">
        <w:t>109 611</w:t>
      </w:r>
      <w:r w:rsidR="001D676F" w:rsidRPr="00CB1DBD">
        <w:t xml:space="preserve"> </w:t>
      </w:r>
      <w:r>
        <w:t>s</w:t>
      </w:r>
      <w:r w:rsidRPr="00CB1DBD">
        <w:t xml:space="preserve">ystem initiated and malicious false calls incidents, </w:t>
      </w:r>
      <w:r w:rsidR="00B2521B">
        <w:t>28.5</w:t>
      </w:r>
      <w:r w:rsidRPr="00CB1DBD">
        <w:t> per cent of all incidents</w:t>
      </w:r>
      <w:r w:rsidR="001D676F">
        <w:t xml:space="preserve"> attended</w:t>
      </w:r>
      <w:r>
        <w:t>.</w:t>
      </w:r>
      <w:r w:rsidRPr="00CB1DBD">
        <w:t xml:space="preserve"> On average</w:t>
      </w:r>
      <w:r w:rsidRPr="00CB1DBD">
        <w:rPr>
          <w:lang w:val="en"/>
        </w:rPr>
        <w:t xml:space="preserve"> each fire alarm system in Australia generates 2.8 false alarms per year (AFAC</w:t>
      </w:r>
      <w:r w:rsidR="000D2973">
        <w:rPr>
          <w:lang w:val="en"/>
        </w:rPr>
        <w:t> </w:t>
      </w:r>
      <w:r w:rsidRPr="00CB1DBD">
        <w:rPr>
          <w:lang w:val="en"/>
        </w:rPr>
        <w:t>unpublished).</w:t>
      </w:r>
      <w:r w:rsidR="008204BE">
        <w:rPr>
          <w:lang w:val="en"/>
        </w:rPr>
        <w:t xml:space="preserve"> </w:t>
      </w:r>
      <w:r w:rsidR="008204BE" w:rsidRPr="00CB1DBD">
        <w:t>Most incidents found to be false alarms are a result of system initiated false alarms (table</w:t>
      </w:r>
      <w:r w:rsidR="008204BE">
        <w:t> 9A.13</w:t>
      </w:r>
      <w:r w:rsidR="008204BE" w:rsidRPr="00CB1DBD">
        <w:t>).</w:t>
      </w:r>
    </w:p>
    <w:p w:rsidR="00B42374" w:rsidRPr="007E4457" w:rsidRDefault="00B42374" w:rsidP="00B42374">
      <w:pPr>
        <w:pStyle w:val="BodyText"/>
        <w:rPr>
          <w:lang w:val="en"/>
        </w:rPr>
      </w:pPr>
      <w:r w:rsidRPr="007E4457">
        <w:rPr>
          <w:lang w:val="en"/>
        </w:rPr>
        <w:t xml:space="preserve">Contemporary fire alarm systems are an integral part of the built environment and have a significant role in the protection of life and property. However, attending </w:t>
      </w:r>
      <w:r w:rsidRPr="00B42374">
        <w:rPr>
          <w:lang w:val="en"/>
        </w:rPr>
        <w:t>unwanted false alarms has social and economic impacts</w:t>
      </w:r>
      <w:r w:rsidR="008204BE">
        <w:rPr>
          <w:lang w:val="en"/>
        </w:rPr>
        <w:t>, including</w:t>
      </w:r>
      <w:r w:rsidRPr="00B42374">
        <w:rPr>
          <w:lang w:val="en"/>
        </w:rPr>
        <w:t xml:space="preserve">: </w:t>
      </w:r>
    </w:p>
    <w:p w:rsidR="00B42374" w:rsidRPr="007E4457" w:rsidRDefault="008204BE" w:rsidP="00B42374">
      <w:pPr>
        <w:pStyle w:val="ListBullet"/>
        <w:rPr>
          <w:lang w:val="en"/>
        </w:rPr>
      </w:pPr>
      <w:r w:rsidRPr="007E4457">
        <w:rPr>
          <w:lang w:val="en"/>
        </w:rPr>
        <w:t xml:space="preserve">repeated </w:t>
      </w:r>
      <w:r w:rsidR="00B42374" w:rsidRPr="007E4457">
        <w:rPr>
          <w:lang w:val="en"/>
        </w:rPr>
        <w:t>unwanted alarms can foster a culture of complacency, adversely a</w:t>
      </w:r>
      <w:r>
        <w:rPr>
          <w:lang w:val="en"/>
        </w:rPr>
        <w:t>ffecting community fire safety</w:t>
      </w:r>
    </w:p>
    <w:p w:rsidR="00B42374" w:rsidRPr="007E4457" w:rsidRDefault="008204BE" w:rsidP="00B42374">
      <w:pPr>
        <w:pStyle w:val="ListBullet"/>
        <w:rPr>
          <w:lang w:val="en"/>
        </w:rPr>
      </w:pPr>
      <w:r w:rsidRPr="007E4457">
        <w:rPr>
          <w:lang w:val="en"/>
        </w:rPr>
        <w:t xml:space="preserve">community </w:t>
      </w:r>
      <w:r w:rsidR="00B42374" w:rsidRPr="007E4457">
        <w:rPr>
          <w:lang w:val="en"/>
        </w:rPr>
        <w:t>costs arise from lost working time and alarm atten</w:t>
      </w:r>
      <w:r>
        <w:rPr>
          <w:lang w:val="en"/>
        </w:rPr>
        <w:t>dance charges</w:t>
      </w:r>
    </w:p>
    <w:p w:rsidR="00B42374" w:rsidRPr="007E4457" w:rsidRDefault="008204BE" w:rsidP="00B42374">
      <w:pPr>
        <w:pStyle w:val="ListBullet"/>
        <w:rPr>
          <w:lang w:val="en"/>
        </w:rPr>
      </w:pPr>
      <w:r w:rsidRPr="007E4457">
        <w:rPr>
          <w:lang w:val="en"/>
        </w:rPr>
        <w:t xml:space="preserve">fire </w:t>
      </w:r>
      <w:r w:rsidR="00B42374" w:rsidRPr="007E4457">
        <w:rPr>
          <w:lang w:val="en"/>
        </w:rPr>
        <w:t>appliances can be delayed in responding to an emergency as a result of having to deal with unwanted fire alarms</w:t>
      </w:r>
      <w:r w:rsidR="000D2973">
        <w:rPr>
          <w:lang w:val="en"/>
        </w:rPr>
        <w:t xml:space="preserve"> </w:t>
      </w:r>
      <w:r w:rsidR="000D2973" w:rsidRPr="00B42374">
        <w:rPr>
          <w:lang w:val="en"/>
        </w:rPr>
        <w:t>(AFAC 2012)</w:t>
      </w:r>
      <w:r w:rsidR="00B42374" w:rsidRPr="007E4457">
        <w:rPr>
          <w:lang w:val="en"/>
        </w:rPr>
        <w:t>.</w:t>
      </w:r>
    </w:p>
    <w:p w:rsidR="008D1452" w:rsidRDefault="00F0244A" w:rsidP="00FE7FF5">
      <w:pPr>
        <w:pStyle w:val="Heading5"/>
      </w:pPr>
      <w:r w:rsidRPr="00F0244A">
        <w:t>N</w:t>
      </w:r>
      <w:r w:rsidR="00090288" w:rsidRPr="00F0244A">
        <w:t>on</w:t>
      </w:r>
      <w:r w:rsidR="00CC7814">
        <w:noBreakHyphen/>
      </w:r>
      <w:r w:rsidR="00090288" w:rsidRPr="00F0244A">
        <w:t>fire incidents</w:t>
      </w:r>
      <w:r w:rsidRPr="00F0244A">
        <w:t xml:space="preserve"> </w:t>
      </w:r>
    </w:p>
    <w:p w:rsidR="00047086" w:rsidRDefault="008D1452" w:rsidP="00047086">
      <w:pPr>
        <w:pStyle w:val="BodyText"/>
      </w:pPr>
      <w:r w:rsidRPr="00CB1DBD">
        <w:t xml:space="preserve">Fire service organisations provide services for </w:t>
      </w:r>
      <w:r w:rsidR="00B23F85" w:rsidRPr="00CB1DBD">
        <w:t>a range of non</w:t>
      </w:r>
      <w:r w:rsidR="00CC7814">
        <w:noBreakHyphen/>
      </w:r>
      <w:r w:rsidR="00B23F85" w:rsidRPr="00CB1DBD">
        <w:t xml:space="preserve">fire </w:t>
      </w:r>
      <w:r w:rsidRPr="00CB1DBD">
        <w:t>emergency events</w:t>
      </w:r>
      <w:r w:rsidR="005F79C3">
        <w:t xml:space="preserve"> (figure</w:t>
      </w:r>
      <w:r w:rsidR="00CE2426">
        <w:t> </w:t>
      </w:r>
      <w:r w:rsidR="00800D6F">
        <w:t>9.3</w:t>
      </w:r>
      <w:r w:rsidR="002B51FE">
        <w:t>)</w:t>
      </w:r>
      <w:r w:rsidRPr="00CB1DBD">
        <w:t xml:space="preserve">. In </w:t>
      </w:r>
      <w:r w:rsidR="00FA5D77">
        <w:t>2013</w:t>
      </w:r>
      <w:r w:rsidR="0026487F">
        <w:noBreakHyphen/>
      </w:r>
      <w:r w:rsidR="00FA5D77">
        <w:t>14</w:t>
      </w:r>
      <w:r w:rsidRPr="00CB1DBD">
        <w:t xml:space="preserve">, attendance at other emergencies and incidents accounted for </w:t>
      </w:r>
      <w:r w:rsidR="00B2521B" w:rsidRPr="00B2521B">
        <w:rPr>
          <w:rFonts w:eastAsiaTheme="minorEastAsia"/>
        </w:rPr>
        <w:t>55.6</w:t>
      </w:r>
      <w:r w:rsidRPr="00CB1DBD">
        <w:t> per cent of total incidents (excluding false alarms) (</w:t>
      </w:r>
      <w:r w:rsidR="002B51FE">
        <w:t>table</w:t>
      </w:r>
      <w:r w:rsidR="00243CD6">
        <w:t> </w:t>
      </w:r>
      <w:r w:rsidR="004029AC">
        <w:t>9A.13</w:t>
      </w:r>
      <w:r w:rsidRPr="00CB1DBD">
        <w:t xml:space="preserve">). </w:t>
      </w:r>
    </w:p>
    <w:p w:rsidR="00047086" w:rsidRDefault="00047086" w:rsidP="0004708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47086" w:rsidTr="007412CE">
        <w:tc>
          <w:tcPr>
            <w:tcW w:w="8771" w:type="dxa"/>
            <w:tcBorders>
              <w:top w:val="single" w:sz="6" w:space="0" w:color="78A22F"/>
              <w:left w:val="nil"/>
              <w:bottom w:val="nil"/>
              <w:right w:val="nil"/>
            </w:tcBorders>
            <w:shd w:val="clear" w:color="auto" w:fill="auto"/>
          </w:tcPr>
          <w:p w:rsidR="00047086" w:rsidRPr="00176D3F" w:rsidRDefault="00047086" w:rsidP="00962BBC">
            <w:pPr>
              <w:pStyle w:val="FigureTitle"/>
            </w:pPr>
            <w:r w:rsidRPr="00784A05">
              <w:rPr>
                <w:b w:val="0"/>
              </w:rPr>
              <w:t xml:space="preserve">Figure </w:t>
            </w:r>
            <w:bookmarkStart w:id="18" w:name="OLE_LINK8"/>
            <w:r w:rsidR="00B2521B">
              <w:rPr>
                <w:b w:val="0"/>
              </w:rPr>
              <w:t>9.</w:t>
            </w:r>
            <w:r w:rsidR="00D52162">
              <w:rPr>
                <w:b w:val="0"/>
                <w:noProof/>
              </w:rPr>
              <w:t>3</w:t>
            </w:r>
            <w:bookmarkEnd w:id="18"/>
            <w:r>
              <w:tab/>
            </w:r>
            <w:r w:rsidRPr="00964C77">
              <w:t>Non</w:t>
            </w:r>
            <w:r>
              <w:noBreakHyphen/>
            </w:r>
            <w:r w:rsidRPr="00964C77">
              <w:t xml:space="preserve">fire incidents </w:t>
            </w:r>
            <w:r w:rsidR="00962BBC">
              <w:t xml:space="preserve">that </w:t>
            </w:r>
            <w:r w:rsidRPr="00964C77">
              <w:t xml:space="preserve">fire service organisations </w:t>
            </w:r>
            <w:r w:rsidR="00962BBC">
              <w:t xml:space="preserve">attended </w:t>
            </w:r>
            <w:r w:rsidRPr="00964C77">
              <w:t xml:space="preserve">(excluding false alarms), </w:t>
            </w:r>
            <w:r w:rsidR="00962BBC">
              <w:t xml:space="preserve">per 100 000 </w:t>
            </w:r>
            <w:proofErr w:type="spellStart"/>
            <w:r w:rsidR="00962BBC">
              <w:t>people</w:t>
            </w:r>
            <w:r w:rsidRPr="00964C77">
              <w:rPr>
                <w:vertAlign w:val="superscript"/>
              </w:rPr>
              <w:t>a</w:t>
            </w:r>
            <w:proofErr w:type="spellEnd"/>
            <w:r w:rsidRPr="00964C77">
              <w:rPr>
                <w:vertAlign w:val="superscript"/>
              </w:rPr>
              <w:t>, b, c</w:t>
            </w:r>
            <w:r w:rsidR="009D582C">
              <w:rPr>
                <w:vertAlign w:val="superscript"/>
              </w:rPr>
              <w:t>, d</w:t>
            </w:r>
          </w:p>
        </w:tc>
      </w:tr>
      <w:tr w:rsidR="00047086" w:rsidTr="007412CE">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047086" w:rsidTr="00677D4D">
              <w:tc>
                <w:tcPr>
                  <w:tcW w:w="5000" w:type="pct"/>
                  <w:tcBorders>
                    <w:top w:val="nil"/>
                    <w:bottom w:val="nil"/>
                  </w:tcBorders>
                </w:tcPr>
                <w:p w:rsidR="00047086" w:rsidRDefault="00D401CE" w:rsidP="007412CE">
                  <w:pPr>
                    <w:pStyle w:val="Figure"/>
                    <w:spacing w:before="60" w:after="60"/>
                  </w:pPr>
                  <w:r>
                    <w:rPr>
                      <w:noProof/>
                    </w:rPr>
                    <w:drawing>
                      <wp:inline distT="0" distB="0" distL="0" distR="0">
                        <wp:extent cx="5405755" cy="2707640"/>
                        <wp:effectExtent l="0" t="0" r="4445" b="0"/>
                        <wp:docPr id="3" name="Picture 3" descr="Figure 9.3 Non-fire incidents that fire service organisations attended (exluding false alarms) per 100 000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047086" w:rsidRDefault="00047086" w:rsidP="007412CE">
            <w:pPr>
              <w:pStyle w:val="Figure"/>
            </w:pPr>
          </w:p>
        </w:tc>
      </w:tr>
      <w:tr w:rsidR="00047086" w:rsidRPr="00176D3F" w:rsidTr="007412CE">
        <w:tc>
          <w:tcPr>
            <w:tcW w:w="8771" w:type="dxa"/>
            <w:tcBorders>
              <w:top w:val="nil"/>
              <w:left w:val="nil"/>
              <w:bottom w:val="nil"/>
              <w:right w:val="nil"/>
            </w:tcBorders>
            <w:shd w:val="clear" w:color="auto" w:fill="auto"/>
          </w:tcPr>
          <w:p w:rsidR="00047086" w:rsidRPr="00176D3F" w:rsidRDefault="001B5B29" w:rsidP="00612687">
            <w:pPr>
              <w:pStyle w:val="Source"/>
              <w:keepNext/>
            </w:pPr>
            <w:proofErr w:type="spellStart"/>
            <w:r w:rsidRPr="00854E63">
              <w:rPr>
                <w:rStyle w:val="NoteLabel"/>
              </w:rPr>
              <w:t>a</w:t>
            </w:r>
            <w:proofErr w:type="spellEnd"/>
            <w:r w:rsidRPr="00854E63">
              <w:t> </w:t>
            </w:r>
            <w:r>
              <w:t>A</w:t>
            </w:r>
            <w:r w:rsidRPr="00854E63">
              <w:t>ctivity data are affected by the reporting scope of each jurisdiction’s ‘fire service organisation’. See table</w:t>
            </w:r>
            <w:r>
              <w:t> </w:t>
            </w:r>
            <w:r w:rsidRPr="00854E63">
              <w:t xml:space="preserve">9A.3 for details for the scope of agencies’ reporting. </w:t>
            </w:r>
            <w:r w:rsidRPr="00854E63">
              <w:rPr>
                <w:rStyle w:val="NoteLabel"/>
              </w:rPr>
              <w:t>b</w:t>
            </w:r>
            <w:r w:rsidRPr="00854E63">
              <w:t> </w:t>
            </w:r>
            <w:r w:rsidRPr="00E45EDD">
              <w:t xml:space="preserve">Jurisdictions provide data for both urban and rural services (including land management agencies) and for both career and volunteer services, other than the NT — see </w:t>
            </w:r>
            <w:r>
              <w:t>table 9A.1</w:t>
            </w:r>
            <w:r w:rsidR="00D32E9E">
              <w:t>2</w:t>
            </w:r>
            <w:r>
              <w:t xml:space="preserve"> </w:t>
            </w:r>
            <w:r w:rsidRPr="00E45EDD">
              <w:t>for caveats.</w:t>
            </w:r>
            <w:r w:rsidRPr="00854E63">
              <w:t xml:space="preserve"> </w:t>
            </w:r>
            <w:r w:rsidRPr="00854E63">
              <w:rPr>
                <w:rStyle w:val="NoteLabel"/>
              </w:rPr>
              <w:t>c</w:t>
            </w:r>
            <w:r>
              <w:rPr>
                <w:rStyle w:val="NoteLabel"/>
              </w:rPr>
              <w:t xml:space="preserve"> </w:t>
            </w:r>
            <w:r w:rsidRPr="005A296E">
              <w:t xml:space="preserve">Population data used to derive rates are as at </w:t>
            </w:r>
            <w:r w:rsidR="00F33424">
              <w:t xml:space="preserve">31 December. Estimated Resident Population (ERP) data for </w:t>
            </w:r>
            <w:r w:rsidR="00D32E9E">
              <w:t>2009 to 2010</w:t>
            </w:r>
            <w:r w:rsidR="00F33424">
              <w:t xml:space="preserve"> </w:t>
            </w:r>
            <w:r w:rsidRPr="005A296E">
              <w:t>are final, based on the 2011 Census of Population and Housing. Estimates for 2011 onwards are preliminary. See chapter 2 (table 2A.2) for details.</w:t>
            </w:r>
            <w:r>
              <w:t xml:space="preserve"> </w:t>
            </w:r>
            <w:r>
              <w:rPr>
                <w:rStyle w:val="NoteLabel"/>
              </w:rPr>
              <w:t>d</w:t>
            </w:r>
            <w:r w:rsidRPr="00854E63">
              <w:t> Qld: </w:t>
            </w:r>
            <w:r w:rsidR="008204BE" w:rsidRPr="00854E63">
              <w:t xml:space="preserve">Accurate identification of incidents </w:t>
            </w:r>
            <w:r w:rsidR="0049071D" w:rsidRPr="00446594">
              <w:t>attended by the former QFRS</w:t>
            </w:r>
            <w:r w:rsidR="0049071D" w:rsidRPr="00854E63">
              <w:t xml:space="preserve"> </w:t>
            </w:r>
            <w:r w:rsidR="008204BE" w:rsidRPr="00854E63">
              <w:t xml:space="preserve">Rural brigades prior to </w:t>
            </w:r>
            <w:r w:rsidR="008204BE">
              <w:t>2013</w:t>
            </w:r>
            <w:r w:rsidR="0026487F">
              <w:noBreakHyphen/>
            </w:r>
            <w:r w:rsidR="008204BE">
              <w:t xml:space="preserve">14 was </w:t>
            </w:r>
            <w:r w:rsidR="008204BE" w:rsidRPr="00854E63">
              <w:t xml:space="preserve">not possible due to incomplete voluntary reporting procedures. </w:t>
            </w:r>
            <w:r w:rsidR="008204BE" w:rsidRPr="002605A8">
              <w:t xml:space="preserve">New procedures </w:t>
            </w:r>
            <w:r w:rsidR="008204BE">
              <w:t xml:space="preserve">were </w:t>
            </w:r>
            <w:r w:rsidR="008204BE" w:rsidRPr="002605A8">
              <w:t>fully implemented</w:t>
            </w:r>
            <w:r w:rsidR="008204BE">
              <w:t xml:space="preserve"> from 1 July 2013</w:t>
            </w:r>
            <w:r w:rsidR="008204BE" w:rsidRPr="002605A8">
              <w:t>.</w:t>
            </w:r>
          </w:p>
        </w:tc>
      </w:tr>
      <w:tr w:rsidR="00047086" w:rsidRPr="00176D3F" w:rsidTr="007412CE">
        <w:tc>
          <w:tcPr>
            <w:tcW w:w="8771" w:type="dxa"/>
            <w:tcBorders>
              <w:top w:val="nil"/>
              <w:left w:val="nil"/>
              <w:bottom w:val="nil"/>
              <w:right w:val="nil"/>
            </w:tcBorders>
            <w:shd w:val="clear" w:color="auto" w:fill="auto"/>
          </w:tcPr>
          <w:p w:rsidR="00047086" w:rsidRPr="00176D3F" w:rsidRDefault="00047086" w:rsidP="009D582C">
            <w:pPr>
              <w:pStyle w:val="Source"/>
              <w:keepNext/>
            </w:pPr>
            <w:r w:rsidRPr="00854E63">
              <w:rPr>
                <w:i/>
              </w:rPr>
              <w:t>Source</w:t>
            </w:r>
            <w:r w:rsidRPr="00854E63">
              <w:t xml:space="preserve">: </w:t>
            </w:r>
            <w:r w:rsidR="009D582C" w:rsidRPr="00854E63">
              <w:t>State and Territory governments (unpublished);</w:t>
            </w:r>
            <w:r w:rsidR="009D582C">
              <w:t xml:space="preserve"> ABS (unpublished);</w:t>
            </w:r>
            <w:r w:rsidRPr="00854E63">
              <w:t xml:space="preserve"> table</w:t>
            </w:r>
            <w:r>
              <w:t> </w:t>
            </w:r>
            <w:r w:rsidR="004029AC">
              <w:t>9A.1</w:t>
            </w:r>
            <w:r w:rsidR="00D32E9E">
              <w:t>2</w:t>
            </w:r>
            <w:r w:rsidRPr="00854E63">
              <w:t>.</w:t>
            </w:r>
          </w:p>
        </w:tc>
      </w:tr>
      <w:tr w:rsidR="00047086" w:rsidTr="007412CE">
        <w:tc>
          <w:tcPr>
            <w:tcW w:w="8771" w:type="dxa"/>
            <w:tcBorders>
              <w:top w:val="nil"/>
              <w:left w:val="nil"/>
              <w:bottom w:val="single" w:sz="6" w:space="0" w:color="78A22F"/>
              <w:right w:val="nil"/>
            </w:tcBorders>
            <w:shd w:val="clear" w:color="auto" w:fill="auto"/>
          </w:tcPr>
          <w:p w:rsidR="00047086" w:rsidRDefault="00047086" w:rsidP="007412CE">
            <w:pPr>
              <w:pStyle w:val="Figurespace"/>
            </w:pPr>
          </w:p>
        </w:tc>
      </w:tr>
      <w:tr w:rsidR="00047086" w:rsidRPr="000863A5" w:rsidTr="007412CE">
        <w:tc>
          <w:tcPr>
            <w:tcW w:w="8771" w:type="dxa"/>
            <w:tcBorders>
              <w:top w:val="single" w:sz="6" w:space="0" w:color="78A22F"/>
              <w:left w:val="nil"/>
              <w:bottom w:val="nil"/>
              <w:right w:val="nil"/>
            </w:tcBorders>
          </w:tcPr>
          <w:p w:rsidR="00047086" w:rsidRPr="00626D32" w:rsidRDefault="00047086" w:rsidP="007412CE">
            <w:pPr>
              <w:pStyle w:val="BoxSpaceBelow"/>
            </w:pPr>
          </w:p>
        </w:tc>
      </w:tr>
    </w:tbl>
    <w:p w:rsidR="00047086" w:rsidRDefault="00047086" w:rsidP="001D4B1E">
      <w:pPr>
        <w:pStyle w:val="BodyText"/>
      </w:pPr>
      <w:r w:rsidRPr="002E1A20">
        <w:t xml:space="preserve">Changes in the </w:t>
      </w:r>
      <w:r>
        <w:t>non</w:t>
      </w:r>
      <w:r>
        <w:noBreakHyphen/>
      </w:r>
      <w:r w:rsidRPr="002E1A20">
        <w:t>fire incident rate can be understood by analysing changes i</w:t>
      </w:r>
      <w:r>
        <w:t>n non</w:t>
      </w:r>
      <w:r>
        <w:noBreakHyphen/>
        <w:t>fire rescue, hazardous conditions, natural disasters and other incidents:</w:t>
      </w:r>
      <w:r w:rsidRPr="00CB1DBD">
        <w:t xml:space="preserve"> </w:t>
      </w:r>
    </w:p>
    <w:p w:rsidR="001D4B1E" w:rsidRDefault="001D4B1E" w:rsidP="001D4B1E">
      <w:pPr>
        <w:pStyle w:val="ListBullet"/>
      </w:pPr>
      <w:r w:rsidRPr="00946DAB">
        <w:rPr>
          <w:i/>
        </w:rPr>
        <w:t>Non</w:t>
      </w:r>
      <w:r w:rsidRPr="00946DAB">
        <w:rPr>
          <w:i/>
        </w:rPr>
        <w:noBreakHyphen/>
        <w:t>fire rescue</w:t>
      </w:r>
      <w:r w:rsidRPr="00946DAB">
        <w:t xml:space="preserve"> </w:t>
      </w:r>
      <w:r w:rsidR="00946DAB" w:rsidRPr="00946DAB">
        <w:t xml:space="preserve">— </w:t>
      </w:r>
      <w:r w:rsidRPr="00CB1DBD">
        <w:t xml:space="preserve">Fire service organisations attended </w:t>
      </w:r>
      <w:r w:rsidR="00B2521B">
        <w:t>62 988</w:t>
      </w:r>
      <w:r w:rsidRPr="00CB1DBD">
        <w:t xml:space="preserve"> </w:t>
      </w:r>
      <w:r>
        <w:t>non</w:t>
      </w:r>
      <w:r>
        <w:noBreakHyphen/>
        <w:t xml:space="preserve">fire </w:t>
      </w:r>
      <w:r w:rsidRPr="00F0244A">
        <w:t xml:space="preserve">rescue </w:t>
      </w:r>
      <w:r w:rsidRPr="00CB1DBD">
        <w:t>incidents at which they are called upon to locate, provide initial medical care, and remove entrapped persons from damaged structures (including road vehicles) and other environments in a safe and expeditious manner (table</w:t>
      </w:r>
      <w:r>
        <w:t> </w:t>
      </w:r>
      <w:r w:rsidR="004029AC">
        <w:t>9A.13</w:t>
      </w:r>
      <w:r w:rsidRPr="00CB1DBD">
        <w:t xml:space="preserve">). </w:t>
      </w:r>
    </w:p>
    <w:p w:rsidR="00047086" w:rsidRDefault="001D4B1E" w:rsidP="00047086">
      <w:pPr>
        <w:pStyle w:val="ListBullet"/>
        <w:numPr>
          <w:ilvl w:val="0"/>
          <w:numId w:val="0"/>
        </w:numPr>
        <w:ind w:left="340"/>
      </w:pPr>
      <w:r w:rsidRPr="00CB1DBD">
        <w:t xml:space="preserve">A large number of these </w:t>
      </w:r>
      <w:r>
        <w:t>non</w:t>
      </w:r>
      <w:r>
        <w:noBreakHyphen/>
        <w:t xml:space="preserve">fire rescue </w:t>
      </w:r>
      <w:r w:rsidRPr="00CB1DBD">
        <w:t>incidents involved road crash rescue</w:t>
      </w:r>
      <w:r>
        <w:t>.</w:t>
      </w:r>
      <w:r w:rsidR="000E7892">
        <w:t xml:space="preserve"> </w:t>
      </w:r>
      <w:r w:rsidR="008A792B">
        <w:t xml:space="preserve">Fire </w:t>
      </w:r>
      <w:r w:rsidR="000E7892">
        <w:t xml:space="preserve">service organisations </w:t>
      </w:r>
      <w:r w:rsidR="008A792B">
        <w:t xml:space="preserve">generally work with </w:t>
      </w:r>
      <w:r w:rsidR="000E7892">
        <w:t>State</w:t>
      </w:r>
      <w:r w:rsidR="008204BE">
        <w:t xml:space="preserve"> and </w:t>
      </w:r>
      <w:r w:rsidR="000E7892">
        <w:t xml:space="preserve">Territory emergency service organisations </w:t>
      </w:r>
      <w:r w:rsidR="008A792B">
        <w:t>as primary</w:t>
      </w:r>
      <w:r w:rsidR="000E7892">
        <w:t xml:space="preserve"> road cras</w:t>
      </w:r>
      <w:r w:rsidR="008A792B">
        <w:t>h rescue service providers, although governance arrangements differ across jurisdictions</w:t>
      </w:r>
      <w:r w:rsidR="000E7892">
        <w:t xml:space="preserve"> </w:t>
      </w:r>
      <w:r w:rsidR="000E7892" w:rsidRPr="0054109B">
        <w:t>(Emergency management sector overview</w:t>
      </w:r>
      <w:r w:rsidR="008204BE">
        <w:t>,</w:t>
      </w:r>
      <w:r w:rsidR="000E7892" w:rsidRPr="0054109B">
        <w:t xml:space="preserve"> table DA.1).</w:t>
      </w:r>
      <w:r w:rsidR="008A792B">
        <w:t xml:space="preserve"> Together</w:t>
      </w:r>
      <w:r w:rsidRPr="00CB1DBD">
        <w:t xml:space="preserve">, fire service and </w:t>
      </w:r>
      <w:r w:rsidR="00171A40">
        <w:t>State</w:t>
      </w:r>
      <w:r w:rsidR="008204BE">
        <w:t xml:space="preserve"> and </w:t>
      </w:r>
      <w:r>
        <w:t xml:space="preserve">Territory emergency service </w:t>
      </w:r>
      <w:r w:rsidRPr="00CB1DBD">
        <w:t xml:space="preserve">organisations </w:t>
      </w:r>
      <w:r w:rsidR="000E7892">
        <w:t xml:space="preserve">combined </w:t>
      </w:r>
      <w:r w:rsidRPr="00CB1DBD">
        <w:t xml:space="preserve">attended </w:t>
      </w:r>
      <w:r w:rsidR="00B2521B">
        <w:t>23 938</w:t>
      </w:r>
      <w:r w:rsidRPr="00CB1DBD">
        <w:t xml:space="preserve"> road crash rescue incidents </w:t>
      </w:r>
      <w:r w:rsidR="008A792B">
        <w:t xml:space="preserve">nationally </w:t>
      </w:r>
      <w:r w:rsidRPr="00CB1DBD">
        <w:t xml:space="preserve">in </w:t>
      </w:r>
      <w:r>
        <w:t>2013</w:t>
      </w:r>
      <w:r w:rsidR="001A642F">
        <w:noBreakHyphen/>
      </w:r>
      <w:r>
        <w:t>14</w:t>
      </w:r>
      <w:r w:rsidRPr="00CB1DBD">
        <w:t xml:space="preserve">, or </w:t>
      </w:r>
      <w:r w:rsidR="00B2521B">
        <w:t>102.7</w:t>
      </w:r>
      <w:r w:rsidRPr="00CB1DBD">
        <w:t> incidents per 100 000 people (table </w:t>
      </w:r>
      <w:r w:rsidR="004029AC">
        <w:t>9A.19</w:t>
      </w:r>
      <w:r w:rsidRPr="000B140D">
        <w:t xml:space="preserve"> </w:t>
      </w:r>
      <w:r w:rsidRPr="00CB1DBD">
        <w:t>and figure</w:t>
      </w:r>
      <w:r w:rsidR="00CE2426">
        <w:t> </w:t>
      </w:r>
      <w:r w:rsidR="00800D6F">
        <w:t>9.4</w:t>
      </w:r>
      <w:r w:rsidRPr="00CB1DBD">
        <w:t xml:space="preserve">). While responding to road crash rescue incidents, </w:t>
      </w:r>
      <w:r w:rsidR="008A792B">
        <w:t xml:space="preserve">a total of </w:t>
      </w:r>
      <w:r w:rsidR="00B2521B">
        <w:t>9006</w:t>
      </w:r>
      <w:r w:rsidRPr="00CB1DBD">
        <w:t xml:space="preserve"> extractions</w:t>
      </w:r>
      <w:r w:rsidR="008A792B">
        <w:t xml:space="preserve"> </w:t>
      </w:r>
      <w:r w:rsidR="008204BE">
        <w:t>(</w:t>
      </w:r>
      <w:r>
        <w:t xml:space="preserve">the </w:t>
      </w:r>
      <w:r w:rsidRPr="000B140D">
        <w:t xml:space="preserve">assisted </w:t>
      </w:r>
      <w:r>
        <w:t>remov</w:t>
      </w:r>
      <w:r w:rsidRPr="000B140D">
        <w:t xml:space="preserve">al of a </w:t>
      </w:r>
      <w:r>
        <w:t>patient at the scene of the incident</w:t>
      </w:r>
      <w:r w:rsidR="008204BE">
        <w:t>)</w:t>
      </w:r>
      <w:r>
        <w:t xml:space="preserve"> </w:t>
      </w:r>
      <w:r w:rsidR="008A792B">
        <w:t xml:space="preserve">were performed, </w:t>
      </w:r>
      <w:r w:rsidRPr="00CB1DBD">
        <w:t xml:space="preserve">or </w:t>
      </w:r>
      <w:r w:rsidR="00B2521B">
        <w:t>38.6</w:t>
      </w:r>
      <w:r w:rsidRPr="00CB1DBD">
        <w:t> extractions per 100 000 people (table </w:t>
      </w:r>
      <w:r w:rsidR="004029AC">
        <w:t>9A.20</w:t>
      </w:r>
      <w:r w:rsidRPr="00CB1DBD">
        <w:t>).</w:t>
      </w:r>
    </w:p>
    <w:p w:rsidR="00432814" w:rsidRDefault="00432814" w:rsidP="00432814">
      <w:pPr>
        <w:pStyle w:val="BoxSpaceBelow"/>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32814" w:rsidTr="00963693">
        <w:tc>
          <w:tcPr>
            <w:tcW w:w="8771" w:type="dxa"/>
            <w:tcBorders>
              <w:top w:val="single" w:sz="6" w:space="0" w:color="78A22F"/>
              <w:left w:val="nil"/>
              <w:bottom w:val="nil"/>
              <w:right w:val="nil"/>
            </w:tcBorders>
            <w:shd w:val="clear" w:color="auto" w:fill="auto"/>
          </w:tcPr>
          <w:p w:rsidR="00432814" w:rsidRPr="00176D3F" w:rsidRDefault="00432814" w:rsidP="008204BE">
            <w:pPr>
              <w:pStyle w:val="FigureTitle"/>
            </w:pPr>
            <w:r w:rsidRPr="00784A05">
              <w:rPr>
                <w:b w:val="0"/>
              </w:rPr>
              <w:t xml:space="preserve">Figure </w:t>
            </w:r>
            <w:bookmarkStart w:id="19" w:name="OLE_LINK9"/>
            <w:r w:rsidR="00B2521B">
              <w:rPr>
                <w:b w:val="0"/>
              </w:rPr>
              <w:t>9.</w:t>
            </w:r>
            <w:r w:rsidR="00D52162">
              <w:rPr>
                <w:b w:val="0"/>
                <w:noProof/>
              </w:rPr>
              <w:t>4</w:t>
            </w:r>
            <w:bookmarkEnd w:id="19"/>
            <w:r>
              <w:tab/>
            </w:r>
            <w:r w:rsidRPr="00AA3962">
              <w:t>Road crash rescue incidents</w:t>
            </w:r>
            <w:r>
              <w:t xml:space="preserve"> that fire service organisations and/or State</w:t>
            </w:r>
            <w:r w:rsidR="008204BE">
              <w:t xml:space="preserve"> and </w:t>
            </w:r>
            <w:r>
              <w:t>Territory emergency service organisations attended</w:t>
            </w:r>
            <w:r w:rsidR="00071218" w:rsidRPr="00225D8D">
              <w:rPr>
                <w:rStyle w:val="NoteLabel"/>
                <w:b/>
              </w:rPr>
              <w:t>a, b</w:t>
            </w:r>
          </w:p>
        </w:tc>
      </w:tr>
      <w:tr w:rsidR="00432814" w:rsidTr="00963693">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432814" w:rsidTr="00677D4D">
              <w:tc>
                <w:tcPr>
                  <w:tcW w:w="5000" w:type="pct"/>
                  <w:tcBorders>
                    <w:top w:val="nil"/>
                    <w:bottom w:val="nil"/>
                  </w:tcBorders>
                </w:tcPr>
                <w:p w:rsidR="00432814" w:rsidRPr="0058308D" w:rsidRDefault="00D401CE" w:rsidP="00963693">
                  <w:pPr>
                    <w:pStyle w:val="Figure"/>
                    <w:spacing w:before="60" w:after="60"/>
                    <w:rPr>
                      <w:b/>
                    </w:rPr>
                  </w:pPr>
                  <w:r>
                    <w:rPr>
                      <w:b/>
                      <w:noProof/>
                    </w:rPr>
                    <w:drawing>
                      <wp:inline distT="0" distB="0" distL="0" distR="0">
                        <wp:extent cx="5405755" cy="2707640"/>
                        <wp:effectExtent l="0" t="0" r="4445" b="0"/>
                        <wp:docPr id="8" name="Picture 8" descr="Figure 9.4 Road crash rescue incidents that fire service organisations and/or State and Territory emergency service organisations attende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432814" w:rsidRDefault="00432814" w:rsidP="00963693">
            <w:pPr>
              <w:pStyle w:val="Figure"/>
            </w:pPr>
          </w:p>
        </w:tc>
      </w:tr>
      <w:tr w:rsidR="00432814" w:rsidRPr="00176D3F" w:rsidTr="00963693">
        <w:tc>
          <w:tcPr>
            <w:tcW w:w="8771" w:type="dxa"/>
            <w:tcBorders>
              <w:top w:val="nil"/>
              <w:left w:val="nil"/>
              <w:bottom w:val="nil"/>
              <w:right w:val="nil"/>
            </w:tcBorders>
            <w:shd w:val="clear" w:color="auto" w:fill="auto"/>
          </w:tcPr>
          <w:p w:rsidR="00432814" w:rsidRPr="00176D3F" w:rsidRDefault="00432814" w:rsidP="00612687">
            <w:pPr>
              <w:pStyle w:val="Note"/>
            </w:pPr>
            <w:r w:rsidRPr="002605A8">
              <w:rPr>
                <w:rStyle w:val="NoteLabel"/>
              </w:rPr>
              <w:t>a</w:t>
            </w:r>
            <w:r w:rsidR="00FC6298">
              <w:t> </w:t>
            </w:r>
            <w:r w:rsidRPr="009D582C">
              <w:t xml:space="preserve">Population data used to derive rates are as at </w:t>
            </w:r>
            <w:r w:rsidR="00F33424">
              <w:t xml:space="preserve">31 December. Estimated Resident Population (ERP) data for </w:t>
            </w:r>
            <w:r w:rsidR="00D32E9E">
              <w:t>2009 to 2010</w:t>
            </w:r>
            <w:r w:rsidR="00F33424">
              <w:t xml:space="preserve"> </w:t>
            </w:r>
            <w:r w:rsidRPr="009D582C">
              <w:t>are final, based on the 2011 Census of Population and Housing. Estimates for 2011 onwards are preliminary. See chapter 2 (table 2A.2) for details.</w:t>
            </w:r>
            <w:r>
              <w:t xml:space="preserve"> </w:t>
            </w:r>
            <w:r w:rsidRPr="002605A8">
              <w:rPr>
                <w:rStyle w:val="NoteLabel"/>
              </w:rPr>
              <w:t>b</w:t>
            </w:r>
            <w:r w:rsidRPr="002605A8">
              <w:t> </w:t>
            </w:r>
            <w:r w:rsidR="00071218">
              <w:t>NT data may be revised in future editions</w:t>
            </w:r>
            <w:r w:rsidRPr="009D582C">
              <w:t xml:space="preserve">. </w:t>
            </w:r>
            <w:r w:rsidR="00071218">
              <w:t>Data</w:t>
            </w:r>
            <w:r w:rsidRPr="009D582C">
              <w:t xml:space="preserve"> for 2012</w:t>
            </w:r>
            <w:r>
              <w:noBreakHyphen/>
            </w:r>
            <w:r w:rsidRPr="009D582C">
              <w:t xml:space="preserve">13 </w:t>
            </w:r>
            <w:r w:rsidR="00071218">
              <w:t xml:space="preserve">may reflect </w:t>
            </w:r>
            <w:r w:rsidRPr="009D582C">
              <w:t>under</w:t>
            </w:r>
            <w:r w:rsidR="0026487F">
              <w:noBreakHyphen/>
            </w:r>
            <w:r w:rsidRPr="009D582C">
              <w:t>reporting</w:t>
            </w:r>
            <w:r w:rsidR="00071218">
              <w:t xml:space="preserve"> of incidents</w:t>
            </w:r>
            <w:r w:rsidRPr="009D582C">
              <w:t>.</w:t>
            </w:r>
          </w:p>
        </w:tc>
      </w:tr>
      <w:tr w:rsidR="00432814" w:rsidRPr="00176D3F" w:rsidTr="00963693">
        <w:tc>
          <w:tcPr>
            <w:tcW w:w="8771" w:type="dxa"/>
            <w:tcBorders>
              <w:top w:val="nil"/>
              <w:left w:val="nil"/>
              <w:bottom w:val="nil"/>
              <w:right w:val="nil"/>
            </w:tcBorders>
            <w:shd w:val="clear" w:color="auto" w:fill="auto"/>
          </w:tcPr>
          <w:p w:rsidR="00432814" w:rsidRPr="00176D3F" w:rsidRDefault="00432814" w:rsidP="00071218">
            <w:pPr>
              <w:pStyle w:val="Source"/>
            </w:pPr>
            <w:r w:rsidRPr="002605A8">
              <w:rPr>
                <w:i/>
              </w:rPr>
              <w:t>Source</w:t>
            </w:r>
            <w:r w:rsidRPr="002605A8">
              <w:t xml:space="preserve">: </w:t>
            </w:r>
            <w:r w:rsidRPr="00854E63">
              <w:t>State and Territory governments (unpublished);</w:t>
            </w:r>
            <w:r>
              <w:t xml:space="preserve"> ABS (unpublished);</w:t>
            </w:r>
            <w:r w:rsidRPr="002605A8">
              <w:t xml:space="preserve"> table </w:t>
            </w:r>
            <w:r>
              <w:t>9A.19</w:t>
            </w:r>
            <w:r w:rsidRPr="002605A8">
              <w:t>.</w:t>
            </w:r>
          </w:p>
        </w:tc>
      </w:tr>
      <w:tr w:rsidR="00432814" w:rsidTr="00963693">
        <w:tc>
          <w:tcPr>
            <w:tcW w:w="8771" w:type="dxa"/>
            <w:tcBorders>
              <w:top w:val="nil"/>
              <w:left w:val="nil"/>
              <w:bottom w:val="single" w:sz="6" w:space="0" w:color="78A22F"/>
              <w:right w:val="nil"/>
            </w:tcBorders>
            <w:shd w:val="clear" w:color="auto" w:fill="auto"/>
          </w:tcPr>
          <w:p w:rsidR="00432814" w:rsidRDefault="00432814" w:rsidP="00963693">
            <w:pPr>
              <w:pStyle w:val="Figurespace"/>
            </w:pPr>
          </w:p>
        </w:tc>
      </w:tr>
      <w:tr w:rsidR="00432814" w:rsidRPr="000863A5" w:rsidTr="00963693">
        <w:tc>
          <w:tcPr>
            <w:tcW w:w="8771" w:type="dxa"/>
            <w:tcBorders>
              <w:top w:val="single" w:sz="6" w:space="0" w:color="78A22F"/>
              <w:left w:val="nil"/>
              <w:bottom w:val="nil"/>
              <w:right w:val="nil"/>
            </w:tcBorders>
          </w:tcPr>
          <w:p w:rsidR="00432814" w:rsidRPr="00626D32" w:rsidRDefault="00432814" w:rsidP="00963693">
            <w:pPr>
              <w:pStyle w:val="BoxSpaceBelow"/>
            </w:pPr>
          </w:p>
        </w:tc>
      </w:tr>
    </w:tbl>
    <w:p w:rsidR="00047086" w:rsidRPr="001D4B1E" w:rsidRDefault="00047086" w:rsidP="00047086">
      <w:pPr>
        <w:pStyle w:val="ListBullet"/>
      </w:pPr>
      <w:r w:rsidRPr="00047086">
        <w:rPr>
          <w:i/>
        </w:rPr>
        <w:t>Hazardous materials incidents</w:t>
      </w:r>
      <w:r w:rsidRPr="00047086">
        <w:t xml:space="preserve"> — </w:t>
      </w:r>
      <w:r w:rsidRPr="00CB1DBD">
        <w:t xml:space="preserve">Fire service organisations attended </w:t>
      </w:r>
      <w:r w:rsidR="00B2521B">
        <w:t>24 094</w:t>
      </w:r>
      <w:r w:rsidRPr="00CB1DBD">
        <w:t xml:space="preserve"> incidents where materials that have hazardous properties must be controlled or contained</w:t>
      </w:r>
      <w:r>
        <w:t xml:space="preserve"> in 2013</w:t>
      </w:r>
      <w:r w:rsidR="0026487F">
        <w:noBreakHyphen/>
      </w:r>
      <w:r>
        <w:t>14</w:t>
      </w:r>
      <w:r w:rsidRPr="00CB1DBD">
        <w:t xml:space="preserve"> (table </w:t>
      </w:r>
      <w:r w:rsidR="004029AC">
        <w:t>9A.13</w:t>
      </w:r>
      <w:r w:rsidRPr="00CB1DBD">
        <w:t xml:space="preserve">). Of these, </w:t>
      </w:r>
      <w:r w:rsidR="00B2521B">
        <w:t>2766</w:t>
      </w:r>
      <w:r w:rsidRPr="00CB1DBD">
        <w:t xml:space="preserve"> incidents (or </w:t>
      </w:r>
      <w:r w:rsidR="00B2521B">
        <w:t>11.9</w:t>
      </w:r>
      <w:r w:rsidRPr="00CB1DBD">
        <w:t xml:space="preserve"> incidents per 100 000 </w:t>
      </w:r>
      <w:r>
        <w:t>people</w:t>
      </w:r>
      <w:r w:rsidRPr="00CB1DBD">
        <w:t>) were categorised as having the potential to endanger, damage or destroy the health or safety of people, their property or the environment on or beyond the incident site (</w:t>
      </w:r>
      <w:r w:rsidR="00071218">
        <w:t xml:space="preserve">table 9A.18 and </w:t>
      </w:r>
      <w:r w:rsidRPr="00CB1DBD">
        <w:t>figure </w:t>
      </w:r>
      <w:r w:rsidR="00970353">
        <w:t>9.5</w:t>
      </w:r>
      <w:r w:rsidRPr="00CB1DBD">
        <w:t xml:space="preserve">). </w:t>
      </w:r>
    </w:p>
    <w:p w:rsidR="00047086" w:rsidRPr="00CB1DBD" w:rsidRDefault="00047086" w:rsidP="00047086">
      <w:pPr>
        <w:pStyle w:val="ListBullet"/>
      </w:pPr>
      <w:r w:rsidRPr="00047086">
        <w:rPr>
          <w:i/>
        </w:rPr>
        <w:t xml:space="preserve">Calls to floods, storm and tempest and other natural disasters </w:t>
      </w:r>
      <w:r w:rsidRPr="00047086">
        <w:t xml:space="preserve">— </w:t>
      </w:r>
      <w:r w:rsidRPr="00CB1DBD">
        <w:t xml:space="preserve">In coordination with other emergency services, fire service organisations responded to </w:t>
      </w:r>
      <w:r w:rsidR="00B2521B">
        <w:t>23 976</w:t>
      </w:r>
      <w:r w:rsidRPr="00CB1DBD">
        <w:t xml:space="preserve"> natural disaster incidents </w:t>
      </w:r>
      <w:r>
        <w:t>(</w:t>
      </w:r>
      <w:r w:rsidRPr="00CB1DBD">
        <w:t>actual or imminent</w:t>
      </w:r>
      <w:r>
        <w:t>) in 2013</w:t>
      </w:r>
      <w:r w:rsidR="0026487F">
        <w:noBreakHyphen/>
      </w:r>
      <w:r>
        <w:t xml:space="preserve">14 </w:t>
      </w:r>
      <w:r w:rsidRPr="00CB1DBD">
        <w:t>(table </w:t>
      </w:r>
      <w:r w:rsidR="004029AC">
        <w:t>9A.13</w:t>
      </w:r>
      <w:r w:rsidRPr="00CB1DBD">
        <w:t>).</w:t>
      </w:r>
      <w:r>
        <w:t xml:space="preserve"> </w:t>
      </w:r>
      <w:r w:rsidRPr="00CB1DBD">
        <w:t>Further information on government services in the event of natural disasters are available in the Emergency management sector overview (sector overview D).</w:t>
      </w:r>
    </w:p>
    <w:p w:rsidR="00AA3962" w:rsidRDefault="00AA3962" w:rsidP="005830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3962" w:rsidTr="0058308D">
        <w:tc>
          <w:tcPr>
            <w:tcW w:w="8771" w:type="dxa"/>
            <w:tcBorders>
              <w:top w:val="single" w:sz="6" w:space="0" w:color="78A22F"/>
              <w:left w:val="nil"/>
              <w:bottom w:val="nil"/>
              <w:right w:val="nil"/>
            </w:tcBorders>
            <w:shd w:val="clear" w:color="auto" w:fill="auto"/>
          </w:tcPr>
          <w:p w:rsidR="00AA3962" w:rsidRPr="00176D3F" w:rsidRDefault="00AA3962" w:rsidP="00FC6298">
            <w:pPr>
              <w:pStyle w:val="FigureTitle"/>
            </w:pPr>
            <w:r w:rsidRPr="00784A05">
              <w:rPr>
                <w:b w:val="0"/>
              </w:rPr>
              <w:t xml:space="preserve">Figure </w:t>
            </w:r>
            <w:bookmarkStart w:id="20" w:name="OLE_LINK10"/>
            <w:r w:rsidR="00B2521B">
              <w:rPr>
                <w:b w:val="0"/>
              </w:rPr>
              <w:t>9.</w:t>
            </w:r>
            <w:r w:rsidR="00D52162">
              <w:rPr>
                <w:b w:val="0"/>
                <w:noProof/>
              </w:rPr>
              <w:t>5</w:t>
            </w:r>
            <w:bookmarkEnd w:id="20"/>
            <w:r>
              <w:tab/>
            </w:r>
            <w:r w:rsidR="00962BBC" w:rsidRPr="00FC6298">
              <w:t>H</w:t>
            </w:r>
            <w:r w:rsidRPr="00FC6298">
              <w:t xml:space="preserve">azardous materials incidents </w:t>
            </w:r>
            <w:r w:rsidR="001D279E" w:rsidRPr="00FC6298">
              <w:t xml:space="preserve">which </w:t>
            </w:r>
            <w:r w:rsidR="00962BBC" w:rsidRPr="00FC6298">
              <w:t xml:space="preserve">must be controlled or contained </w:t>
            </w:r>
            <w:r w:rsidR="00FC6298">
              <w:t xml:space="preserve">that </w:t>
            </w:r>
            <w:r w:rsidRPr="00FC6298">
              <w:t>fire service organisations</w:t>
            </w:r>
            <w:r w:rsidR="001D279E" w:rsidRPr="00FC6298">
              <w:t xml:space="preserve"> </w:t>
            </w:r>
            <w:r w:rsidR="00FC6298">
              <w:t>attended</w:t>
            </w:r>
            <w:r w:rsidRPr="00FC6298">
              <w:rPr>
                <w:rStyle w:val="NoteLabel"/>
                <w:b/>
              </w:rPr>
              <w:t>a</w:t>
            </w:r>
            <w:r w:rsidR="000D2973">
              <w:rPr>
                <w:rStyle w:val="NoteLabel"/>
                <w:b/>
              </w:rPr>
              <w:t>, b, c</w:t>
            </w:r>
            <w:r w:rsidR="00071218">
              <w:rPr>
                <w:rStyle w:val="NoteLabel"/>
                <w:b/>
              </w:rPr>
              <w:t>, d</w:t>
            </w:r>
            <w:r w:rsidR="0049071D" w:rsidRPr="00446594">
              <w:rPr>
                <w:rStyle w:val="NoteLabel"/>
                <w:b/>
              </w:rPr>
              <w:t>, e</w:t>
            </w:r>
          </w:p>
        </w:tc>
      </w:tr>
      <w:tr w:rsidR="00AA3962" w:rsidTr="0058308D">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AA3962" w:rsidTr="00677D4D">
              <w:tc>
                <w:tcPr>
                  <w:tcW w:w="5000" w:type="pct"/>
                  <w:tcBorders>
                    <w:top w:val="nil"/>
                    <w:bottom w:val="nil"/>
                  </w:tcBorders>
                </w:tcPr>
                <w:p w:rsidR="00AA3962" w:rsidRDefault="00D30935" w:rsidP="0058308D">
                  <w:pPr>
                    <w:pStyle w:val="Figure"/>
                    <w:spacing w:before="60" w:after="60"/>
                  </w:pPr>
                  <w:r>
                    <w:rPr>
                      <w:noProof/>
                    </w:rPr>
                    <w:drawing>
                      <wp:inline distT="0" distB="0" distL="0" distR="0">
                        <wp:extent cx="5405755" cy="2707640"/>
                        <wp:effectExtent l="0" t="0" r="4445" b="0"/>
                        <wp:docPr id="4" name="Picture 4" descr="Figure 9.5 Hazardous materials incidents which must be controlled or contained that fire service organisations attende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AA3962" w:rsidRDefault="00AA3962" w:rsidP="0058308D">
            <w:pPr>
              <w:pStyle w:val="Figure"/>
            </w:pPr>
          </w:p>
        </w:tc>
      </w:tr>
      <w:tr w:rsidR="00AA3962" w:rsidRPr="00176D3F" w:rsidTr="0058308D">
        <w:tc>
          <w:tcPr>
            <w:tcW w:w="8771" w:type="dxa"/>
            <w:tcBorders>
              <w:top w:val="nil"/>
              <w:left w:val="nil"/>
              <w:bottom w:val="nil"/>
              <w:right w:val="nil"/>
            </w:tcBorders>
            <w:shd w:val="clear" w:color="auto" w:fill="auto"/>
          </w:tcPr>
          <w:p w:rsidR="00AA3962" w:rsidRPr="00176D3F" w:rsidRDefault="00AA3962" w:rsidP="00DB40C7">
            <w:pPr>
              <w:pStyle w:val="Note"/>
            </w:pPr>
            <w:r w:rsidRPr="002605A8">
              <w:rPr>
                <w:rStyle w:val="NoteLabel"/>
              </w:rPr>
              <w:t>a</w:t>
            </w:r>
            <w:r w:rsidRPr="002605A8">
              <w:t> </w:t>
            </w:r>
            <w:r w:rsidR="009D582C" w:rsidRPr="009D582C">
              <w:t xml:space="preserve">Population data used to derive rates are as at </w:t>
            </w:r>
            <w:r w:rsidR="00F33424">
              <w:t xml:space="preserve">31 December. Estimated Resident Population (ERP) data for </w:t>
            </w:r>
            <w:r w:rsidR="00D32E9E">
              <w:t>2009 to 2010</w:t>
            </w:r>
            <w:r w:rsidR="00F33424">
              <w:t xml:space="preserve"> </w:t>
            </w:r>
            <w:r w:rsidR="009D582C" w:rsidRPr="009D582C">
              <w:t>are final, based on the 2011 Census of Population and Housing. Estimates for 2011 onwards are preliminary. See chapter 2 (table 2A.2) for details.</w:t>
            </w:r>
            <w:r w:rsidR="009D582C" w:rsidRPr="002605A8">
              <w:rPr>
                <w:rStyle w:val="NoteLabel"/>
              </w:rPr>
              <w:t xml:space="preserve"> b</w:t>
            </w:r>
            <w:r w:rsidR="009D582C" w:rsidRPr="002605A8">
              <w:t> </w:t>
            </w:r>
            <w:r w:rsidRPr="002605A8">
              <w:t>Data represent incidents attended by F</w:t>
            </w:r>
            <w:r w:rsidR="00DB40C7">
              <w:t>ire Service Organisation</w:t>
            </w:r>
            <w:r w:rsidRPr="002605A8">
              <w:t>s. F</w:t>
            </w:r>
            <w:r w:rsidR="00DB40C7">
              <w:t xml:space="preserve">ire </w:t>
            </w:r>
            <w:r w:rsidRPr="002605A8">
              <w:t>S</w:t>
            </w:r>
            <w:r w:rsidR="00DB40C7">
              <w:t xml:space="preserve">ervice </w:t>
            </w:r>
            <w:r w:rsidRPr="002605A8">
              <w:t>O</w:t>
            </w:r>
            <w:r w:rsidR="00DB40C7">
              <w:t>rganisation</w:t>
            </w:r>
            <w:r w:rsidRPr="002605A8">
              <w:t xml:space="preserve">s may not be notified of all hazardous materials incidents occurring in the community. </w:t>
            </w:r>
            <w:r w:rsidR="009D582C">
              <w:rPr>
                <w:rStyle w:val="NoteLabel"/>
              </w:rPr>
              <w:t>c</w:t>
            </w:r>
            <w:r w:rsidRPr="002605A8">
              <w:t> Coding of hazardous materials incidents is based on the judgment of the reporting fire officer shortly after the time of the incident. Some coding of incidents may be inaccurate due to the information available at the time of reporting.</w:t>
            </w:r>
            <w:r w:rsidR="00993A6A">
              <w:t xml:space="preserve"> </w:t>
            </w:r>
            <w:r w:rsidR="00993A6A">
              <w:rPr>
                <w:rStyle w:val="NoteLabel"/>
              </w:rPr>
              <w:t>d</w:t>
            </w:r>
            <w:r w:rsidR="00993A6A" w:rsidRPr="002605A8">
              <w:t> </w:t>
            </w:r>
            <w:r w:rsidR="00993A6A">
              <w:t xml:space="preserve">Vic: </w:t>
            </w:r>
            <w:r w:rsidR="00993A6A" w:rsidRPr="00993A6A">
              <w:t>2011</w:t>
            </w:r>
            <w:r w:rsidR="0026487F">
              <w:noBreakHyphen/>
            </w:r>
            <w:r w:rsidR="00993A6A" w:rsidRPr="00993A6A">
              <w:t>12 and 2012</w:t>
            </w:r>
            <w:r w:rsidR="0026487F">
              <w:noBreakHyphen/>
            </w:r>
            <w:r w:rsidR="00993A6A" w:rsidRPr="00993A6A">
              <w:t>13 hazardous material data have been revised from the data published in the 2013 and 2014 reports to correct a coding error.</w:t>
            </w:r>
            <w:r w:rsidRPr="002605A8">
              <w:t xml:space="preserve"> </w:t>
            </w:r>
            <w:r w:rsidR="00993A6A">
              <w:rPr>
                <w:rStyle w:val="NoteLabel"/>
              </w:rPr>
              <w:t>e</w:t>
            </w:r>
            <w:r w:rsidRPr="002605A8">
              <w:t> </w:t>
            </w:r>
            <w:r w:rsidR="00993A6A">
              <w:t xml:space="preserve">Qld: </w:t>
            </w:r>
            <w:r w:rsidR="008204BE" w:rsidRPr="00854E63">
              <w:t xml:space="preserve">Accurate identification of incidents </w:t>
            </w:r>
            <w:r w:rsidR="0049071D" w:rsidRPr="00446594">
              <w:t>attended by the former QFRS</w:t>
            </w:r>
            <w:r w:rsidR="0049071D" w:rsidRPr="00854E63">
              <w:t xml:space="preserve"> </w:t>
            </w:r>
            <w:r w:rsidR="008204BE" w:rsidRPr="00854E63">
              <w:t xml:space="preserve">Rural brigades prior to </w:t>
            </w:r>
            <w:r w:rsidR="008204BE">
              <w:t>2013</w:t>
            </w:r>
            <w:r w:rsidR="0026487F">
              <w:noBreakHyphen/>
            </w:r>
            <w:r w:rsidR="008204BE">
              <w:t xml:space="preserve">14 was </w:t>
            </w:r>
            <w:r w:rsidR="008204BE" w:rsidRPr="00854E63">
              <w:t xml:space="preserve">not possible due to incomplete voluntary reporting procedures. </w:t>
            </w:r>
            <w:r w:rsidR="008204BE" w:rsidRPr="002605A8">
              <w:t xml:space="preserve">New procedures </w:t>
            </w:r>
            <w:r w:rsidR="008204BE">
              <w:t xml:space="preserve">were </w:t>
            </w:r>
            <w:r w:rsidR="008204BE" w:rsidRPr="002605A8">
              <w:t>fully implemented</w:t>
            </w:r>
            <w:r w:rsidR="008204BE">
              <w:t xml:space="preserve"> from 1 July 2013</w:t>
            </w:r>
            <w:r w:rsidR="008204BE" w:rsidRPr="002605A8">
              <w:t>.</w:t>
            </w:r>
          </w:p>
        </w:tc>
      </w:tr>
      <w:tr w:rsidR="00AA3962" w:rsidRPr="00176D3F" w:rsidTr="0058308D">
        <w:tc>
          <w:tcPr>
            <w:tcW w:w="8771" w:type="dxa"/>
            <w:tcBorders>
              <w:top w:val="nil"/>
              <w:left w:val="nil"/>
              <w:bottom w:val="nil"/>
              <w:right w:val="nil"/>
            </w:tcBorders>
            <w:shd w:val="clear" w:color="auto" w:fill="auto"/>
          </w:tcPr>
          <w:p w:rsidR="00AA3962" w:rsidRPr="00176D3F" w:rsidRDefault="00AA3962" w:rsidP="0058308D">
            <w:pPr>
              <w:pStyle w:val="Source"/>
            </w:pPr>
            <w:r w:rsidRPr="002605A8">
              <w:rPr>
                <w:i/>
              </w:rPr>
              <w:t>Source</w:t>
            </w:r>
            <w:r w:rsidRPr="002605A8">
              <w:t xml:space="preserve">: </w:t>
            </w:r>
            <w:r w:rsidR="009D582C" w:rsidRPr="00854E63">
              <w:t>State and Territory governments (unpublished);</w:t>
            </w:r>
            <w:r w:rsidR="009D582C">
              <w:t xml:space="preserve"> ABS (unpublished);</w:t>
            </w:r>
            <w:r w:rsidRPr="002605A8">
              <w:t xml:space="preserve"> table </w:t>
            </w:r>
            <w:r w:rsidR="004029AC">
              <w:t>9A.18</w:t>
            </w:r>
            <w:r w:rsidRPr="002605A8">
              <w:t>.</w:t>
            </w:r>
          </w:p>
        </w:tc>
      </w:tr>
      <w:tr w:rsidR="00AA3962" w:rsidTr="0058308D">
        <w:tc>
          <w:tcPr>
            <w:tcW w:w="8771" w:type="dxa"/>
            <w:tcBorders>
              <w:top w:val="nil"/>
              <w:left w:val="nil"/>
              <w:bottom w:val="single" w:sz="6" w:space="0" w:color="78A22F"/>
              <w:right w:val="nil"/>
            </w:tcBorders>
            <w:shd w:val="clear" w:color="auto" w:fill="auto"/>
          </w:tcPr>
          <w:p w:rsidR="00AA3962" w:rsidRDefault="00AA3962" w:rsidP="0058308D">
            <w:pPr>
              <w:pStyle w:val="Figurespace"/>
            </w:pPr>
          </w:p>
        </w:tc>
      </w:tr>
      <w:tr w:rsidR="00AA3962" w:rsidRPr="000863A5" w:rsidTr="0058308D">
        <w:tc>
          <w:tcPr>
            <w:tcW w:w="8771" w:type="dxa"/>
            <w:tcBorders>
              <w:top w:val="single" w:sz="6" w:space="0" w:color="78A22F"/>
              <w:left w:val="nil"/>
              <w:bottom w:val="nil"/>
              <w:right w:val="nil"/>
            </w:tcBorders>
          </w:tcPr>
          <w:p w:rsidR="00AA3962" w:rsidRPr="00626D32" w:rsidRDefault="00AA3962" w:rsidP="0058308D">
            <w:pPr>
              <w:pStyle w:val="BoxSpaceBelow"/>
            </w:pPr>
          </w:p>
        </w:tc>
      </w:tr>
    </w:tbl>
    <w:p w:rsidR="00150CD9" w:rsidRDefault="00150CD9" w:rsidP="001F1F16">
      <w:pPr>
        <w:pStyle w:val="Heading5"/>
      </w:pPr>
      <w:r w:rsidRPr="00231BC8">
        <w:t>Fire risk prevention/mitigation activities</w:t>
      </w:r>
    </w:p>
    <w:p w:rsidR="00231BC8" w:rsidRDefault="0014266B" w:rsidP="00231BC8">
      <w:pPr>
        <w:pStyle w:val="BodyText"/>
      </w:pPr>
      <w:r w:rsidRPr="00231BC8">
        <w:t xml:space="preserve"> </w:t>
      </w:r>
      <w:r w:rsidR="00231BC8" w:rsidRPr="00231BC8">
        <w:t>‘Fire risk prevention/mitigation activities’ is an indicator of governments’ objective to reduce the adverse effects of fire on the community through prevention/mitigation measures (box</w:t>
      </w:r>
      <w:r w:rsidR="00CE2426">
        <w:t> </w:t>
      </w:r>
      <w:r w:rsidR="00800D6F">
        <w:t>9.3</w:t>
      </w:r>
      <w:r w:rsidR="00231BC8" w:rsidRPr="00231BC8">
        <w:t>).</w:t>
      </w:r>
    </w:p>
    <w:p w:rsidR="0058308D" w:rsidRDefault="005830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8308D" w:rsidTr="0058308D">
        <w:tc>
          <w:tcPr>
            <w:tcW w:w="8771" w:type="dxa"/>
            <w:tcBorders>
              <w:top w:val="single" w:sz="6" w:space="0" w:color="78A22F"/>
              <w:left w:val="nil"/>
              <w:bottom w:val="nil"/>
              <w:right w:val="nil"/>
            </w:tcBorders>
            <w:shd w:val="clear" w:color="auto" w:fill="F2F2F2" w:themeFill="background1" w:themeFillShade="F2"/>
          </w:tcPr>
          <w:p w:rsidR="0058308D" w:rsidRDefault="0058308D" w:rsidP="0058308D">
            <w:pPr>
              <w:pStyle w:val="BoxTitle"/>
            </w:pPr>
            <w:r>
              <w:rPr>
                <w:b w:val="0"/>
              </w:rPr>
              <w:t xml:space="preserve">Box </w:t>
            </w:r>
            <w:bookmarkStart w:id="21" w:name="OLE_LINK11"/>
            <w:r w:rsidR="00B2521B">
              <w:rPr>
                <w:b w:val="0"/>
              </w:rPr>
              <w:t>9.</w:t>
            </w:r>
            <w:r w:rsidR="00D52162">
              <w:rPr>
                <w:b w:val="0"/>
                <w:noProof/>
              </w:rPr>
              <w:t>3</w:t>
            </w:r>
            <w:bookmarkEnd w:id="21"/>
            <w:r>
              <w:tab/>
            </w:r>
            <w:r w:rsidRPr="00231BC8">
              <w:t>Fire risk prevention/mitigation activities</w:t>
            </w:r>
          </w:p>
        </w:tc>
      </w:tr>
      <w:tr w:rsidR="0058308D" w:rsidTr="0058308D">
        <w:trPr>
          <w:cantSplit/>
        </w:trPr>
        <w:tc>
          <w:tcPr>
            <w:tcW w:w="8771" w:type="dxa"/>
            <w:tcBorders>
              <w:top w:val="nil"/>
              <w:left w:val="nil"/>
              <w:bottom w:val="nil"/>
              <w:right w:val="nil"/>
            </w:tcBorders>
            <w:shd w:val="clear" w:color="auto" w:fill="F2F2F2" w:themeFill="background1" w:themeFillShade="F2"/>
          </w:tcPr>
          <w:p w:rsidR="00AA3B71" w:rsidRDefault="0058308D" w:rsidP="0058308D">
            <w:pPr>
              <w:pStyle w:val="Box"/>
            </w:pPr>
            <w:r w:rsidRPr="00231BC8">
              <w:t xml:space="preserve">‘Fire risk prevention/mitigation activities’ is defined by </w:t>
            </w:r>
            <w:r w:rsidR="009F782A">
              <w:t>two</w:t>
            </w:r>
            <w:r w:rsidRPr="00231BC8">
              <w:t xml:space="preserve"> measure</w:t>
            </w:r>
            <w:r w:rsidR="00AA3B71">
              <w:t>s</w:t>
            </w:r>
            <w:r w:rsidR="009F782A">
              <w:t>.</w:t>
            </w:r>
          </w:p>
          <w:p w:rsidR="009F782A" w:rsidRDefault="00AA3B71" w:rsidP="009F782A">
            <w:pPr>
              <w:pStyle w:val="BoxListBullet"/>
            </w:pPr>
            <w:r>
              <w:t>‘</w:t>
            </w:r>
            <w:r w:rsidR="009F782A" w:rsidRPr="00AA3B71">
              <w:t xml:space="preserve">Accidental </w:t>
            </w:r>
            <w:r w:rsidRPr="00AA3B71">
              <w:t>residential structure fires per 100 000 households</w:t>
            </w:r>
            <w:r>
              <w:t xml:space="preserve">’ </w:t>
            </w:r>
            <w:r w:rsidR="009F782A">
              <w:t xml:space="preserve">is </w:t>
            </w:r>
            <w:r>
              <w:t xml:space="preserve">defined as </w:t>
            </w:r>
            <w:r w:rsidRPr="00AA3B71">
              <w:t xml:space="preserve">those fires that are not deliberately lit </w:t>
            </w:r>
            <w:r w:rsidR="000D2973">
              <w:t>but</w:t>
            </w:r>
            <w:r w:rsidRPr="00AA3B71">
              <w:t xml:space="preserve"> with effective educational programs can be reduced and prevented from occurring in the first instance</w:t>
            </w:r>
            <w:r>
              <w:t>.</w:t>
            </w:r>
          </w:p>
          <w:p w:rsidR="009F782A" w:rsidRDefault="009F782A" w:rsidP="009F782A">
            <w:pPr>
              <w:pStyle w:val="BoxListBullet"/>
              <w:numPr>
                <w:ilvl w:val="0"/>
                <w:numId w:val="0"/>
              </w:numPr>
              <w:ind w:left="284"/>
            </w:pPr>
            <w:r w:rsidRPr="002F1A36">
              <w:t xml:space="preserve">A low or decreasing number of fire incidents suggests </w:t>
            </w:r>
            <w:r w:rsidR="00270D9F">
              <w:t xml:space="preserve">a </w:t>
            </w:r>
            <w:r w:rsidRPr="002F1A36">
              <w:t>greater likelihood that the adverse effects of fire will be avoided or reduced.</w:t>
            </w:r>
          </w:p>
          <w:p w:rsidR="009F782A" w:rsidRDefault="009F782A" w:rsidP="009F782A">
            <w:pPr>
              <w:pStyle w:val="BoxListBullet"/>
              <w:numPr>
                <w:ilvl w:val="0"/>
                <w:numId w:val="0"/>
              </w:numPr>
              <w:ind w:left="284"/>
            </w:pPr>
            <w:r w:rsidRPr="0052371F">
              <w:t>Data reported for this measure are</w:t>
            </w:r>
            <w:r>
              <w:t>:</w:t>
            </w:r>
          </w:p>
          <w:p w:rsidR="009F782A" w:rsidRDefault="009F782A" w:rsidP="009F782A">
            <w:pPr>
              <w:pStyle w:val="BoxListBullet2"/>
            </w:pPr>
            <w:r w:rsidRPr="0052371F">
              <w:t>comparable (subject to caveats) within jurisdictions over time but are not comparable across jurisdictions</w:t>
            </w:r>
          </w:p>
          <w:p w:rsidR="009F782A" w:rsidRPr="002F1A36" w:rsidRDefault="009F782A" w:rsidP="009F782A">
            <w:pPr>
              <w:pStyle w:val="BoxListBullet2"/>
            </w:pPr>
            <w:r>
              <w:t>complete (subject to caveats) for the current reporting period</w:t>
            </w:r>
            <w:r w:rsidRPr="0052371F">
              <w:t xml:space="preserve">. All required </w:t>
            </w:r>
            <w:r>
              <w:t>2013</w:t>
            </w:r>
            <w:r w:rsidR="0026487F">
              <w:noBreakHyphen/>
            </w:r>
            <w:r>
              <w:t xml:space="preserve">14 </w:t>
            </w:r>
            <w:r w:rsidRPr="0052371F">
              <w:t>data are available for all jurisdictions.</w:t>
            </w:r>
          </w:p>
          <w:p w:rsidR="00AA3B71" w:rsidRDefault="0058308D" w:rsidP="0058308D">
            <w:pPr>
              <w:pStyle w:val="BoxListBullet"/>
            </w:pPr>
            <w:r w:rsidRPr="00231BC8">
              <w:t>‘</w:t>
            </w:r>
            <w:r w:rsidR="009F782A" w:rsidRPr="00231BC8">
              <w:t xml:space="preserve">Proportion </w:t>
            </w:r>
            <w:r w:rsidRPr="00231BC8">
              <w:t>of residential structures with smoke alar</w:t>
            </w:r>
            <w:r>
              <w:t>ms’</w:t>
            </w:r>
            <w:r w:rsidR="009F782A">
              <w:t xml:space="preserve"> is</w:t>
            </w:r>
            <w:r w:rsidRPr="00231BC8">
              <w:t xml:space="preserve"> defined as the number of households with a smoke alarm installed, divided by the total number of households.</w:t>
            </w:r>
          </w:p>
          <w:p w:rsidR="009F782A" w:rsidRDefault="0058308D" w:rsidP="009F782A">
            <w:pPr>
              <w:pStyle w:val="BoxListBullet"/>
              <w:numPr>
                <w:ilvl w:val="0"/>
                <w:numId w:val="0"/>
              </w:numPr>
              <w:ind w:left="284"/>
            </w:pPr>
            <w:r w:rsidRPr="00231BC8">
              <w:t>High or increasing numbers of households with a smoke alarm installed, increases the likelihood that the adverse effects of fire will be avoided or reduced.</w:t>
            </w:r>
          </w:p>
          <w:p w:rsidR="0058308D" w:rsidRPr="00B354C4" w:rsidRDefault="0058308D" w:rsidP="009F782A">
            <w:pPr>
              <w:pStyle w:val="BoxListBullet"/>
              <w:numPr>
                <w:ilvl w:val="0"/>
                <w:numId w:val="0"/>
              </w:numPr>
              <w:ind w:left="284"/>
            </w:pPr>
            <w:r w:rsidRPr="00B354C4">
              <w:t>Data reported for this measure are:</w:t>
            </w:r>
          </w:p>
          <w:p w:rsidR="0058308D" w:rsidRDefault="0058308D" w:rsidP="009F782A">
            <w:pPr>
              <w:pStyle w:val="BoxListBullet2"/>
            </w:pPr>
            <w:r w:rsidRPr="00B354C4">
              <w:t>comparable (subject to caveats) within jurisdictions over time but are not comparable across jurisdictions</w:t>
            </w:r>
          </w:p>
          <w:p w:rsidR="0058308D" w:rsidRPr="00231BC8" w:rsidRDefault="0058308D" w:rsidP="009F782A">
            <w:pPr>
              <w:pStyle w:val="BoxListBullet2"/>
            </w:pPr>
            <w:r>
              <w:t>in</w:t>
            </w:r>
            <w:r w:rsidRPr="00B354C4">
              <w:t xml:space="preserve">complete for the current reporting period. All required </w:t>
            </w:r>
            <w:r w:rsidR="00A73035">
              <w:t xml:space="preserve">2013-14 </w:t>
            </w:r>
            <w:r w:rsidRPr="00B354C4">
              <w:t xml:space="preserve">data </w:t>
            </w:r>
            <w:r>
              <w:t>a</w:t>
            </w:r>
            <w:r w:rsidRPr="00B354C4">
              <w:t xml:space="preserve">re </w:t>
            </w:r>
            <w:r>
              <w:t xml:space="preserve">not </w:t>
            </w:r>
            <w:r w:rsidRPr="00B354C4">
              <w:t xml:space="preserve">available for </w:t>
            </w:r>
            <w:r>
              <w:t>SA, Tas, ACT, and NT</w:t>
            </w:r>
            <w:r w:rsidRPr="00B354C4">
              <w:t>.</w:t>
            </w:r>
          </w:p>
          <w:p w:rsidR="0058308D" w:rsidRPr="00231BC8" w:rsidRDefault="0058308D" w:rsidP="0058308D">
            <w:pPr>
              <w:pStyle w:val="Box"/>
            </w:pPr>
            <w:r w:rsidRPr="00231BC8">
              <w:t>Data quality information for this indicator</w:t>
            </w:r>
            <w:r w:rsidR="00DA507A">
              <w:t xml:space="preserve"> is at www.pc.gov.au</w:t>
            </w:r>
            <w:r w:rsidR="00992CC1">
              <w:t>/rogs/2015</w:t>
            </w:r>
            <w:r w:rsidRPr="00231BC8">
              <w:t>.</w:t>
            </w:r>
          </w:p>
        </w:tc>
      </w:tr>
      <w:tr w:rsidR="0058308D" w:rsidTr="0058308D">
        <w:trPr>
          <w:cantSplit/>
        </w:trPr>
        <w:tc>
          <w:tcPr>
            <w:tcW w:w="8771" w:type="dxa"/>
            <w:tcBorders>
              <w:top w:val="nil"/>
              <w:left w:val="nil"/>
              <w:bottom w:val="single" w:sz="6" w:space="0" w:color="78A22F"/>
              <w:right w:val="nil"/>
            </w:tcBorders>
            <w:shd w:val="clear" w:color="auto" w:fill="F2F2F2" w:themeFill="background1" w:themeFillShade="F2"/>
          </w:tcPr>
          <w:p w:rsidR="0058308D" w:rsidRDefault="0058308D">
            <w:pPr>
              <w:pStyle w:val="Box"/>
              <w:spacing w:before="0" w:line="120" w:lineRule="exact"/>
            </w:pPr>
          </w:p>
        </w:tc>
      </w:tr>
      <w:tr w:rsidR="0058308D" w:rsidRPr="000863A5" w:rsidTr="0058308D">
        <w:tc>
          <w:tcPr>
            <w:tcW w:w="8771" w:type="dxa"/>
            <w:tcBorders>
              <w:top w:val="single" w:sz="6" w:space="0" w:color="78A22F"/>
              <w:left w:val="nil"/>
              <w:bottom w:val="nil"/>
              <w:right w:val="nil"/>
            </w:tcBorders>
          </w:tcPr>
          <w:p w:rsidR="0058308D" w:rsidRPr="00626D32" w:rsidRDefault="0058308D" w:rsidP="0058308D">
            <w:pPr>
              <w:pStyle w:val="BoxSpaceBelow"/>
            </w:pPr>
          </w:p>
        </w:tc>
      </w:tr>
    </w:tbl>
    <w:p w:rsidR="00231BC8" w:rsidRPr="008D22C9" w:rsidRDefault="00231BC8" w:rsidP="00231BC8">
      <w:pPr>
        <w:pStyle w:val="BodyText"/>
      </w:pPr>
      <w:r w:rsidRPr="008D22C9">
        <w:t xml:space="preserve">All jurisdictions undertake a range of fire risk prevention/mitigation </w:t>
      </w:r>
      <w:r w:rsidR="00E71DCE" w:rsidRPr="008D22C9">
        <w:t xml:space="preserve">tasks </w:t>
      </w:r>
      <w:r w:rsidRPr="008D22C9">
        <w:t>to assist households, commercial businesses, and communities prepare for the risk of fire</w:t>
      </w:r>
      <w:r w:rsidR="00AC25FF">
        <w:t>, including:</w:t>
      </w:r>
    </w:p>
    <w:p w:rsidR="00071218" w:rsidRDefault="00AC25FF" w:rsidP="00FB16BC">
      <w:pPr>
        <w:pStyle w:val="ListBullet"/>
      </w:pPr>
      <w:r w:rsidRPr="00FB16BC">
        <w:rPr>
          <w:i/>
        </w:rPr>
        <w:t xml:space="preserve">public </w:t>
      </w:r>
      <w:r w:rsidR="009B27EC" w:rsidRPr="00FB16BC">
        <w:rPr>
          <w:i/>
        </w:rPr>
        <w:t>education</w:t>
      </w:r>
      <w:r w:rsidR="009B27EC">
        <w:t xml:space="preserve"> </w:t>
      </w:r>
      <w:r w:rsidR="00FB16BC">
        <w:t xml:space="preserve">— </w:t>
      </w:r>
      <w:r>
        <w:t xml:space="preserve">the </w:t>
      </w:r>
      <w:r w:rsidR="00E71DCE" w:rsidRPr="008D22C9">
        <w:t xml:space="preserve">promotion of good fire </w:t>
      </w:r>
      <w:r w:rsidR="009B27EC">
        <w:t xml:space="preserve">safety and </w:t>
      </w:r>
      <w:r w:rsidR="00E71DCE" w:rsidRPr="008D22C9">
        <w:t xml:space="preserve">mitigation </w:t>
      </w:r>
      <w:r w:rsidR="008D22C9">
        <w:t xml:space="preserve">practices </w:t>
      </w:r>
      <w:r w:rsidR="00E71DCE" w:rsidRPr="008D22C9">
        <w:t>in the community</w:t>
      </w:r>
      <w:r w:rsidR="00552CCD">
        <w:t>, s</w:t>
      </w:r>
      <w:r w:rsidR="00FB16BC">
        <w:t>uch as</w:t>
      </w:r>
      <w:r w:rsidR="00071218">
        <w:t>:</w:t>
      </w:r>
      <w:r w:rsidR="00FB16BC">
        <w:t xml:space="preserve"> </w:t>
      </w:r>
    </w:p>
    <w:p w:rsidR="00071218" w:rsidRDefault="00FB16BC" w:rsidP="00071218">
      <w:pPr>
        <w:pStyle w:val="ListBullet2"/>
      </w:pPr>
      <w:r>
        <w:t>the promotion of smoke alarms and smoke alarm maintenance</w:t>
      </w:r>
    </w:p>
    <w:p w:rsidR="00071218" w:rsidRDefault="00FB16BC" w:rsidP="00071218">
      <w:pPr>
        <w:pStyle w:val="ListBullet2"/>
      </w:pPr>
      <w:r>
        <w:t>the installation of electrical safety switches</w:t>
      </w:r>
    </w:p>
    <w:p w:rsidR="00FB16BC" w:rsidRDefault="00FB16BC" w:rsidP="00071218">
      <w:pPr>
        <w:pStyle w:val="ListBullet2"/>
      </w:pPr>
      <w:r>
        <w:t>the provision and maintenance of fire</w:t>
      </w:r>
      <w:r w:rsidR="00AC25FF">
        <w:t xml:space="preserve"> extinguishers and fire blanket</w:t>
      </w:r>
      <w:r w:rsidR="00071218">
        <w:t>s.</w:t>
      </w:r>
    </w:p>
    <w:p w:rsidR="00E71DCE" w:rsidRPr="008D22C9" w:rsidRDefault="00AC25FF" w:rsidP="00FB16BC">
      <w:pPr>
        <w:pStyle w:val="ListBullet"/>
      </w:pPr>
      <w:r w:rsidRPr="00FB16BC">
        <w:rPr>
          <w:i/>
        </w:rPr>
        <w:t xml:space="preserve">building </w:t>
      </w:r>
      <w:r w:rsidR="00231BC8" w:rsidRPr="00FB16BC">
        <w:rPr>
          <w:i/>
        </w:rPr>
        <w:t xml:space="preserve">codes </w:t>
      </w:r>
      <w:r w:rsidR="00E71DCE" w:rsidRPr="00FB16BC">
        <w:rPr>
          <w:i/>
        </w:rPr>
        <w:t>and legislation</w:t>
      </w:r>
      <w:r w:rsidR="00E71DCE" w:rsidRPr="008D22C9">
        <w:t xml:space="preserve"> </w:t>
      </w:r>
      <w:r w:rsidR="00231BC8" w:rsidRPr="008D22C9">
        <w:t>(with relevant building</w:t>
      </w:r>
      <w:r w:rsidR="00E71DCE" w:rsidRPr="008D22C9">
        <w:t xml:space="preserve"> and planning</w:t>
      </w:r>
      <w:r w:rsidR="00231BC8" w:rsidRPr="008D22C9">
        <w:t xml:space="preserve"> authorities) </w:t>
      </w:r>
      <w:r w:rsidR="00FB16BC">
        <w:t xml:space="preserve">— </w:t>
      </w:r>
      <w:r w:rsidR="00FC6298">
        <w:t>to</w:t>
      </w:r>
      <w:r w:rsidR="00FC6298" w:rsidRPr="008D22C9">
        <w:t xml:space="preserve"> </w:t>
      </w:r>
      <w:r w:rsidR="00231BC8" w:rsidRPr="008D22C9">
        <w:t xml:space="preserve">ensure new buildings and structures are fire resistant and address </w:t>
      </w:r>
      <w:r w:rsidR="008D22C9" w:rsidRPr="008D22C9">
        <w:t>locational</w:t>
      </w:r>
      <w:r w:rsidR="00231BC8" w:rsidRPr="008D22C9">
        <w:t xml:space="preserve"> fire risks</w:t>
      </w:r>
    </w:p>
    <w:p w:rsidR="00E71DCE" w:rsidRDefault="00AC25FF" w:rsidP="00FB16BC">
      <w:pPr>
        <w:pStyle w:val="ListBullet"/>
      </w:pPr>
      <w:r w:rsidRPr="00FB16BC">
        <w:rPr>
          <w:i/>
        </w:rPr>
        <w:t xml:space="preserve">product </w:t>
      </w:r>
      <w:r w:rsidR="00231BC8" w:rsidRPr="00FB16BC">
        <w:rPr>
          <w:i/>
        </w:rPr>
        <w:t>standards</w:t>
      </w:r>
      <w:r w:rsidR="00231BC8" w:rsidRPr="008D22C9">
        <w:t xml:space="preserve"> (with relevant authorities) </w:t>
      </w:r>
      <w:r w:rsidR="00FB16BC">
        <w:t xml:space="preserve">— </w:t>
      </w:r>
      <w:r w:rsidR="00FC6298" w:rsidRPr="008D22C9">
        <w:t xml:space="preserve">to </w:t>
      </w:r>
      <w:r w:rsidR="00231BC8" w:rsidRPr="008D22C9">
        <w:t>ensure products</w:t>
      </w:r>
      <w:r w:rsidR="008D22C9" w:rsidRPr="008D22C9">
        <w:t xml:space="preserve"> </w:t>
      </w:r>
      <w:r w:rsidR="00231BC8" w:rsidRPr="008D22C9">
        <w:t>minimise the risk of unwanted fires (either because they are faulty or by accidental/deliberate misuse by owners)</w:t>
      </w:r>
    </w:p>
    <w:p w:rsidR="00231BC8" w:rsidRPr="008D22C9" w:rsidRDefault="00AC25FF" w:rsidP="00FB16BC">
      <w:pPr>
        <w:pStyle w:val="ListBullet"/>
      </w:pPr>
      <w:r w:rsidRPr="00FB16BC">
        <w:rPr>
          <w:i/>
        </w:rPr>
        <w:t xml:space="preserve">effective </w:t>
      </w:r>
      <w:r w:rsidR="00231BC8" w:rsidRPr="00FB16BC">
        <w:rPr>
          <w:i/>
        </w:rPr>
        <w:t>emergency warning systems</w:t>
      </w:r>
      <w:r w:rsidR="008D22C9" w:rsidRPr="008D22C9">
        <w:t xml:space="preserve"> (table </w:t>
      </w:r>
      <w:r w:rsidR="004029AC">
        <w:t>9A.21</w:t>
      </w:r>
      <w:r w:rsidR="008D22C9" w:rsidRPr="008D22C9">
        <w:t>)</w:t>
      </w:r>
      <w:r w:rsidR="00231BC8" w:rsidRPr="008D22C9">
        <w:t>.</w:t>
      </w:r>
    </w:p>
    <w:p w:rsidR="00770661" w:rsidRDefault="00770661" w:rsidP="00192DFA">
      <w:pPr>
        <w:pStyle w:val="BodyText"/>
      </w:pPr>
      <w:r>
        <w:lastRenderedPageBreak/>
        <w:t xml:space="preserve">A summary of </w:t>
      </w:r>
      <w:r w:rsidRPr="00770661">
        <w:t xml:space="preserve">selected fire risk management/mitigation strategies </w:t>
      </w:r>
      <w:r>
        <w:t>implemented in each jurisdiction is available at table</w:t>
      </w:r>
      <w:r w:rsidR="00243CD6">
        <w:t> </w:t>
      </w:r>
      <w:r w:rsidR="004029AC">
        <w:t>9A.22</w:t>
      </w:r>
      <w:r>
        <w:t>.</w:t>
      </w:r>
    </w:p>
    <w:p w:rsidR="00992CC1" w:rsidRDefault="007B471C" w:rsidP="00992CC1">
      <w:pPr>
        <w:pStyle w:val="Heading5"/>
      </w:pPr>
      <w:r w:rsidRPr="00231BC8">
        <w:t>Fire risk prevention/mitigation activities</w:t>
      </w:r>
      <w:r>
        <w:t xml:space="preserve"> </w:t>
      </w:r>
      <w:r w:rsidR="00992CC1" w:rsidRPr="002429C1">
        <w:t>— Accidental residential structure fires per</w:t>
      </w:r>
      <w:r w:rsidR="00FC6298">
        <w:t xml:space="preserve"> </w:t>
      </w:r>
      <w:r w:rsidR="00992CC1" w:rsidRPr="002429C1">
        <w:t>100 000 households</w:t>
      </w:r>
    </w:p>
    <w:p w:rsidR="00992CC1" w:rsidRDefault="00992CC1" w:rsidP="00992CC1">
      <w:pPr>
        <w:pStyle w:val="BodyText"/>
      </w:pPr>
      <w:r w:rsidRPr="0054109B">
        <w:t xml:space="preserve">The national rate </w:t>
      </w:r>
      <w:r>
        <w:t>of accidental residential structure fires</w:t>
      </w:r>
      <w:r w:rsidR="00FA38F6">
        <w:t xml:space="preserve"> was</w:t>
      </w:r>
      <w:r>
        <w:t xml:space="preserve"> </w:t>
      </w:r>
      <w:r w:rsidR="00B2521B">
        <w:t>86.9</w:t>
      </w:r>
      <w:r w:rsidR="00FA38F6">
        <w:t xml:space="preserve"> </w:t>
      </w:r>
      <w:r>
        <w:t xml:space="preserve">per </w:t>
      </w:r>
      <w:r w:rsidR="00FA38F6" w:rsidRPr="00446594">
        <w:t>100 00</w:t>
      </w:r>
      <w:r w:rsidR="0049071D" w:rsidRPr="00446594">
        <w:t>0</w:t>
      </w:r>
      <w:r w:rsidR="00FA38F6">
        <w:t xml:space="preserve"> </w:t>
      </w:r>
      <w:r>
        <w:t>household</w:t>
      </w:r>
      <w:r w:rsidR="00FA38F6">
        <w:t>s in 2013</w:t>
      </w:r>
      <w:r w:rsidR="00FA38F6">
        <w:noBreakHyphen/>
        <w:t xml:space="preserve">14 </w:t>
      </w:r>
      <w:r w:rsidR="00FA38F6" w:rsidRPr="0054109B">
        <w:t>(figure</w:t>
      </w:r>
      <w:r w:rsidR="00FA38F6">
        <w:t> </w:t>
      </w:r>
      <w:r w:rsidR="00800D6F">
        <w:t>9.6</w:t>
      </w:r>
      <w:r w:rsidR="00FA38F6" w:rsidRPr="0054109B">
        <w:t>)</w:t>
      </w:r>
      <w:r w:rsidR="00FA38F6">
        <w:t>. O</w:t>
      </w:r>
      <w:r w:rsidR="00FA38F6" w:rsidRPr="0054109B">
        <w:t xml:space="preserve">ver </w:t>
      </w:r>
      <w:r w:rsidR="00FA38F6">
        <w:t xml:space="preserve">the past ten years, the rate </w:t>
      </w:r>
      <w:r w:rsidRPr="0054109B">
        <w:t xml:space="preserve">has been declining </w:t>
      </w:r>
      <w:r>
        <w:t>at a</w:t>
      </w:r>
      <w:r w:rsidR="00071218">
        <w:t xml:space="preserve">n average </w:t>
      </w:r>
      <w:r>
        <w:t xml:space="preserve">rate of </w:t>
      </w:r>
      <w:r w:rsidR="00B2521B">
        <w:t>1.9</w:t>
      </w:r>
      <w:r>
        <w:t xml:space="preserve"> per cent annually</w:t>
      </w:r>
      <w:r w:rsidRPr="0054109B">
        <w:t xml:space="preserve">, </w:t>
      </w:r>
      <w:r w:rsidR="00FC6298">
        <w:t xml:space="preserve">which varied across </w:t>
      </w:r>
      <w:r w:rsidRPr="0054109B">
        <w:t>jurisdictions</w:t>
      </w:r>
      <w:r w:rsidR="00270D9F">
        <w:t xml:space="preserve"> (table 9A.15)</w:t>
      </w:r>
      <w:r w:rsidRPr="0054109B">
        <w:t>.</w:t>
      </w:r>
      <w:r>
        <w:t xml:space="preserve"> </w:t>
      </w:r>
    </w:p>
    <w:p w:rsidR="00992CC1" w:rsidRDefault="00992CC1" w:rsidP="00992CC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2CC1" w:rsidTr="008B7A32">
        <w:tc>
          <w:tcPr>
            <w:tcW w:w="8771" w:type="dxa"/>
            <w:tcBorders>
              <w:top w:val="single" w:sz="6" w:space="0" w:color="78A22F"/>
              <w:left w:val="nil"/>
              <w:bottom w:val="nil"/>
              <w:right w:val="nil"/>
            </w:tcBorders>
            <w:shd w:val="clear" w:color="auto" w:fill="auto"/>
          </w:tcPr>
          <w:p w:rsidR="00992CC1" w:rsidRPr="00176D3F" w:rsidRDefault="00992CC1" w:rsidP="00FC6298">
            <w:pPr>
              <w:pStyle w:val="FigureTitle"/>
            </w:pPr>
            <w:r w:rsidRPr="00784A05">
              <w:rPr>
                <w:b w:val="0"/>
              </w:rPr>
              <w:t xml:space="preserve">Figure </w:t>
            </w:r>
            <w:bookmarkStart w:id="22" w:name="OLE_LINK12"/>
            <w:r w:rsidR="00B2521B">
              <w:rPr>
                <w:b w:val="0"/>
              </w:rPr>
              <w:t>9.</w:t>
            </w:r>
            <w:r w:rsidR="00D52162">
              <w:rPr>
                <w:b w:val="0"/>
                <w:noProof/>
              </w:rPr>
              <w:t>6</w:t>
            </w:r>
            <w:bookmarkEnd w:id="22"/>
            <w:r>
              <w:tab/>
            </w:r>
            <w:r w:rsidRPr="002429C1">
              <w:t xml:space="preserve">Accidental residential structure fires </w:t>
            </w:r>
            <w:r w:rsidR="00FC6298">
              <w:t xml:space="preserve">that </w:t>
            </w:r>
            <w:r w:rsidRPr="002429C1">
              <w:t>fire service organisations</w:t>
            </w:r>
            <w:r w:rsidR="00FC6298">
              <w:t xml:space="preserve"> attended</w:t>
            </w:r>
            <w:r w:rsidR="00687A4D">
              <w:rPr>
                <w:rStyle w:val="NoteLabel"/>
                <w:b/>
              </w:rPr>
              <w:t>a, b, c, d, e</w:t>
            </w:r>
          </w:p>
        </w:tc>
      </w:tr>
      <w:tr w:rsidR="00992CC1" w:rsidTr="008B7A32">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992CC1" w:rsidTr="00677D4D">
              <w:tc>
                <w:tcPr>
                  <w:tcW w:w="5000" w:type="pct"/>
                  <w:tcBorders>
                    <w:top w:val="nil"/>
                    <w:bottom w:val="nil"/>
                  </w:tcBorders>
                </w:tcPr>
                <w:p w:rsidR="00992CC1" w:rsidRDefault="00D30935" w:rsidP="008B7A32">
                  <w:pPr>
                    <w:pStyle w:val="Figure"/>
                    <w:spacing w:before="60" w:after="60"/>
                  </w:pPr>
                  <w:r>
                    <w:rPr>
                      <w:noProof/>
                    </w:rPr>
                    <w:drawing>
                      <wp:inline distT="0" distB="0" distL="0" distR="0">
                        <wp:extent cx="5405755" cy="2707640"/>
                        <wp:effectExtent l="0" t="0" r="4445" b="0"/>
                        <wp:docPr id="9" name="Picture 9" descr="Figure 9.6 Accidental residential structure fires that fire service organisations attende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992CC1" w:rsidRDefault="00992CC1" w:rsidP="008B7A32">
            <w:pPr>
              <w:pStyle w:val="Figure"/>
            </w:pPr>
          </w:p>
        </w:tc>
      </w:tr>
      <w:tr w:rsidR="00992CC1" w:rsidRPr="00176D3F" w:rsidTr="008B7A32">
        <w:tc>
          <w:tcPr>
            <w:tcW w:w="8771" w:type="dxa"/>
            <w:tcBorders>
              <w:top w:val="nil"/>
              <w:left w:val="nil"/>
              <w:bottom w:val="nil"/>
              <w:right w:val="nil"/>
            </w:tcBorders>
            <w:shd w:val="clear" w:color="auto" w:fill="auto"/>
          </w:tcPr>
          <w:p w:rsidR="00992CC1" w:rsidRPr="00176D3F" w:rsidRDefault="00992CC1" w:rsidP="004029AC">
            <w:pPr>
              <w:pStyle w:val="Note"/>
            </w:pPr>
            <w:r w:rsidRPr="00854E63">
              <w:rPr>
                <w:rStyle w:val="NoteLabel"/>
              </w:rPr>
              <w:t>a</w:t>
            </w:r>
            <w:r w:rsidRPr="00854E63">
              <w:t> Financial and activity data are affected by the reporting scope of each jurisdiction’s ‘fire service organisation’. See table</w:t>
            </w:r>
            <w:r>
              <w:t> </w:t>
            </w:r>
            <w:r w:rsidRPr="00854E63">
              <w:t xml:space="preserve">9A.3 for details for the scope of agencies’ reporting. </w:t>
            </w:r>
            <w:r w:rsidRPr="00854E63">
              <w:rPr>
                <w:rStyle w:val="NoteLabel"/>
              </w:rPr>
              <w:t>b</w:t>
            </w:r>
            <w:r w:rsidRPr="00854E63">
              <w:t> </w:t>
            </w:r>
            <w:r w:rsidR="009D35AB" w:rsidRPr="009D35AB">
              <w:t>Jurisdictions provide data for both urban and rural services (including land management agencies) and for both career and volunteer services, other than the NT</w:t>
            </w:r>
            <w:r w:rsidR="009D35AB">
              <w:t xml:space="preserve"> — see table 9A.1</w:t>
            </w:r>
            <w:r w:rsidR="004029AC">
              <w:t>5</w:t>
            </w:r>
            <w:r w:rsidR="009D35AB">
              <w:t xml:space="preserve"> for caveats.</w:t>
            </w:r>
            <w:r w:rsidRPr="00854E63">
              <w:t xml:space="preserve"> </w:t>
            </w:r>
            <w:r w:rsidRPr="00854E63">
              <w:rPr>
                <w:rStyle w:val="NoteLabel"/>
              </w:rPr>
              <w:t>c</w:t>
            </w:r>
            <w:r w:rsidRPr="00854E63">
              <w:t xml:space="preserve"> Rates may not be entirely comparable. The numerator (the number of accidental residential structure fires) is affected by the number of fires where the cause has been determined and classified by fire service personnel. Data for the denominator are derived from ABS Australian Demographic Statistics Household projection series. </w:t>
            </w:r>
            <w:r w:rsidRPr="00854E63">
              <w:rPr>
                <w:rStyle w:val="NoteLabel"/>
              </w:rPr>
              <w:t>d</w:t>
            </w:r>
            <w:r w:rsidRPr="00854E63">
              <w:t xml:space="preserve"> Qld: </w:t>
            </w:r>
            <w:r w:rsidR="008204BE" w:rsidRPr="00854E63">
              <w:t xml:space="preserve">Accurate identification of incidents </w:t>
            </w:r>
            <w:r w:rsidR="0049071D" w:rsidRPr="00446594">
              <w:t>attended by the former QFRS</w:t>
            </w:r>
            <w:r w:rsidR="0049071D" w:rsidRPr="00854E63">
              <w:t xml:space="preserve"> </w:t>
            </w:r>
            <w:r w:rsidR="008204BE" w:rsidRPr="00854E63">
              <w:t xml:space="preserve">Rural brigades prior to </w:t>
            </w:r>
            <w:r w:rsidR="008204BE">
              <w:t>2013</w:t>
            </w:r>
            <w:r w:rsidR="0026487F">
              <w:noBreakHyphen/>
            </w:r>
            <w:r w:rsidR="008204BE">
              <w:t xml:space="preserve">14 was </w:t>
            </w:r>
            <w:r w:rsidR="008204BE" w:rsidRPr="00854E63">
              <w:t xml:space="preserve">not possible due to incomplete voluntary reporting procedures. </w:t>
            </w:r>
            <w:r w:rsidR="008204BE" w:rsidRPr="002605A8">
              <w:t xml:space="preserve">New procedures </w:t>
            </w:r>
            <w:r w:rsidR="008204BE">
              <w:t xml:space="preserve">were </w:t>
            </w:r>
            <w:r w:rsidR="008204BE" w:rsidRPr="002605A8">
              <w:t>fully implemented</w:t>
            </w:r>
            <w:r w:rsidR="008204BE">
              <w:t xml:space="preserve"> from 1 July 2013</w:t>
            </w:r>
            <w:r w:rsidR="008204BE" w:rsidRPr="002605A8">
              <w:t>.</w:t>
            </w:r>
            <w:r w:rsidRPr="00854E63">
              <w:t xml:space="preserve"> </w:t>
            </w:r>
            <w:r w:rsidR="00687A4D">
              <w:rPr>
                <w:rStyle w:val="NoteLabel"/>
              </w:rPr>
              <w:t>e</w:t>
            </w:r>
            <w:r w:rsidRPr="00854E63">
              <w:t> NT: Data are for NT Fire and Rescue Service permanent fire stations only</w:t>
            </w:r>
            <w:r>
              <w:t>.</w:t>
            </w:r>
          </w:p>
        </w:tc>
      </w:tr>
      <w:tr w:rsidR="00992CC1" w:rsidRPr="00176D3F" w:rsidTr="008B7A32">
        <w:tc>
          <w:tcPr>
            <w:tcW w:w="8771" w:type="dxa"/>
            <w:tcBorders>
              <w:top w:val="nil"/>
              <w:left w:val="nil"/>
              <w:bottom w:val="nil"/>
              <w:right w:val="nil"/>
            </w:tcBorders>
            <w:shd w:val="clear" w:color="auto" w:fill="auto"/>
          </w:tcPr>
          <w:p w:rsidR="00992CC1" w:rsidRPr="00176D3F" w:rsidRDefault="00992CC1" w:rsidP="00071218">
            <w:pPr>
              <w:pStyle w:val="Source"/>
            </w:pPr>
            <w:r w:rsidRPr="00854E63">
              <w:rPr>
                <w:i/>
              </w:rPr>
              <w:t>Source</w:t>
            </w:r>
            <w:r w:rsidRPr="00854E63">
              <w:t xml:space="preserve">: </w:t>
            </w:r>
            <w:r w:rsidR="009D35AB" w:rsidRPr="00854E63">
              <w:t xml:space="preserve">State and Territory governments (unpublished); </w:t>
            </w:r>
            <w:r w:rsidR="006C43BD">
              <w:t>AB</w:t>
            </w:r>
            <w:r w:rsidR="006C43BD" w:rsidRPr="006C43BD">
              <w:t xml:space="preserve">S (2010) </w:t>
            </w:r>
            <w:r w:rsidR="006C43BD" w:rsidRPr="006C43BD">
              <w:rPr>
                <w:i/>
              </w:rPr>
              <w:t>Household and Family Projections, 2006 to 2031</w:t>
            </w:r>
            <w:r w:rsidR="006C43BD" w:rsidRPr="006C43BD">
              <w:t>, Cat. no. 3236.0</w:t>
            </w:r>
            <w:r w:rsidR="00071218">
              <w:t>;</w:t>
            </w:r>
            <w:r w:rsidR="006C43BD">
              <w:t xml:space="preserve"> table 2A.25</w:t>
            </w:r>
            <w:r w:rsidR="004029AC">
              <w:t>; table 9A.15.</w:t>
            </w:r>
          </w:p>
        </w:tc>
      </w:tr>
      <w:tr w:rsidR="00992CC1" w:rsidTr="008B7A32">
        <w:tc>
          <w:tcPr>
            <w:tcW w:w="8771" w:type="dxa"/>
            <w:tcBorders>
              <w:top w:val="nil"/>
              <w:left w:val="nil"/>
              <w:bottom w:val="single" w:sz="6" w:space="0" w:color="78A22F"/>
              <w:right w:val="nil"/>
            </w:tcBorders>
            <w:shd w:val="clear" w:color="auto" w:fill="auto"/>
          </w:tcPr>
          <w:p w:rsidR="00992CC1" w:rsidRDefault="00992CC1" w:rsidP="008B7A32">
            <w:pPr>
              <w:pStyle w:val="Figurespace"/>
            </w:pPr>
          </w:p>
        </w:tc>
      </w:tr>
      <w:tr w:rsidR="00992CC1" w:rsidRPr="000863A5" w:rsidTr="008B7A32">
        <w:tc>
          <w:tcPr>
            <w:tcW w:w="8771" w:type="dxa"/>
            <w:tcBorders>
              <w:top w:val="single" w:sz="6" w:space="0" w:color="78A22F"/>
              <w:left w:val="nil"/>
              <w:bottom w:val="nil"/>
              <w:right w:val="nil"/>
            </w:tcBorders>
          </w:tcPr>
          <w:p w:rsidR="00992CC1" w:rsidRPr="00626D32" w:rsidRDefault="00992CC1" w:rsidP="008B7A32">
            <w:pPr>
              <w:pStyle w:val="BoxSpaceBelow"/>
            </w:pPr>
          </w:p>
        </w:tc>
      </w:tr>
    </w:tbl>
    <w:p w:rsidR="00992CC1" w:rsidRPr="00FA38F6" w:rsidRDefault="00992CC1" w:rsidP="00992CC1">
      <w:pPr>
        <w:pStyle w:val="BodyText"/>
      </w:pPr>
      <w:r w:rsidRPr="00FA38F6">
        <w:t>The rate of accidental residential structure fires per 100 000 households should be interpreted with caution. In particular, rates are affected by differences in the practice of fire service personnel in each jurisdiction, who determine and classify accidental structure fires from structure fires resulting from other causes.</w:t>
      </w:r>
    </w:p>
    <w:p w:rsidR="009F782A" w:rsidRPr="00FB16BC" w:rsidRDefault="009F782A" w:rsidP="009F782A">
      <w:pPr>
        <w:pStyle w:val="BodyText"/>
      </w:pPr>
      <w:r w:rsidRPr="001F1F16">
        <w:lastRenderedPageBreak/>
        <w:t xml:space="preserve">Fire cause identification assists fire service organisations and other emergency management stakeholders to </w:t>
      </w:r>
      <w:r>
        <w:t>identify and determine the cause of accidental residential structure fires. It also assists</w:t>
      </w:r>
      <w:r w:rsidRPr="00FB16BC">
        <w:t xml:space="preserve"> </w:t>
      </w:r>
      <w:r>
        <w:t>in the formulation</w:t>
      </w:r>
      <w:r w:rsidRPr="00FB16BC">
        <w:t xml:space="preserve"> </w:t>
      </w:r>
      <w:r w:rsidR="0049071D" w:rsidRPr="00446594">
        <w:t>of</w:t>
      </w:r>
      <w:r w:rsidR="0049071D">
        <w:t xml:space="preserve"> </w:t>
      </w:r>
      <w:r w:rsidRPr="00FB16BC">
        <w:t>the most appropriate fire prevention and mitigation activities and prio</w:t>
      </w:r>
      <w:r>
        <w:t xml:space="preserve">rities within each jurisdiction, including </w:t>
      </w:r>
      <w:r w:rsidRPr="001F1F16">
        <w:t xml:space="preserve">fire prevention, community safety and public education programs. </w:t>
      </w:r>
      <w:r>
        <w:t xml:space="preserve">For example, </w:t>
      </w:r>
      <w:r w:rsidRPr="001F1F16">
        <w:t xml:space="preserve">cause identification </w:t>
      </w:r>
      <w:r>
        <w:t xml:space="preserve">has been used to assist in </w:t>
      </w:r>
      <w:r w:rsidR="00DD3057">
        <w:t>formulating</w:t>
      </w:r>
      <w:r w:rsidRPr="001F1F16">
        <w:t xml:space="preserve"> legislation and standards, and is used to assist in recovery through the provision of information to facilitate insurance claims and settlements.</w:t>
      </w:r>
    </w:p>
    <w:p w:rsidR="009F782A" w:rsidRPr="00FB16BC" w:rsidRDefault="009F782A" w:rsidP="009F782A">
      <w:pPr>
        <w:pStyle w:val="BodyText"/>
        <w:widowControl w:val="0"/>
      </w:pPr>
      <w:r w:rsidRPr="00FB16BC">
        <w:t xml:space="preserve">In </w:t>
      </w:r>
      <w:r>
        <w:t>2013</w:t>
      </w:r>
      <w:r w:rsidR="0026487F">
        <w:noBreakHyphen/>
      </w:r>
      <w:r>
        <w:t>14</w:t>
      </w:r>
      <w:r w:rsidRPr="00FB16BC">
        <w:t>, nationally, firefighter assessments reported that:</w:t>
      </w:r>
    </w:p>
    <w:p w:rsidR="009F782A" w:rsidRPr="009C6F03" w:rsidRDefault="00B2521B" w:rsidP="009F782A">
      <w:pPr>
        <w:pStyle w:val="ListBullet"/>
      </w:pPr>
      <w:r>
        <w:t>10 974</w:t>
      </w:r>
      <w:r w:rsidR="009F782A" w:rsidRPr="009C6F03">
        <w:t xml:space="preserve"> structure fires had an ignition factor of misuse, failure or deficiency (</w:t>
      </w:r>
      <w:r>
        <w:t>56.6</w:t>
      </w:r>
      <w:r w:rsidR="009F782A" w:rsidRPr="009C6F03">
        <w:t> per cent of all structure fires)</w:t>
      </w:r>
      <w:r w:rsidR="00071218">
        <w:t>, o</w:t>
      </w:r>
      <w:r w:rsidR="009F782A" w:rsidRPr="009C6F03">
        <w:t>f which:</w:t>
      </w:r>
    </w:p>
    <w:p w:rsidR="009F782A" w:rsidRDefault="009F782A" w:rsidP="009F782A">
      <w:pPr>
        <w:pStyle w:val="ListBullet2"/>
      </w:pPr>
      <w:r>
        <w:t>2</w:t>
      </w:r>
      <w:r w:rsidR="00555A19">
        <w:t>853</w:t>
      </w:r>
      <w:r>
        <w:t xml:space="preserve"> fires had an ignition factor of unattended heat sources</w:t>
      </w:r>
    </w:p>
    <w:p w:rsidR="009F782A" w:rsidRDefault="00555A19" w:rsidP="009F782A">
      <w:pPr>
        <w:pStyle w:val="ListBullet2"/>
      </w:pPr>
      <w:r>
        <w:t>2133</w:t>
      </w:r>
      <w:r w:rsidR="009F782A">
        <w:t xml:space="preserve"> fires had an ignition factor of short</w:t>
      </w:r>
      <w:r w:rsidR="009F782A">
        <w:noBreakHyphen/>
        <w:t>circuit and other electrical failure</w:t>
      </w:r>
    </w:p>
    <w:p w:rsidR="009F782A" w:rsidRPr="009C6F03" w:rsidRDefault="00B2521B" w:rsidP="009F782A">
      <w:pPr>
        <w:pStyle w:val="ListBullet"/>
      </w:pPr>
      <w:r>
        <w:t>1986</w:t>
      </w:r>
      <w:r w:rsidR="009F782A" w:rsidRPr="009C6F03">
        <w:t xml:space="preserve"> structure fires were deliberately or suspiciously set fires (</w:t>
      </w:r>
      <w:r>
        <w:t>10.2</w:t>
      </w:r>
      <w:r w:rsidR="00911635">
        <w:t xml:space="preserve"> </w:t>
      </w:r>
      <w:r w:rsidR="009F782A" w:rsidRPr="009C6F03">
        <w:t>per</w:t>
      </w:r>
      <w:r w:rsidR="00911635">
        <w:t xml:space="preserve"> </w:t>
      </w:r>
      <w:r w:rsidR="009F782A" w:rsidRPr="009C6F03">
        <w:t>cent) (table </w:t>
      </w:r>
      <w:r w:rsidR="004029AC">
        <w:t>9A.17</w:t>
      </w:r>
      <w:r w:rsidR="009F782A" w:rsidRPr="009C6F03">
        <w:t>).</w:t>
      </w:r>
    </w:p>
    <w:p w:rsidR="009F782A" w:rsidRDefault="009F782A" w:rsidP="009F782A">
      <w:pPr>
        <w:pStyle w:val="BodyText"/>
      </w:pPr>
      <w:r w:rsidRPr="009C6F03">
        <w:t xml:space="preserve">Nationally in </w:t>
      </w:r>
      <w:r>
        <w:t>2013</w:t>
      </w:r>
      <w:r w:rsidR="0026487F">
        <w:noBreakHyphen/>
      </w:r>
      <w:r>
        <w:t>14</w:t>
      </w:r>
      <w:r w:rsidRPr="009C6F03">
        <w:t xml:space="preserve">, the ignition factor for </w:t>
      </w:r>
      <w:r w:rsidR="00B2521B">
        <w:t>23.3</w:t>
      </w:r>
      <w:r w:rsidR="00911635">
        <w:t xml:space="preserve"> </w:t>
      </w:r>
      <w:r w:rsidRPr="009C6F03">
        <w:t>per</w:t>
      </w:r>
      <w:r w:rsidR="00911635">
        <w:t xml:space="preserve"> </w:t>
      </w:r>
      <w:r w:rsidRPr="009C6F03">
        <w:t>cent of structure fires was ‘undetermined or not reported’ (figure</w:t>
      </w:r>
      <w:r w:rsidR="00CE2426">
        <w:t> </w:t>
      </w:r>
      <w:r w:rsidR="00B2521B">
        <w:t>9.7</w:t>
      </w:r>
      <w:r w:rsidRPr="009C6F03">
        <w:t>).</w:t>
      </w:r>
    </w:p>
    <w:p w:rsidR="009F782A" w:rsidRDefault="009F782A" w:rsidP="009F782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F782A" w:rsidTr="00A65282">
        <w:tc>
          <w:tcPr>
            <w:tcW w:w="8771" w:type="dxa"/>
            <w:tcBorders>
              <w:top w:val="single" w:sz="6" w:space="0" w:color="78A22F"/>
              <w:left w:val="nil"/>
              <w:bottom w:val="nil"/>
              <w:right w:val="nil"/>
            </w:tcBorders>
            <w:shd w:val="clear" w:color="auto" w:fill="auto"/>
          </w:tcPr>
          <w:p w:rsidR="009F782A" w:rsidRPr="00176D3F" w:rsidRDefault="009F782A" w:rsidP="00911635">
            <w:pPr>
              <w:pStyle w:val="FigureTitle"/>
            </w:pPr>
            <w:r w:rsidRPr="00784A05">
              <w:rPr>
                <w:b w:val="0"/>
              </w:rPr>
              <w:t xml:space="preserve">Figure </w:t>
            </w:r>
            <w:bookmarkStart w:id="23" w:name="OLE_LINK13"/>
            <w:r w:rsidR="00B2521B">
              <w:rPr>
                <w:b w:val="0"/>
              </w:rPr>
              <w:t>9.</w:t>
            </w:r>
            <w:r w:rsidR="00D52162">
              <w:rPr>
                <w:b w:val="0"/>
                <w:noProof/>
              </w:rPr>
              <w:t>7</w:t>
            </w:r>
            <w:bookmarkEnd w:id="23"/>
            <w:r>
              <w:tab/>
            </w:r>
            <w:r w:rsidRPr="00964C77">
              <w:t xml:space="preserve">Ignition factors for structure fires, </w:t>
            </w:r>
            <w:r>
              <w:t>2013</w:t>
            </w:r>
            <w:r w:rsidR="0026487F">
              <w:noBreakHyphen/>
            </w:r>
            <w:r>
              <w:t>14</w:t>
            </w:r>
            <w:r w:rsidR="006C43BD">
              <w:rPr>
                <w:vertAlign w:val="superscript"/>
              </w:rPr>
              <w:t>a</w:t>
            </w:r>
          </w:p>
        </w:tc>
      </w:tr>
      <w:tr w:rsidR="009F782A" w:rsidTr="00FA5148">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9F782A" w:rsidTr="00677D4D">
              <w:tc>
                <w:tcPr>
                  <w:tcW w:w="5000" w:type="pct"/>
                  <w:tcBorders>
                    <w:top w:val="nil"/>
                    <w:bottom w:val="nil"/>
                  </w:tcBorders>
                </w:tcPr>
                <w:p w:rsidR="009F782A" w:rsidRDefault="00D30935" w:rsidP="00A65282">
                  <w:pPr>
                    <w:pStyle w:val="Figure"/>
                    <w:spacing w:before="60" w:after="60"/>
                  </w:pPr>
                  <w:r>
                    <w:rPr>
                      <w:noProof/>
                    </w:rPr>
                    <w:drawing>
                      <wp:inline distT="0" distB="0" distL="0" distR="0">
                        <wp:extent cx="5405755" cy="2877820"/>
                        <wp:effectExtent l="0" t="0" r="4445" b="0"/>
                        <wp:docPr id="10" name="Picture 10" descr="Figure 9.7 Ignition factors for structure fire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5755" cy="2877820"/>
                                </a:xfrm>
                                <a:prstGeom prst="rect">
                                  <a:avLst/>
                                </a:prstGeom>
                                <a:noFill/>
                                <a:ln>
                                  <a:noFill/>
                                </a:ln>
                              </pic:spPr>
                            </pic:pic>
                          </a:graphicData>
                        </a:graphic>
                      </wp:inline>
                    </w:drawing>
                  </w:r>
                </w:p>
              </w:tc>
            </w:tr>
          </w:tbl>
          <w:p w:rsidR="009F782A" w:rsidRDefault="009F782A" w:rsidP="00A65282">
            <w:pPr>
              <w:pStyle w:val="Figure"/>
            </w:pPr>
          </w:p>
        </w:tc>
      </w:tr>
      <w:tr w:rsidR="009F782A" w:rsidRPr="00176D3F" w:rsidTr="00FA5148">
        <w:tc>
          <w:tcPr>
            <w:tcW w:w="8771" w:type="dxa"/>
            <w:tcBorders>
              <w:top w:val="nil"/>
              <w:left w:val="nil"/>
              <w:bottom w:val="nil"/>
              <w:right w:val="nil"/>
            </w:tcBorders>
            <w:shd w:val="clear" w:color="auto" w:fill="auto"/>
          </w:tcPr>
          <w:p w:rsidR="009F782A" w:rsidRPr="00176D3F" w:rsidRDefault="009F782A" w:rsidP="00911635">
            <w:pPr>
              <w:pStyle w:val="Source"/>
              <w:keepNext/>
            </w:pPr>
            <w:r w:rsidRPr="002605A8">
              <w:rPr>
                <w:rStyle w:val="NoteLabel"/>
              </w:rPr>
              <w:t>a</w:t>
            </w:r>
            <w:r w:rsidRPr="002605A8">
              <w:t> NSW: For the NSW Rural Fire Service volunteer brigades, where ignition factor is not entered, the data are excluded from the total structure fires calculation in this table.</w:t>
            </w:r>
          </w:p>
        </w:tc>
      </w:tr>
      <w:tr w:rsidR="009F782A" w:rsidRPr="00176D3F" w:rsidTr="00A65282">
        <w:tc>
          <w:tcPr>
            <w:tcW w:w="8771" w:type="dxa"/>
            <w:tcBorders>
              <w:top w:val="nil"/>
              <w:left w:val="nil"/>
              <w:bottom w:val="nil"/>
              <w:right w:val="nil"/>
            </w:tcBorders>
            <w:shd w:val="clear" w:color="auto" w:fill="auto"/>
          </w:tcPr>
          <w:p w:rsidR="009F782A" w:rsidRPr="00176D3F" w:rsidRDefault="009F782A" w:rsidP="00A65282">
            <w:pPr>
              <w:pStyle w:val="Source"/>
            </w:pPr>
            <w:r>
              <w:rPr>
                <w:i/>
              </w:rPr>
              <w:t>S</w:t>
            </w:r>
            <w:r w:rsidRPr="002605A8">
              <w:rPr>
                <w:i/>
              </w:rPr>
              <w:t>ource</w:t>
            </w:r>
            <w:r w:rsidRPr="002605A8">
              <w:t>: State and Territory governments; table</w:t>
            </w:r>
            <w:r>
              <w:t> </w:t>
            </w:r>
            <w:r w:rsidR="004029AC">
              <w:t>9A.17</w:t>
            </w:r>
            <w:r w:rsidRPr="002605A8">
              <w:t>.</w:t>
            </w:r>
          </w:p>
        </w:tc>
      </w:tr>
      <w:tr w:rsidR="009F782A" w:rsidTr="00A65282">
        <w:tc>
          <w:tcPr>
            <w:tcW w:w="8771" w:type="dxa"/>
            <w:tcBorders>
              <w:top w:val="nil"/>
              <w:left w:val="nil"/>
              <w:bottom w:val="single" w:sz="6" w:space="0" w:color="78A22F"/>
              <w:right w:val="nil"/>
            </w:tcBorders>
            <w:shd w:val="clear" w:color="auto" w:fill="auto"/>
          </w:tcPr>
          <w:p w:rsidR="009F782A" w:rsidRDefault="009F782A" w:rsidP="00A65282">
            <w:pPr>
              <w:pStyle w:val="Figurespace"/>
            </w:pPr>
          </w:p>
        </w:tc>
      </w:tr>
      <w:tr w:rsidR="009F782A" w:rsidRPr="000863A5" w:rsidTr="00A65282">
        <w:tc>
          <w:tcPr>
            <w:tcW w:w="8771" w:type="dxa"/>
            <w:tcBorders>
              <w:top w:val="single" w:sz="6" w:space="0" w:color="78A22F"/>
              <w:left w:val="nil"/>
              <w:bottom w:val="nil"/>
              <w:right w:val="nil"/>
            </w:tcBorders>
          </w:tcPr>
          <w:p w:rsidR="009F782A" w:rsidRPr="00626D32" w:rsidRDefault="009F782A" w:rsidP="00A65282">
            <w:pPr>
              <w:pStyle w:val="BoxSpaceBelow"/>
            </w:pPr>
          </w:p>
        </w:tc>
      </w:tr>
    </w:tbl>
    <w:p w:rsidR="001A2B30" w:rsidRDefault="001A2B30" w:rsidP="001A2B30">
      <w:pPr>
        <w:pStyle w:val="Heading5"/>
      </w:pPr>
      <w:r w:rsidRPr="001F1F16">
        <w:lastRenderedPageBreak/>
        <w:t>Fire risk prevention/mitigation activities</w:t>
      </w:r>
      <w:r>
        <w:t xml:space="preserve"> — </w:t>
      </w:r>
      <w:r w:rsidRPr="001F1F16">
        <w:t>Residential structures with smoke alarms</w:t>
      </w:r>
    </w:p>
    <w:p w:rsidR="001A2B30" w:rsidRPr="001A2B30" w:rsidRDefault="001A2B30" w:rsidP="001A2B30">
      <w:pPr>
        <w:pStyle w:val="BodyText"/>
      </w:pPr>
      <w:r w:rsidRPr="00192DFA">
        <w:t xml:space="preserve">One key fire risk mitigation strategy across all jurisdictions is the mandated installation of smoke detectors in residential structures. Nationally consistent data for all jurisdictions are </w:t>
      </w:r>
      <w:r w:rsidRPr="001A2B30">
        <w:t xml:space="preserve">not available. However, recent </w:t>
      </w:r>
      <w:r w:rsidR="00555A19">
        <w:t xml:space="preserve">jurisdictional </w:t>
      </w:r>
      <w:r w:rsidRPr="001A2B30">
        <w:t>survey</w:t>
      </w:r>
      <w:r w:rsidR="00555A19">
        <w:t>s</w:t>
      </w:r>
      <w:r w:rsidRPr="001A2B30">
        <w:t xml:space="preserve"> indicate that 94.1 per cent, 96.6 per cent and 94.0 per cent of NSW, Queensland and WA households, respectively, had an installed smoke alarm/detector </w:t>
      </w:r>
      <w:r w:rsidR="00911635">
        <w:t>in 2013</w:t>
      </w:r>
      <w:r w:rsidR="0026487F">
        <w:noBreakHyphen/>
      </w:r>
      <w:r w:rsidR="00911635">
        <w:t xml:space="preserve">14, an increase from 70 to </w:t>
      </w:r>
      <w:r w:rsidRPr="001A2B30">
        <w:t>8</w:t>
      </w:r>
      <w:r w:rsidR="00911635">
        <w:t xml:space="preserve">2 </w:t>
      </w:r>
      <w:r w:rsidRPr="001A2B30">
        <w:t>per</w:t>
      </w:r>
      <w:r w:rsidR="00911635">
        <w:t xml:space="preserve"> </w:t>
      </w:r>
      <w:r w:rsidRPr="001A2B30">
        <w:t xml:space="preserve">cent </w:t>
      </w:r>
      <w:r w:rsidR="00911635">
        <w:t>in 2004</w:t>
      </w:r>
      <w:r w:rsidR="00911635">
        <w:noBreakHyphen/>
        <w:t xml:space="preserve">05 </w:t>
      </w:r>
      <w:r w:rsidRPr="001A2B30">
        <w:t>(table </w:t>
      </w:r>
      <w:r w:rsidR="004029AC">
        <w:t>9A.23</w:t>
      </w:r>
      <w:r w:rsidRPr="001A2B30">
        <w:t>).</w:t>
      </w:r>
    </w:p>
    <w:p w:rsidR="001A2B30" w:rsidRPr="001A2B30" w:rsidRDefault="001A2B30" w:rsidP="001A2B30">
      <w:pPr>
        <w:pStyle w:val="BodyText"/>
      </w:pPr>
      <w:r w:rsidRPr="001A2B30">
        <w:t xml:space="preserve">Fire service organisations </w:t>
      </w:r>
      <w:r w:rsidR="00555A19" w:rsidRPr="001A2B30">
        <w:t xml:space="preserve">also </w:t>
      </w:r>
      <w:r w:rsidRPr="001A2B30">
        <w:t xml:space="preserve">have </w:t>
      </w:r>
      <w:r w:rsidR="00555A19">
        <w:t>programs to encourage</w:t>
      </w:r>
      <w:r w:rsidRPr="001A2B30">
        <w:t xml:space="preserve"> households to test their smoke detector/alarm</w:t>
      </w:r>
      <w:r w:rsidR="00911635">
        <w:t>s</w:t>
      </w:r>
      <w:r w:rsidRPr="001A2B30">
        <w:t xml:space="preserve"> </w:t>
      </w:r>
      <w:r w:rsidR="00911635" w:rsidRPr="001A2B30">
        <w:t xml:space="preserve">regularly </w:t>
      </w:r>
      <w:r w:rsidRPr="001A2B30">
        <w:t>to ensure that they are operational. In 2013</w:t>
      </w:r>
      <w:r w:rsidR="0026487F">
        <w:noBreakHyphen/>
      </w:r>
      <w:r w:rsidRPr="001A2B30">
        <w:t>14, 88.1 per cent of households in Queensland had a smoke alarm that had been tested in the previous 12 months (table 9A.2</w:t>
      </w:r>
      <w:r w:rsidR="004029AC">
        <w:t>3</w:t>
      </w:r>
      <w:r w:rsidRPr="001A2B30">
        <w:t>).</w:t>
      </w:r>
    </w:p>
    <w:p w:rsidR="00986A8B" w:rsidRPr="00A05A09" w:rsidRDefault="00986A8B" w:rsidP="00A90E73">
      <w:pPr>
        <w:pStyle w:val="Heading4"/>
      </w:pPr>
      <w:r w:rsidRPr="00A05A09">
        <w:t>Equity and effectiveness — preparedness</w:t>
      </w:r>
    </w:p>
    <w:p w:rsidR="00986A8B" w:rsidRPr="006D0D63" w:rsidRDefault="004640B4" w:rsidP="00A90E73">
      <w:pPr>
        <w:pStyle w:val="BodyText"/>
      </w:pPr>
      <w:r>
        <w:t>P</w:t>
      </w:r>
      <w:r w:rsidR="00986A8B" w:rsidRPr="006D0D63">
        <w:t>reparedness indicators relate to fire service organisations’ ability to prepare and assist the community to prepare for fire events.</w:t>
      </w:r>
    </w:p>
    <w:p w:rsidR="00754037" w:rsidRPr="00893137" w:rsidRDefault="00754037" w:rsidP="00580CDF">
      <w:pPr>
        <w:pStyle w:val="Heading5"/>
      </w:pPr>
      <w:r w:rsidRPr="00893137">
        <w:t>Level of safe fire practices in the community</w:t>
      </w:r>
    </w:p>
    <w:p w:rsidR="00754037" w:rsidRPr="00893137" w:rsidRDefault="00754037" w:rsidP="00580CDF">
      <w:pPr>
        <w:pStyle w:val="BodyText"/>
      </w:pPr>
      <w:r w:rsidRPr="00893137">
        <w:t xml:space="preserve">‘Level of safe fire practices in the community’ is an indicator of governments’ objective to reduce the </w:t>
      </w:r>
      <w:r w:rsidRPr="00580CDF">
        <w:t>adverse</w:t>
      </w:r>
      <w:r w:rsidRPr="00893137">
        <w:t xml:space="preserve"> effects of fires on the community and manage the risk of fires (box</w:t>
      </w:r>
      <w:r w:rsidR="00CE2426">
        <w:t> </w:t>
      </w:r>
      <w:r w:rsidR="00800D6F">
        <w:t>9.4</w:t>
      </w:r>
      <w:r w:rsidRPr="00893137">
        <w:t>).</w:t>
      </w:r>
    </w:p>
    <w:p w:rsidR="00AA3962" w:rsidRPr="00893137" w:rsidRDefault="00AA3962">
      <w:pPr>
        <w:pStyle w:val="BoxSpaceAbove"/>
        <w:rPr>
          <w:color w:val="FF000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80CDF" w:rsidRPr="00580CDF" w:rsidTr="0058308D">
        <w:tc>
          <w:tcPr>
            <w:tcW w:w="8771" w:type="dxa"/>
            <w:tcBorders>
              <w:top w:val="single" w:sz="6" w:space="0" w:color="78A22F"/>
              <w:left w:val="nil"/>
              <w:bottom w:val="nil"/>
              <w:right w:val="nil"/>
            </w:tcBorders>
            <w:shd w:val="clear" w:color="auto" w:fill="F2F2F2" w:themeFill="background1" w:themeFillShade="F2"/>
          </w:tcPr>
          <w:p w:rsidR="00AA3962" w:rsidRPr="00580CDF" w:rsidRDefault="00AA3962" w:rsidP="00AA3962">
            <w:pPr>
              <w:pStyle w:val="BoxTitle"/>
            </w:pPr>
            <w:r w:rsidRPr="00580CDF">
              <w:rPr>
                <w:b w:val="0"/>
              </w:rPr>
              <w:t xml:space="preserve">Box </w:t>
            </w:r>
            <w:bookmarkStart w:id="24" w:name="OLE_LINK14"/>
            <w:r w:rsidR="00B2521B">
              <w:rPr>
                <w:b w:val="0"/>
              </w:rPr>
              <w:t>9.</w:t>
            </w:r>
            <w:r w:rsidR="00D52162">
              <w:rPr>
                <w:b w:val="0"/>
                <w:noProof/>
              </w:rPr>
              <w:t>4</w:t>
            </w:r>
            <w:bookmarkEnd w:id="24"/>
            <w:r w:rsidRPr="00580CDF">
              <w:tab/>
              <w:t>Level of safe fire practices in the community</w:t>
            </w:r>
          </w:p>
        </w:tc>
      </w:tr>
      <w:tr w:rsidR="00580CDF" w:rsidRPr="00580CDF" w:rsidTr="0058308D">
        <w:trPr>
          <w:cantSplit/>
        </w:trPr>
        <w:tc>
          <w:tcPr>
            <w:tcW w:w="8771" w:type="dxa"/>
            <w:tcBorders>
              <w:top w:val="nil"/>
              <w:left w:val="nil"/>
              <w:bottom w:val="nil"/>
              <w:right w:val="nil"/>
            </w:tcBorders>
            <w:shd w:val="clear" w:color="auto" w:fill="F2F2F2" w:themeFill="background1" w:themeFillShade="F2"/>
          </w:tcPr>
          <w:p w:rsidR="00AA3962" w:rsidRPr="00580CDF" w:rsidRDefault="00AA3962" w:rsidP="0058308D">
            <w:pPr>
              <w:pStyle w:val="Box"/>
              <w:rPr>
                <w:szCs w:val="24"/>
              </w:rPr>
            </w:pPr>
            <w:r w:rsidRPr="00580CDF">
              <w:t>‘Level of safe fire practices in the community’ is defined as the number of households with household fire safety measures installed or prevention procedures followed, divided by the total number of households.</w:t>
            </w:r>
          </w:p>
          <w:p w:rsidR="00AA3962" w:rsidRDefault="00AA3962" w:rsidP="0058308D">
            <w:pPr>
              <w:pStyle w:val="Box"/>
            </w:pPr>
            <w:r w:rsidRPr="00580CDF">
              <w:t>The higher the proportion of households with a fire safety measure installed or prevention measure followed, the greater the level of safe fire practices in the community.</w:t>
            </w:r>
          </w:p>
          <w:p w:rsidR="00911635" w:rsidRPr="00580CDF" w:rsidRDefault="00911635" w:rsidP="00911635">
            <w:pPr>
              <w:pStyle w:val="Box"/>
            </w:pPr>
            <w:r>
              <w:t xml:space="preserve">Previous editions reported </w:t>
            </w:r>
            <w:r w:rsidRPr="00911635">
              <w:t>Household preparedness for emergencies</w:t>
            </w:r>
            <w:r>
              <w:t xml:space="preserve"> (ABS 2007). In lieu of these data, which have become dated, results from the National Security and Preparedness Survey are reported in the Emergency management sector overview (sector overview D). The survey provides measures of natural disaster preparedness.</w:t>
            </w:r>
          </w:p>
          <w:p w:rsidR="00AA3962" w:rsidRPr="00580CDF" w:rsidRDefault="00BC4C0E" w:rsidP="00BC4C0E">
            <w:pPr>
              <w:pStyle w:val="Box"/>
              <w:rPr>
                <w:szCs w:val="24"/>
              </w:rPr>
            </w:pPr>
            <w:r w:rsidRPr="00580CDF">
              <w:rPr>
                <w:szCs w:val="24"/>
              </w:rPr>
              <w:t xml:space="preserve">Data on the level of safe </w:t>
            </w:r>
            <w:r w:rsidRPr="00580CDF">
              <w:rPr>
                <w:i/>
                <w:szCs w:val="24"/>
              </w:rPr>
              <w:t>fire</w:t>
            </w:r>
            <w:r w:rsidRPr="00580CDF">
              <w:rPr>
                <w:szCs w:val="24"/>
              </w:rPr>
              <w:t xml:space="preserve"> </w:t>
            </w:r>
            <w:r w:rsidRPr="00AD6B5B">
              <w:rPr>
                <w:i/>
                <w:szCs w:val="24"/>
              </w:rPr>
              <w:t>practices</w:t>
            </w:r>
            <w:r w:rsidRPr="00580CDF">
              <w:rPr>
                <w:szCs w:val="24"/>
              </w:rPr>
              <w:t xml:space="preserve"> has been identified for development and reporting in future. However, data are available on the community preparedness for </w:t>
            </w:r>
            <w:r w:rsidR="00FC7793" w:rsidRPr="00580CDF">
              <w:rPr>
                <w:i/>
                <w:szCs w:val="24"/>
              </w:rPr>
              <w:t>natural disasters</w:t>
            </w:r>
            <w:r w:rsidR="00FC7793" w:rsidRPr="00580CDF">
              <w:rPr>
                <w:szCs w:val="24"/>
              </w:rPr>
              <w:t xml:space="preserve">, which are provided </w:t>
            </w:r>
            <w:r w:rsidRPr="00580CDF">
              <w:rPr>
                <w:szCs w:val="24"/>
              </w:rPr>
              <w:t>in the Emergency management sector overview (sector overview D).</w:t>
            </w:r>
          </w:p>
        </w:tc>
      </w:tr>
      <w:tr w:rsidR="00580CDF" w:rsidRPr="00580CDF" w:rsidTr="0058308D">
        <w:trPr>
          <w:cantSplit/>
        </w:trPr>
        <w:tc>
          <w:tcPr>
            <w:tcW w:w="8771" w:type="dxa"/>
            <w:tcBorders>
              <w:top w:val="nil"/>
              <w:left w:val="nil"/>
              <w:bottom w:val="single" w:sz="6" w:space="0" w:color="78A22F"/>
              <w:right w:val="nil"/>
            </w:tcBorders>
            <w:shd w:val="clear" w:color="auto" w:fill="F2F2F2" w:themeFill="background1" w:themeFillShade="F2"/>
          </w:tcPr>
          <w:p w:rsidR="00AA3962" w:rsidRPr="00580CDF" w:rsidRDefault="00AA3962">
            <w:pPr>
              <w:pStyle w:val="Box"/>
              <w:spacing w:before="0" w:line="120" w:lineRule="exact"/>
            </w:pPr>
          </w:p>
        </w:tc>
      </w:tr>
      <w:tr w:rsidR="00AA3962" w:rsidRPr="00893137" w:rsidTr="0058308D">
        <w:tc>
          <w:tcPr>
            <w:tcW w:w="8771" w:type="dxa"/>
            <w:tcBorders>
              <w:top w:val="single" w:sz="6" w:space="0" w:color="78A22F"/>
              <w:left w:val="nil"/>
              <w:bottom w:val="nil"/>
              <w:right w:val="nil"/>
            </w:tcBorders>
          </w:tcPr>
          <w:p w:rsidR="00AA3962" w:rsidRPr="00893137" w:rsidRDefault="00AA3962" w:rsidP="0058308D">
            <w:pPr>
              <w:pStyle w:val="BoxSpaceBelow"/>
              <w:rPr>
                <w:color w:val="FF0000"/>
              </w:rPr>
            </w:pPr>
          </w:p>
        </w:tc>
      </w:tr>
    </w:tbl>
    <w:p w:rsidR="00EA1F17" w:rsidRDefault="00EA1F17" w:rsidP="00580CDF">
      <w:pPr>
        <w:pStyle w:val="Heading5"/>
      </w:pPr>
      <w:r w:rsidRPr="00C9333D">
        <w:lastRenderedPageBreak/>
        <w:t>Firefighter workforce</w:t>
      </w:r>
    </w:p>
    <w:p w:rsidR="00EA1F17" w:rsidRPr="00C9333D" w:rsidRDefault="00EA1F17" w:rsidP="00580CDF">
      <w:pPr>
        <w:pStyle w:val="BodyText"/>
      </w:pPr>
      <w:r w:rsidRPr="00C9333D">
        <w:t>‘Firefighter workforce’ is an indicator of governments’ objective to reduce the adverse effects of fires on the community and manage the risk of fires (box</w:t>
      </w:r>
      <w:r w:rsidR="00CE2426">
        <w:t> </w:t>
      </w:r>
      <w:r w:rsidR="00800D6F">
        <w:t>9.5</w:t>
      </w:r>
      <w:r w:rsidRPr="00C9333D">
        <w:t>).</w:t>
      </w:r>
    </w:p>
    <w:p w:rsidR="00EA1F17" w:rsidRPr="00C9333D" w:rsidRDefault="00EA1F17" w:rsidP="00EA1F17">
      <w:pPr>
        <w:pStyle w:val="BoxSpaceAbove"/>
        <w:rPr>
          <w:color w:val="FF000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80CDF" w:rsidRPr="00580CDF" w:rsidTr="00A65282">
        <w:tc>
          <w:tcPr>
            <w:tcW w:w="8771" w:type="dxa"/>
            <w:tcBorders>
              <w:top w:val="single" w:sz="6" w:space="0" w:color="78A22F"/>
              <w:left w:val="nil"/>
              <w:bottom w:val="nil"/>
              <w:right w:val="nil"/>
            </w:tcBorders>
            <w:shd w:val="clear" w:color="auto" w:fill="F2F2F2" w:themeFill="background1" w:themeFillShade="F2"/>
          </w:tcPr>
          <w:p w:rsidR="00EA1F17" w:rsidRPr="00580CDF" w:rsidRDefault="00EA1F17" w:rsidP="00EA1F17">
            <w:pPr>
              <w:pStyle w:val="BoxTitle"/>
            </w:pPr>
            <w:r w:rsidRPr="00580CDF">
              <w:rPr>
                <w:b w:val="0"/>
              </w:rPr>
              <w:t xml:space="preserve">Box </w:t>
            </w:r>
            <w:bookmarkStart w:id="25" w:name="OLE_LINK15"/>
            <w:r w:rsidR="00B2521B">
              <w:rPr>
                <w:b w:val="0"/>
              </w:rPr>
              <w:t>9.</w:t>
            </w:r>
            <w:r w:rsidR="00D52162">
              <w:rPr>
                <w:b w:val="0"/>
                <w:noProof/>
              </w:rPr>
              <w:t>5</w:t>
            </w:r>
            <w:bookmarkEnd w:id="25"/>
            <w:r w:rsidRPr="00580CDF">
              <w:tab/>
              <w:t>Firefighter workforce</w:t>
            </w:r>
          </w:p>
        </w:tc>
      </w:tr>
      <w:tr w:rsidR="00580CDF" w:rsidRPr="00580CDF" w:rsidTr="00A65282">
        <w:trPr>
          <w:cantSplit/>
        </w:trPr>
        <w:tc>
          <w:tcPr>
            <w:tcW w:w="8771" w:type="dxa"/>
            <w:tcBorders>
              <w:top w:val="nil"/>
              <w:left w:val="nil"/>
              <w:bottom w:val="nil"/>
              <w:right w:val="nil"/>
            </w:tcBorders>
            <w:shd w:val="clear" w:color="auto" w:fill="F2F2F2" w:themeFill="background1" w:themeFillShade="F2"/>
          </w:tcPr>
          <w:p w:rsidR="00911635" w:rsidRDefault="00EA1F17" w:rsidP="00EA1F17">
            <w:pPr>
              <w:pStyle w:val="Box"/>
            </w:pPr>
            <w:r w:rsidRPr="00580CDF">
              <w:t xml:space="preserve">‘Firefighter workforce’ is defined as the number of firefighters per 100 000 people. </w:t>
            </w:r>
            <w:r w:rsidR="00A65282" w:rsidRPr="00580CDF">
              <w:t xml:space="preserve">Two measures are provided: </w:t>
            </w:r>
          </w:p>
          <w:p w:rsidR="00911635" w:rsidRDefault="00A65282" w:rsidP="00911635">
            <w:pPr>
              <w:pStyle w:val="BoxListBullet"/>
            </w:pPr>
            <w:r w:rsidRPr="00580CDF">
              <w:t xml:space="preserve">the number of full time equivalent firefighter personnel per 100 000 people </w:t>
            </w:r>
          </w:p>
          <w:p w:rsidR="00EA1F17" w:rsidRPr="00580CDF" w:rsidRDefault="00A65282" w:rsidP="00911635">
            <w:pPr>
              <w:pStyle w:val="BoxListBullet"/>
            </w:pPr>
            <w:r w:rsidRPr="00580CDF">
              <w:t xml:space="preserve">the number of fire service organisation volunteers (firefighters and support volunteers) per 100 000 people. </w:t>
            </w:r>
          </w:p>
          <w:p w:rsidR="00EA1F17" w:rsidRPr="00580CDF" w:rsidRDefault="00EA1F17" w:rsidP="00EA1F17">
            <w:pPr>
              <w:pStyle w:val="Box"/>
            </w:pPr>
            <w:r w:rsidRPr="00580CDF">
              <w:t>High or increasing availability of firefighters per 100 000 people is desirable.</w:t>
            </w:r>
          </w:p>
          <w:p w:rsidR="00EA1F17" w:rsidRPr="00580CDF" w:rsidRDefault="00EA1F17" w:rsidP="00EA1F17">
            <w:pPr>
              <w:pStyle w:val="Box"/>
            </w:pPr>
            <w:r w:rsidRPr="00580CDF">
              <w:t>Data reported for th</w:t>
            </w:r>
            <w:r w:rsidR="00911635">
              <w:t>ese</w:t>
            </w:r>
            <w:r w:rsidRPr="00580CDF">
              <w:t xml:space="preserve"> measure</w:t>
            </w:r>
            <w:r w:rsidR="00911635">
              <w:t>s</w:t>
            </w:r>
            <w:r w:rsidRPr="00580CDF">
              <w:t xml:space="preserve"> are:</w:t>
            </w:r>
          </w:p>
          <w:p w:rsidR="00EA1F17" w:rsidRPr="00580CDF" w:rsidRDefault="00EA1F17" w:rsidP="00EA1F17">
            <w:pPr>
              <w:pStyle w:val="BoxListBullet"/>
            </w:pPr>
            <w:r w:rsidRPr="00580CDF">
              <w:t>comparable (subject to caveats) within jurisdictions over time but are not comparable across jurisdictions</w:t>
            </w:r>
          </w:p>
          <w:p w:rsidR="00EA1F17" w:rsidRPr="00580CDF" w:rsidRDefault="00EA1F17" w:rsidP="00EA1F17">
            <w:pPr>
              <w:pStyle w:val="BoxListBullet"/>
            </w:pPr>
            <w:r w:rsidRPr="00580CDF">
              <w:t>complete (subject to caveats) for the current reporting period. All required 2013</w:t>
            </w:r>
            <w:r w:rsidR="0026487F">
              <w:noBreakHyphen/>
            </w:r>
            <w:r w:rsidRPr="00580CDF">
              <w:t>14 data are available for all jurisdictions.</w:t>
            </w:r>
          </w:p>
          <w:p w:rsidR="00EA1F17" w:rsidRPr="00580CDF" w:rsidRDefault="00EA1F17" w:rsidP="00DF63B9">
            <w:pPr>
              <w:pStyle w:val="Box"/>
            </w:pPr>
            <w:r w:rsidRPr="00580CDF">
              <w:t>Data quality in</w:t>
            </w:r>
            <w:r w:rsidR="00DF63B9">
              <w:t>formation for this indicator is under development</w:t>
            </w:r>
            <w:r w:rsidRPr="00580CDF">
              <w:t>.</w:t>
            </w:r>
          </w:p>
        </w:tc>
      </w:tr>
      <w:tr w:rsidR="00580CDF" w:rsidRPr="00580CDF" w:rsidTr="00A65282">
        <w:trPr>
          <w:cantSplit/>
        </w:trPr>
        <w:tc>
          <w:tcPr>
            <w:tcW w:w="8771" w:type="dxa"/>
            <w:tcBorders>
              <w:top w:val="nil"/>
              <w:left w:val="nil"/>
              <w:bottom w:val="single" w:sz="6" w:space="0" w:color="78A22F"/>
              <w:right w:val="nil"/>
            </w:tcBorders>
            <w:shd w:val="clear" w:color="auto" w:fill="F2F2F2" w:themeFill="background1" w:themeFillShade="F2"/>
          </w:tcPr>
          <w:p w:rsidR="00EA1F17" w:rsidRPr="00580CDF" w:rsidRDefault="00EA1F17" w:rsidP="00A65282">
            <w:pPr>
              <w:pStyle w:val="Box"/>
              <w:spacing w:before="0" w:line="120" w:lineRule="exact"/>
            </w:pPr>
          </w:p>
        </w:tc>
      </w:tr>
      <w:tr w:rsidR="00EA1F17" w:rsidRPr="00C9333D" w:rsidTr="00A65282">
        <w:tc>
          <w:tcPr>
            <w:tcW w:w="8771" w:type="dxa"/>
            <w:tcBorders>
              <w:top w:val="single" w:sz="6" w:space="0" w:color="78A22F"/>
              <w:left w:val="nil"/>
              <w:bottom w:val="nil"/>
              <w:right w:val="nil"/>
            </w:tcBorders>
          </w:tcPr>
          <w:p w:rsidR="00EA1F17" w:rsidRPr="00C9333D" w:rsidRDefault="00EA1F17" w:rsidP="00A65282">
            <w:pPr>
              <w:pStyle w:val="BoxSpaceBelow"/>
              <w:rPr>
                <w:color w:val="FF0000"/>
              </w:rPr>
            </w:pPr>
          </w:p>
        </w:tc>
      </w:tr>
    </w:tbl>
    <w:p w:rsidR="00962ADD" w:rsidRPr="00C9333D" w:rsidRDefault="007C248E" w:rsidP="00705F21">
      <w:pPr>
        <w:pStyle w:val="BodyText"/>
      </w:pPr>
      <w:r w:rsidRPr="00C9333D">
        <w:t>Fire service organisations must assure themselves that they have</w:t>
      </w:r>
      <w:r w:rsidR="00962ADD" w:rsidRPr="00C9333D">
        <w:t xml:space="preserve"> a workforce of paid firefighter</w:t>
      </w:r>
      <w:r w:rsidR="00574D31" w:rsidRPr="00C9333D">
        <w:t xml:space="preserve"> personnel</w:t>
      </w:r>
      <w:r w:rsidR="00962ADD" w:rsidRPr="00C9333D">
        <w:t xml:space="preserve"> and </w:t>
      </w:r>
      <w:r w:rsidR="00962ADD" w:rsidRPr="00580CDF">
        <w:t>volunteers</w:t>
      </w:r>
      <w:r w:rsidR="00A2500A" w:rsidRPr="00C9333D">
        <w:t xml:space="preserve"> which has: </w:t>
      </w:r>
    </w:p>
    <w:p w:rsidR="00962ADD" w:rsidRPr="00C9333D" w:rsidRDefault="00962ADD" w:rsidP="00580CDF">
      <w:pPr>
        <w:pStyle w:val="ListBullet"/>
      </w:pPr>
      <w:r w:rsidRPr="00C9333D">
        <w:t xml:space="preserve">sufficient capacity to meet </w:t>
      </w:r>
      <w:r w:rsidRPr="00580CDF">
        <w:t>community</w:t>
      </w:r>
      <w:r w:rsidRPr="00C9333D">
        <w:t xml:space="preserve"> needs </w:t>
      </w:r>
    </w:p>
    <w:p w:rsidR="00574D31" w:rsidRPr="00C9333D" w:rsidRDefault="007C248E" w:rsidP="00580CDF">
      <w:pPr>
        <w:pStyle w:val="ListBullet"/>
      </w:pPr>
      <w:r w:rsidRPr="00C9333D">
        <w:t xml:space="preserve">sufficient capabilities to respond to </w:t>
      </w:r>
      <w:r w:rsidR="004B4424" w:rsidRPr="00C9333D">
        <w:t xml:space="preserve">a range of </w:t>
      </w:r>
      <w:r w:rsidR="00F9051A">
        <w:t xml:space="preserve">fire and other </w:t>
      </w:r>
      <w:r w:rsidRPr="00C9333D">
        <w:t>emergency events</w:t>
      </w:r>
    </w:p>
    <w:p w:rsidR="00962ADD" w:rsidRPr="00C9333D" w:rsidRDefault="00574D31" w:rsidP="00580CDF">
      <w:pPr>
        <w:pStyle w:val="ListBullet"/>
      </w:pPr>
      <w:r w:rsidRPr="00C9333D">
        <w:t xml:space="preserve">the diversity and </w:t>
      </w:r>
      <w:r w:rsidRPr="00580CDF">
        <w:t>adaptability</w:t>
      </w:r>
      <w:r w:rsidRPr="00C9333D">
        <w:t xml:space="preserve"> </w:t>
      </w:r>
      <w:r w:rsidR="00A2500A" w:rsidRPr="00C9333D">
        <w:t>to respond to communit</w:t>
      </w:r>
      <w:r w:rsidR="00F9051A">
        <w:t>y</w:t>
      </w:r>
      <w:r w:rsidR="00A2500A" w:rsidRPr="00C9333D">
        <w:t xml:space="preserve"> needs, </w:t>
      </w:r>
      <w:r w:rsidRPr="00C9333D">
        <w:t>now and into the future</w:t>
      </w:r>
      <w:r w:rsidR="007C248E" w:rsidRPr="00C9333D">
        <w:t xml:space="preserve">. </w:t>
      </w:r>
    </w:p>
    <w:p w:rsidR="004D19D4" w:rsidRDefault="004D19D4" w:rsidP="004D19D4">
      <w:pPr>
        <w:pStyle w:val="Heading5"/>
      </w:pPr>
      <w:r w:rsidRPr="00C9333D">
        <w:t>Firefighter workforce</w:t>
      </w:r>
      <w:r>
        <w:t xml:space="preserve"> — </w:t>
      </w:r>
      <w:r w:rsidRPr="00580CDF">
        <w:t xml:space="preserve">full time equivalent </w:t>
      </w:r>
      <w:r w:rsidR="00F9051A">
        <w:t xml:space="preserve">paid </w:t>
      </w:r>
      <w:r w:rsidRPr="00580CDF">
        <w:t>firefighter personnel per 100 000 people</w:t>
      </w:r>
    </w:p>
    <w:p w:rsidR="004B4424" w:rsidRPr="00C9333D" w:rsidRDefault="00962ADD" w:rsidP="00580CDF">
      <w:pPr>
        <w:pStyle w:val="BodyText"/>
      </w:pPr>
      <w:r w:rsidRPr="00C9333D">
        <w:t>Nationally</w:t>
      </w:r>
      <w:r w:rsidR="004B4424" w:rsidRPr="00C9333D">
        <w:t xml:space="preserve"> in 2013</w:t>
      </w:r>
      <w:r w:rsidR="0026487F">
        <w:noBreakHyphen/>
      </w:r>
      <w:r w:rsidR="004B4424" w:rsidRPr="00C9333D">
        <w:t>14</w:t>
      </w:r>
      <w:r w:rsidRPr="00C9333D">
        <w:t xml:space="preserve">, </w:t>
      </w:r>
      <w:r w:rsidR="00B2521B">
        <w:t>63.5</w:t>
      </w:r>
      <w:r w:rsidRPr="00C9333D">
        <w:t xml:space="preserve"> FTE paid </w:t>
      </w:r>
      <w:r w:rsidR="004B4424" w:rsidRPr="00C9333D">
        <w:t>firefighters</w:t>
      </w:r>
      <w:r w:rsidRPr="00C9333D">
        <w:t xml:space="preserve"> were employed by fire service organisations </w:t>
      </w:r>
      <w:r w:rsidR="00A65282" w:rsidRPr="00C9333D">
        <w:t>per 100 000 people</w:t>
      </w:r>
      <w:r w:rsidRPr="00C9333D">
        <w:t>,</w:t>
      </w:r>
      <w:r w:rsidR="004B4424" w:rsidRPr="00C9333D">
        <w:t xml:space="preserve"> which varied </w:t>
      </w:r>
      <w:r w:rsidR="004B4424" w:rsidRPr="00580CDF">
        <w:t>across</w:t>
      </w:r>
      <w:r w:rsidR="004B4424" w:rsidRPr="00C9333D">
        <w:t xml:space="preserve"> jurisdictions. This represents an increase from </w:t>
      </w:r>
      <w:r w:rsidR="00B2521B">
        <w:t>60.7</w:t>
      </w:r>
      <w:r w:rsidR="004B4424" w:rsidRPr="00C9333D">
        <w:t xml:space="preserve"> FTE paid firefighters per 100 000 people in 2012</w:t>
      </w:r>
      <w:r w:rsidR="0026487F">
        <w:noBreakHyphen/>
      </w:r>
      <w:r w:rsidR="004B4424" w:rsidRPr="00C9333D">
        <w:t xml:space="preserve">13 (figure </w:t>
      </w:r>
      <w:r w:rsidR="00800D6F">
        <w:t>9.8</w:t>
      </w:r>
      <w:r w:rsidR="00A2500A" w:rsidRPr="00C9333D">
        <w:t>)</w:t>
      </w:r>
      <w:r w:rsidRPr="00C9333D">
        <w:t xml:space="preserve">. </w:t>
      </w:r>
    </w:p>
    <w:p w:rsidR="0025153F" w:rsidRPr="00C9333D" w:rsidRDefault="0025153F" w:rsidP="00CD291F">
      <w:pPr>
        <w:pStyle w:val="BoxSpaceAbove"/>
        <w:rPr>
          <w:color w:val="FF000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9333D" w:rsidRPr="00C9333D" w:rsidTr="00CD291F">
        <w:tc>
          <w:tcPr>
            <w:tcW w:w="8771" w:type="dxa"/>
            <w:tcBorders>
              <w:top w:val="single" w:sz="6" w:space="0" w:color="78A22F"/>
              <w:left w:val="nil"/>
              <w:bottom w:val="nil"/>
              <w:right w:val="nil"/>
            </w:tcBorders>
            <w:shd w:val="clear" w:color="auto" w:fill="auto"/>
          </w:tcPr>
          <w:p w:rsidR="0025153F" w:rsidRPr="00C9333D" w:rsidRDefault="0025153F" w:rsidP="00F9051A">
            <w:pPr>
              <w:pStyle w:val="FigureTitle"/>
            </w:pPr>
            <w:r w:rsidRPr="00C9333D">
              <w:rPr>
                <w:b w:val="0"/>
              </w:rPr>
              <w:t xml:space="preserve">Figure </w:t>
            </w:r>
            <w:bookmarkStart w:id="26" w:name="OLE_LINK2"/>
            <w:r w:rsidR="00B2521B">
              <w:rPr>
                <w:b w:val="0"/>
              </w:rPr>
              <w:t>9.</w:t>
            </w:r>
            <w:r w:rsidR="00D52162">
              <w:rPr>
                <w:b w:val="0"/>
                <w:noProof/>
              </w:rPr>
              <w:t>8</w:t>
            </w:r>
            <w:bookmarkEnd w:id="26"/>
            <w:r w:rsidRPr="00C9333D">
              <w:tab/>
            </w:r>
            <w:r w:rsidR="00574D31" w:rsidRPr="00C9333D">
              <w:t xml:space="preserve">Number of full time equivalent </w:t>
            </w:r>
            <w:r w:rsidR="00F9051A">
              <w:t xml:space="preserve">paid </w:t>
            </w:r>
            <w:r w:rsidR="00574D31" w:rsidRPr="00580CDF">
              <w:t>firefighting</w:t>
            </w:r>
            <w:r w:rsidR="00574D31" w:rsidRPr="00C9333D">
              <w:t xml:space="preserve"> personnel</w:t>
            </w:r>
            <w:r w:rsidR="002E05D7" w:rsidRPr="004C5041">
              <w:rPr>
                <w:rStyle w:val="NoteLabel"/>
                <w:b/>
              </w:rPr>
              <w:t>a,</w:t>
            </w:r>
            <w:r w:rsidR="00F9051A">
              <w:rPr>
                <w:rStyle w:val="NoteLabel"/>
                <w:b/>
              </w:rPr>
              <w:t> </w:t>
            </w:r>
            <w:r w:rsidR="0049071D">
              <w:rPr>
                <w:rStyle w:val="NoteLabel"/>
                <w:b/>
              </w:rPr>
              <w:t>b</w:t>
            </w:r>
          </w:p>
        </w:tc>
      </w:tr>
      <w:tr w:rsidR="00C9333D" w:rsidRPr="00C9333D" w:rsidTr="002E05D7">
        <w:tc>
          <w:tcPr>
            <w:tcW w:w="8771" w:type="dxa"/>
            <w:tcBorders>
              <w:top w:val="nil"/>
              <w:left w:val="nil"/>
              <w:bottom w:val="nil"/>
              <w:right w:val="nil"/>
            </w:tcBorders>
            <w:shd w:val="clear" w:color="auto" w:fill="auto"/>
            <w:tcMar>
              <w:top w:w="28" w:type="dxa"/>
              <w:bottom w:w="28" w:type="dxa"/>
            </w:tcMar>
          </w:tcPr>
          <w:tbl>
            <w:tblPr>
              <w:tblW w:w="8510"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C9333D" w:rsidRPr="00C9333D" w:rsidTr="00677D4D">
              <w:trPr>
                <w:jc w:val="center"/>
              </w:trPr>
              <w:tc>
                <w:tcPr>
                  <w:tcW w:w="5000" w:type="pct"/>
                  <w:tcBorders>
                    <w:top w:val="nil"/>
                    <w:bottom w:val="nil"/>
                  </w:tcBorders>
                </w:tcPr>
                <w:p w:rsidR="0025153F" w:rsidRPr="00C9333D" w:rsidRDefault="00D30935" w:rsidP="00CD291F">
                  <w:pPr>
                    <w:pStyle w:val="Figure"/>
                    <w:spacing w:before="60" w:after="60"/>
                    <w:rPr>
                      <w:color w:val="FF0000"/>
                    </w:rPr>
                  </w:pPr>
                  <w:r>
                    <w:rPr>
                      <w:noProof/>
                      <w:color w:val="FF0000"/>
                    </w:rPr>
                    <w:drawing>
                      <wp:inline distT="0" distB="0" distL="0" distR="0">
                        <wp:extent cx="5405755" cy="2707640"/>
                        <wp:effectExtent l="0" t="0" r="4445" b="0"/>
                        <wp:docPr id="11" name="Picture 11" descr="Figure 9.8 Number of full time equivalent paid firefighting personne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25153F" w:rsidRPr="00C9333D" w:rsidRDefault="0025153F" w:rsidP="00CD291F">
            <w:pPr>
              <w:pStyle w:val="Figure"/>
              <w:rPr>
                <w:color w:val="FF0000"/>
              </w:rPr>
            </w:pPr>
          </w:p>
        </w:tc>
      </w:tr>
      <w:tr w:rsidR="00C9333D" w:rsidRPr="00C9333D" w:rsidTr="00CD291F">
        <w:tc>
          <w:tcPr>
            <w:tcW w:w="8771" w:type="dxa"/>
            <w:tcBorders>
              <w:top w:val="nil"/>
              <w:left w:val="nil"/>
              <w:bottom w:val="nil"/>
              <w:right w:val="nil"/>
            </w:tcBorders>
            <w:shd w:val="clear" w:color="auto" w:fill="auto"/>
          </w:tcPr>
          <w:p w:rsidR="0025153F" w:rsidRPr="00580CDF" w:rsidRDefault="0025153F" w:rsidP="0049071D">
            <w:pPr>
              <w:pStyle w:val="Note"/>
            </w:pPr>
            <w:r w:rsidRPr="00580CDF">
              <w:rPr>
                <w:rStyle w:val="NoteLabel"/>
              </w:rPr>
              <w:t>a</w:t>
            </w:r>
            <w:r w:rsidRPr="00580CDF">
              <w:t xml:space="preserve"> </w:t>
            </w:r>
            <w:r w:rsidR="004C5041" w:rsidRPr="004C5041">
              <w:t>Human resource data are affected by the reporting scope of each jurisdiction’s ‘fire service organisation’. See table 9A.3 for details for the scope of agencies’ reporting.</w:t>
            </w:r>
            <w:r w:rsidR="004C5041">
              <w:rPr>
                <w:rStyle w:val="NoteLabel"/>
              </w:rPr>
              <w:t xml:space="preserve"> b </w:t>
            </w:r>
            <w:r w:rsidR="006C43BD" w:rsidRPr="006C43BD">
              <w:t xml:space="preserve">Population data used to derive rates are as at </w:t>
            </w:r>
            <w:r w:rsidR="00F33424">
              <w:t xml:space="preserve">31 December. Estimated Resident Population (ERP) data for </w:t>
            </w:r>
            <w:r w:rsidR="00D32E9E">
              <w:t>2009 to 2010</w:t>
            </w:r>
            <w:r w:rsidR="00F33424">
              <w:t xml:space="preserve"> </w:t>
            </w:r>
            <w:r w:rsidR="006C43BD" w:rsidRPr="006C43BD">
              <w:t>are final, based on the 2011 Census of Population and Housing. Estimates for 2011 onwards are preliminary. See chapter 2 (table 2A.2) for details.</w:t>
            </w:r>
            <w:r w:rsidR="006C43BD">
              <w:t xml:space="preserve"> </w:t>
            </w:r>
          </w:p>
        </w:tc>
      </w:tr>
      <w:tr w:rsidR="00C9333D" w:rsidRPr="00C9333D" w:rsidTr="00CD291F">
        <w:tc>
          <w:tcPr>
            <w:tcW w:w="8771" w:type="dxa"/>
            <w:tcBorders>
              <w:top w:val="nil"/>
              <w:left w:val="nil"/>
              <w:bottom w:val="nil"/>
              <w:right w:val="nil"/>
            </w:tcBorders>
            <w:shd w:val="clear" w:color="auto" w:fill="auto"/>
          </w:tcPr>
          <w:p w:rsidR="0025153F" w:rsidRPr="00580CDF" w:rsidRDefault="00574D31" w:rsidP="00CD291F">
            <w:pPr>
              <w:pStyle w:val="Source"/>
            </w:pPr>
            <w:r w:rsidRPr="00580CDF">
              <w:rPr>
                <w:i/>
              </w:rPr>
              <w:t>S</w:t>
            </w:r>
            <w:r w:rsidR="0025153F" w:rsidRPr="00580CDF">
              <w:rPr>
                <w:i/>
              </w:rPr>
              <w:t>ource</w:t>
            </w:r>
            <w:r w:rsidR="0025153F" w:rsidRPr="00580CDF">
              <w:t xml:space="preserve">: </w:t>
            </w:r>
            <w:r w:rsidRPr="00580CDF">
              <w:t xml:space="preserve">State and Territory governments (unpublished), table </w:t>
            </w:r>
            <w:r w:rsidR="004029AC">
              <w:t>9A.24</w:t>
            </w:r>
            <w:r w:rsidRPr="00580CDF">
              <w:t>.</w:t>
            </w:r>
          </w:p>
        </w:tc>
      </w:tr>
      <w:tr w:rsidR="00C9333D" w:rsidRPr="00C9333D" w:rsidTr="00CD291F">
        <w:tc>
          <w:tcPr>
            <w:tcW w:w="8771" w:type="dxa"/>
            <w:tcBorders>
              <w:top w:val="nil"/>
              <w:left w:val="nil"/>
              <w:bottom w:val="single" w:sz="6" w:space="0" w:color="78A22F"/>
              <w:right w:val="nil"/>
            </w:tcBorders>
            <w:shd w:val="clear" w:color="auto" w:fill="auto"/>
          </w:tcPr>
          <w:p w:rsidR="0025153F" w:rsidRPr="00C9333D" w:rsidRDefault="0025153F" w:rsidP="00CD291F">
            <w:pPr>
              <w:pStyle w:val="Figurespace"/>
              <w:rPr>
                <w:color w:val="FF0000"/>
              </w:rPr>
            </w:pPr>
          </w:p>
        </w:tc>
      </w:tr>
      <w:tr w:rsidR="00C9333D" w:rsidRPr="00C9333D" w:rsidTr="00CD291F">
        <w:tc>
          <w:tcPr>
            <w:tcW w:w="8771" w:type="dxa"/>
            <w:tcBorders>
              <w:top w:val="single" w:sz="6" w:space="0" w:color="78A22F"/>
              <w:left w:val="nil"/>
              <w:bottom w:val="nil"/>
              <w:right w:val="nil"/>
            </w:tcBorders>
          </w:tcPr>
          <w:p w:rsidR="0025153F" w:rsidRPr="00C9333D" w:rsidRDefault="0025153F" w:rsidP="00CD291F">
            <w:pPr>
              <w:pStyle w:val="BoxSpaceBelow"/>
              <w:rPr>
                <w:color w:val="FF0000"/>
              </w:rPr>
            </w:pPr>
          </w:p>
        </w:tc>
      </w:tr>
    </w:tbl>
    <w:p w:rsidR="004D19D4" w:rsidRDefault="004D19D4" w:rsidP="004D19D4">
      <w:pPr>
        <w:pStyle w:val="Heading5"/>
      </w:pPr>
      <w:r w:rsidRPr="00C9333D">
        <w:t>Firefighter workforce</w:t>
      </w:r>
      <w:r>
        <w:t xml:space="preserve"> — </w:t>
      </w:r>
      <w:r w:rsidRPr="00580CDF">
        <w:t>fire service organisation volunteers per 100 000 people</w:t>
      </w:r>
    </w:p>
    <w:p w:rsidR="007077F9" w:rsidRPr="00C9333D" w:rsidRDefault="007077F9" w:rsidP="00580CDF">
      <w:pPr>
        <w:pStyle w:val="BodyText"/>
      </w:pPr>
      <w:r w:rsidRPr="00C9333D">
        <w:t>Australia’s fire service organisations</w:t>
      </w:r>
      <w:r w:rsidR="00705F21">
        <w:t xml:space="preserve"> also</w:t>
      </w:r>
      <w:r w:rsidRPr="00C9333D">
        <w:t xml:space="preserve"> rely on volunteer workforces to meet their responsibilities. Fire service organisation volunteers are unpaid professionals </w:t>
      </w:r>
      <w:r w:rsidR="00F9051A">
        <w:t>who</w:t>
      </w:r>
      <w:r w:rsidRPr="00C9333D">
        <w:t xml:space="preserve"> provide </w:t>
      </w:r>
      <w:r w:rsidRPr="00580CDF">
        <w:t>services</w:t>
      </w:r>
      <w:r w:rsidRPr="00C9333D">
        <w:t xml:space="preserve"> that would not be economically possible to provide with paid workforces (VAGO</w:t>
      </w:r>
      <w:r w:rsidR="00F9051A">
        <w:t> </w:t>
      </w:r>
      <w:r w:rsidRPr="00C9333D">
        <w:t xml:space="preserve">2014). </w:t>
      </w:r>
      <w:r w:rsidR="004E7228" w:rsidRPr="00C9333D">
        <w:t>Fire service organisations must effectively recruit, train, deploy and retain volunteer firefighters</w:t>
      </w:r>
      <w:r w:rsidRPr="00C9333D">
        <w:t xml:space="preserve"> </w:t>
      </w:r>
      <w:r w:rsidR="00C94D7D" w:rsidRPr="00C9333D">
        <w:t xml:space="preserve">by investing in infrastructure, training, uniforms, personal protective equipment, and operational equipment and support. </w:t>
      </w:r>
    </w:p>
    <w:p w:rsidR="00C94D7D" w:rsidRDefault="00C94D7D" w:rsidP="00580CDF">
      <w:pPr>
        <w:pStyle w:val="BodyText"/>
      </w:pPr>
      <w:r w:rsidRPr="00C9333D">
        <w:t>Nationally in 2013</w:t>
      </w:r>
      <w:r w:rsidR="0026487F">
        <w:noBreakHyphen/>
      </w:r>
      <w:r w:rsidRPr="00C9333D">
        <w:t xml:space="preserve">14, there were </w:t>
      </w:r>
      <w:r w:rsidR="00B2521B">
        <w:t>959.4</w:t>
      </w:r>
      <w:r w:rsidRPr="00C9333D">
        <w:t xml:space="preserve"> fire service organisation volunteers per 100 000</w:t>
      </w:r>
      <w:r w:rsidR="00FC4135">
        <w:t> </w:t>
      </w:r>
      <w:r w:rsidRPr="00C9333D">
        <w:t xml:space="preserve">people, which </w:t>
      </w:r>
      <w:r w:rsidRPr="00580CDF">
        <w:t>varied</w:t>
      </w:r>
      <w:r w:rsidRPr="00C9333D">
        <w:t xml:space="preserve"> across jurisdictions. This represents a </w:t>
      </w:r>
      <w:r w:rsidR="00DF3677">
        <w:t>de</w:t>
      </w:r>
      <w:r w:rsidRPr="00C9333D">
        <w:t xml:space="preserve">crease from </w:t>
      </w:r>
      <w:r w:rsidR="00B2521B">
        <w:t>970.7</w:t>
      </w:r>
      <w:r w:rsidR="00FC4135">
        <w:t> </w:t>
      </w:r>
      <w:r w:rsidR="007B471C">
        <w:t xml:space="preserve">volunteer </w:t>
      </w:r>
      <w:r w:rsidRPr="00C9333D">
        <w:t>firefighters per 100 000 people in 2012</w:t>
      </w:r>
      <w:r w:rsidR="0026487F">
        <w:noBreakHyphen/>
      </w:r>
      <w:r w:rsidRPr="00C9333D">
        <w:t>13 (</w:t>
      </w:r>
      <w:r w:rsidR="00F9051A">
        <w:t xml:space="preserve">figure </w:t>
      </w:r>
      <w:r w:rsidR="00800D6F">
        <w:t>9.9</w:t>
      </w:r>
      <w:r w:rsidRPr="00C9333D">
        <w:t xml:space="preserve">). </w:t>
      </w:r>
    </w:p>
    <w:p w:rsidR="00196A32" w:rsidRDefault="00196A32" w:rsidP="0092750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96A32" w:rsidTr="0092750F">
        <w:tc>
          <w:tcPr>
            <w:tcW w:w="8771" w:type="dxa"/>
            <w:tcBorders>
              <w:top w:val="single" w:sz="6" w:space="0" w:color="78A22F"/>
              <w:left w:val="nil"/>
              <w:bottom w:val="nil"/>
              <w:right w:val="nil"/>
            </w:tcBorders>
            <w:shd w:val="clear" w:color="auto" w:fill="auto"/>
          </w:tcPr>
          <w:p w:rsidR="00196A32" w:rsidRPr="002E05D7" w:rsidRDefault="00196A32" w:rsidP="0049071D">
            <w:pPr>
              <w:pStyle w:val="FigureTitle"/>
              <w:rPr>
                <w:vertAlign w:val="superscript"/>
              </w:rPr>
            </w:pPr>
            <w:r w:rsidRPr="00784A05">
              <w:rPr>
                <w:b w:val="0"/>
              </w:rPr>
              <w:t xml:space="preserve">Figure </w:t>
            </w:r>
            <w:bookmarkStart w:id="27" w:name="OLE_LINK73"/>
            <w:r w:rsidR="00B2521B">
              <w:rPr>
                <w:b w:val="0"/>
              </w:rPr>
              <w:t>9.</w:t>
            </w:r>
            <w:r w:rsidR="00D52162">
              <w:rPr>
                <w:b w:val="0"/>
                <w:noProof/>
              </w:rPr>
              <w:t>9</w:t>
            </w:r>
            <w:bookmarkEnd w:id="27"/>
            <w:r>
              <w:tab/>
            </w:r>
            <w:r w:rsidRPr="00196A32">
              <w:t>Fire service organisation volunteers</w:t>
            </w:r>
            <w:r>
              <w:t>,</w:t>
            </w:r>
            <w:r w:rsidRPr="00196A32">
              <w:t xml:space="preserve"> per 100 000 people</w:t>
            </w:r>
            <w:r w:rsidR="002E05D7" w:rsidRPr="00225D8D">
              <w:rPr>
                <w:rStyle w:val="NoteLabel"/>
                <w:b/>
              </w:rPr>
              <w:t>a, b</w:t>
            </w:r>
          </w:p>
        </w:tc>
      </w:tr>
      <w:tr w:rsidR="00196A32" w:rsidTr="0092750F">
        <w:tc>
          <w:tcPr>
            <w:tcW w:w="8771" w:type="dxa"/>
            <w:tcBorders>
              <w:top w:val="nil"/>
              <w:left w:val="nil"/>
              <w:bottom w:val="nil"/>
              <w:right w:val="nil"/>
            </w:tcBorders>
            <w:shd w:val="clear" w:color="auto" w:fill="auto"/>
            <w:tcMar>
              <w:top w:w="28" w:type="dxa"/>
              <w:bottom w:w="28" w:type="dxa"/>
            </w:tcMar>
          </w:tcPr>
          <w:tbl>
            <w:tblPr>
              <w:tblW w:w="8510"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196A32" w:rsidTr="00677D4D">
              <w:trPr>
                <w:jc w:val="center"/>
              </w:trPr>
              <w:tc>
                <w:tcPr>
                  <w:tcW w:w="5000" w:type="pct"/>
                  <w:tcBorders>
                    <w:top w:val="nil"/>
                    <w:bottom w:val="nil"/>
                  </w:tcBorders>
                </w:tcPr>
                <w:p w:rsidR="00196A32" w:rsidRDefault="00D30935" w:rsidP="0092750F">
                  <w:pPr>
                    <w:pStyle w:val="Figure"/>
                    <w:spacing w:before="60" w:after="60"/>
                  </w:pPr>
                  <w:r>
                    <w:rPr>
                      <w:noProof/>
                    </w:rPr>
                    <w:drawing>
                      <wp:inline distT="0" distB="0" distL="0" distR="0">
                        <wp:extent cx="5405755" cy="2707640"/>
                        <wp:effectExtent l="0" t="0" r="4445" b="0"/>
                        <wp:docPr id="12" name="Picture 12" descr="Figure 9.9 Fire service organisation volunteers, per 100 000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196A32" w:rsidRDefault="00196A32" w:rsidP="0092750F">
            <w:pPr>
              <w:pStyle w:val="Figure"/>
            </w:pPr>
          </w:p>
        </w:tc>
      </w:tr>
      <w:tr w:rsidR="00196A32" w:rsidRPr="00176D3F" w:rsidTr="0092750F">
        <w:tc>
          <w:tcPr>
            <w:tcW w:w="8771" w:type="dxa"/>
            <w:tcBorders>
              <w:top w:val="nil"/>
              <w:left w:val="nil"/>
              <w:bottom w:val="nil"/>
              <w:right w:val="nil"/>
            </w:tcBorders>
            <w:shd w:val="clear" w:color="auto" w:fill="auto"/>
          </w:tcPr>
          <w:p w:rsidR="00196A32" w:rsidRPr="00176D3F" w:rsidRDefault="004C5041" w:rsidP="0049071D">
            <w:pPr>
              <w:pStyle w:val="Note"/>
            </w:pPr>
            <w:r w:rsidRPr="00580CDF">
              <w:rPr>
                <w:rStyle w:val="NoteLabel"/>
              </w:rPr>
              <w:t>a</w:t>
            </w:r>
            <w:r w:rsidRPr="00580CDF">
              <w:t xml:space="preserve"> </w:t>
            </w:r>
            <w:r w:rsidRPr="004C5041">
              <w:t>Human resource data are affected by the reporting scope of each jurisdiction’s ‘fire service organisation’. See table 9A.3 for details for the scope of agencies’ reporting.</w:t>
            </w:r>
            <w:r>
              <w:rPr>
                <w:rStyle w:val="NoteLabel"/>
              </w:rPr>
              <w:t xml:space="preserve"> b </w:t>
            </w:r>
            <w:r w:rsidRPr="006C43BD">
              <w:t xml:space="preserve">Population data used to derive rates are as at </w:t>
            </w:r>
            <w:r w:rsidR="00F33424">
              <w:t xml:space="preserve">31 December. Estimated Resident Population (ERP) data for </w:t>
            </w:r>
            <w:r w:rsidR="00D32E9E">
              <w:t>2004 to 2010</w:t>
            </w:r>
            <w:r w:rsidR="00F33424">
              <w:t xml:space="preserve"> </w:t>
            </w:r>
            <w:r w:rsidRPr="006C43BD">
              <w:t>are final, based on the 2011 Census of Population and Housing. Estimates for 2011 onwards are preliminary. See chapter 2 (table 2A.2) for details.</w:t>
            </w:r>
            <w:r>
              <w:t xml:space="preserve"> </w:t>
            </w:r>
          </w:p>
        </w:tc>
      </w:tr>
      <w:tr w:rsidR="00196A32" w:rsidRPr="00176D3F" w:rsidTr="0092750F">
        <w:tc>
          <w:tcPr>
            <w:tcW w:w="8771" w:type="dxa"/>
            <w:tcBorders>
              <w:top w:val="nil"/>
              <w:left w:val="nil"/>
              <w:bottom w:val="nil"/>
              <w:right w:val="nil"/>
            </w:tcBorders>
            <w:shd w:val="clear" w:color="auto" w:fill="auto"/>
          </w:tcPr>
          <w:p w:rsidR="00196A32" w:rsidRPr="00176D3F" w:rsidRDefault="00705F21" w:rsidP="0092750F">
            <w:pPr>
              <w:pStyle w:val="Source"/>
            </w:pPr>
            <w:r>
              <w:rPr>
                <w:i/>
              </w:rPr>
              <w:t>S</w:t>
            </w:r>
            <w:r w:rsidR="00196A32" w:rsidRPr="00784A05">
              <w:rPr>
                <w:i/>
              </w:rPr>
              <w:t>ource</w:t>
            </w:r>
            <w:r w:rsidR="00196A32" w:rsidRPr="00176D3F">
              <w:t xml:space="preserve">: </w:t>
            </w:r>
            <w:r w:rsidRPr="00580CDF">
              <w:t xml:space="preserve">State and Territory governments (unpublished), table </w:t>
            </w:r>
            <w:r w:rsidR="004029AC">
              <w:t>9A.24</w:t>
            </w:r>
            <w:r w:rsidRPr="00580CDF">
              <w:t>.</w:t>
            </w:r>
          </w:p>
        </w:tc>
      </w:tr>
      <w:tr w:rsidR="00196A32" w:rsidTr="0092750F">
        <w:tc>
          <w:tcPr>
            <w:tcW w:w="8771" w:type="dxa"/>
            <w:tcBorders>
              <w:top w:val="nil"/>
              <w:left w:val="nil"/>
              <w:bottom w:val="single" w:sz="6" w:space="0" w:color="78A22F"/>
              <w:right w:val="nil"/>
            </w:tcBorders>
            <w:shd w:val="clear" w:color="auto" w:fill="auto"/>
          </w:tcPr>
          <w:p w:rsidR="00196A32" w:rsidRDefault="00196A32" w:rsidP="0092750F">
            <w:pPr>
              <w:pStyle w:val="Figurespace"/>
            </w:pPr>
          </w:p>
        </w:tc>
      </w:tr>
      <w:tr w:rsidR="00196A32" w:rsidRPr="000863A5" w:rsidTr="0092750F">
        <w:tc>
          <w:tcPr>
            <w:tcW w:w="8771" w:type="dxa"/>
            <w:tcBorders>
              <w:top w:val="single" w:sz="6" w:space="0" w:color="78A22F"/>
              <w:left w:val="nil"/>
              <w:bottom w:val="nil"/>
              <w:right w:val="nil"/>
            </w:tcBorders>
          </w:tcPr>
          <w:p w:rsidR="00196A32" w:rsidRPr="00626D32" w:rsidRDefault="00196A32" w:rsidP="0092750F">
            <w:pPr>
              <w:pStyle w:val="BoxSpaceBelow"/>
            </w:pPr>
          </w:p>
        </w:tc>
      </w:tr>
    </w:tbl>
    <w:p w:rsidR="00FC4135" w:rsidRDefault="00FC4135" w:rsidP="00FC4135">
      <w:pPr>
        <w:pStyle w:val="BodyText"/>
      </w:pPr>
      <w:r>
        <w:t xml:space="preserve">Over the past 10 years the number of fire service organisation volunteers </w:t>
      </w:r>
      <w:r w:rsidR="00675701">
        <w:t xml:space="preserve">per 100 000 people </w:t>
      </w:r>
      <w:r>
        <w:t xml:space="preserve">has decreased by </w:t>
      </w:r>
      <w:r w:rsidR="00B2521B">
        <w:t>16.0</w:t>
      </w:r>
      <w:r>
        <w:t> per cent (table 9A.24). Several factors have contributed to this fall, including: economic factors (making it financially more difficult for people to commit to volunteering); demographic factors (such as an ageing population and urban living, leading to fewer people being available to volunteer in the places where they are required); and improvements in the maintenance of volunteer registers (removing inactive volunteers from the estimates) (McLennan 2008).</w:t>
      </w:r>
    </w:p>
    <w:p w:rsidR="00986A8B" w:rsidRPr="00B5616C" w:rsidRDefault="00986A8B" w:rsidP="00986A8B">
      <w:pPr>
        <w:pStyle w:val="Heading4"/>
      </w:pPr>
      <w:r w:rsidRPr="00B5616C">
        <w:t>Equity and effectiveness — response</w:t>
      </w:r>
    </w:p>
    <w:p w:rsidR="00986A8B" w:rsidRPr="00192DFA" w:rsidRDefault="004640B4" w:rsidP="00EF631D">
      <w:pPr>
        <w:pStyle w:val="BodyText"/>
      </w:pPr>
      <w:r>
        <w:t>R</w:t>
      </w:r>
      <w:r w:rsidR="00986A8B" w:rsidRPr="00192DFA">
        <w:t>esponse indicators relate to fire service organisations’ ability to respond to and suppress fires.</w:t>
      </w:r>
    </w:p>
    <w:p w:rsidR="00986A8B" w:rsidRPr="001E7A69" w:rsidRDefault="00986A8B" w:rsidP="00C9315B">
      <w:pPr>
        <w:pStyle w:val="Heading5"/>
        <w:spacing w:before="360"/>
      </w:pPr>
      <w:r w:rsidRPr="001E7A69">
        <w:t>Response times to structure fires</w:t>
      </w:r>
    </w:p>
    <w:p w:rsidR="00986A8B" w:rsidRPr="00192DFA" w:rsidRDefault="00986A8B" w:rsidP="00986A8B">
      <w:pPr>
        <w:pStyle w:val="BodyText"/>
      </w:pPr>
      <w:r w:rsidRPr="00192DFA">
        <w:t>‘Response times to structure fires’ is an indicator of governments’ objective to reduce the adverse effects of fire on the community through timely response activities (box </w:t>
      </w:r>
      <w:r w:rsidR="00800D6F">
        <w:t>9.6</w:t>
      </w:r>
      <w:r w:rsidRPr="00192DFA">
        <w:t>).</w:t>
      </w:r>
    </w:p>
    <w:p w:rsidR="00AA3962" w:rsidRDefault="00AA396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3962" w:rsidTr="0058308D">
        <w:tc>
          <w:tcPr>
            <w:tcW w:w="8771" w:type="dxa"/>
            <w:tcBorders>
              <w:top w:val="single" w:sz="6" w:space="0" w:color="78A22F"/>
              <w:left w:val="nil"/>
              <w:bottom w:val="nil"/>
              <w:right w:val="nil"/>
            </w:tcBorders>
            <w:shd w:val="clear" w:color="auto" w:fill="F2F2F2" w:themeFill="background1" w:themeFillShade="F2"/>
          </w:tcPr>
          <w:p w:rsidR="00AA3962" w:rsidRDefault="00AA3962" w:rsidP="00AA3962">
            <w:pPr>
              <w:pStyle w:val="BoxTitle"/>
            </w:pPr>
            <w:r>
              <w:rPr>
                <w:b w:val="0"/>
              </w:rPr>
              <w:t xml:space="preserve">Box </w:t>
            </w:r>
            <w:bookmarkStart w:id="28" w:name="OLE_LINK69"/>
            <w:r w:rsidR="00B2521B">
              <w:rPr>
                <w:b w:val="0"/>
              </w:rPr>
              <w:t>9.</w:t>
            </w:r>
            <w:r w:rsidR="00D52162">
              <w:rPr>
                <w:b w:val="0"/>
                <w:noProof/>
              </w:rPr>
              <w:t>6</w:t>
            </w:r>
            <w:bookmarkEnd w:id="28"/>
            <w:r>
              <w:tab/>
            </w:r>
            <w:r w:rsidRPr="001E7A69">
              <w:t>Response times to structure fires</w:t>
            </w:r>
          </w:p>
        </w:tc>
      </w:tr>
      <w:tr w:rsidR="00AA3962" w:rsidTr="00270D9F">
        <w:trPr>
          <w:cantSplit/>
          <w:trHeight w:val="5880"/>
        </w:trPr>
        <w:tc>
          <w:tcPr>
            <w:tcW w:w="8771" w:type="dxa"/>
            <w:tcBorders>
              <w:top w:val="nil"/>
              <w:left w:val="nil"/>
              <w:bottom w:val="nil"/>
              <w:right w:val="nil"/>
            </w:tcBorders>
            <w:shd w:val="clear" w:color="auto" w:fill="F2F2F2" w:themeFill="background1" w:themeFillShade="F2"/>
          </w:tcPr>
          <w:p w:rsidR="00AA3962" w:rsidRPr="00192DFA" w:rsidRDefault="00AA3962" w:rsidP="0058308D">
            <w:pPr>
              <w:pStyle w:val="Box"/>
              <w:keepNext w:val="0"/>
            </w:pPr>
            <w:r w:rsidRPr="00192DFA">
              <w:t xml:space="preserve">‘Response times to structure fires’ (as illustrated below) is defined as the time taken between the arrival of the first fire crew appliance at the scene of a structure fire and: </w:t>
            </w:r>
          </w:p>
          <w:p w:rsidR="00AA3962" w:rsidRPr="00192DFA" w:rsidRDefault="00AA3962" w:rsidP="0058308D">
            <w:pPr>
              <w:pStyle w:val="BoxListBullet"/>
              <w:keepNext w:val="0"/>
            </w:pPr>
            <w:r w:rsidRPr="00192DFA">
              <w:rPr>
                <w:i/>
              </w:rPr>
              <w:t>initial receipt of the call at the communications centre</w:t>
            </w:r>
            <w:r w:rsidRPr="00192DFA">
              <w:t>. Response time (</w:t>
            </w:r>
            <w:r w:rsidRPr="00192DFA">
              <w:rPr>
                <w:i/>
              </w:rPr>
              <w:t>including</w:t>
            </w:r>
            <w:r w:rsidRPr="00192DFA">
              <w:t xml:space="preserve"> call taking time) reflects jurisdictions’ overall responsiveness to the notification of a structure fire </w:t>
            </w:r>
          </w:p>
          <w:p w:rsidR="00AA3962" w:rsidRPr="00192DFA" w:rsidRDefault="00AA3962" w:rsidP="0058308D">
            <w:pPr>
              <w:pStyle w:val="BoxListBullet"/>
              <w:keepNext w:val="0"/>
            </w:pPr>
            <w:r w:rsidRPr="00192DFA">
              <w:rPr>
                <w:i/>
              </w:rPr>
              <w:t>dispatch of the responding fire crew</w:t>
            </w:r>
            <w:r w:rsidRPr="00192DFA">
              <w:t>. Response time (</w:t>
            </w:r>
            <w:r w:rsidRPr="00192DFA">
              <w:rPr>
                <w:i/>
              </w:rPr>
              <w:t>excluding</w:t>
            </w:r>
            <w:r w:rsidRPr="00192DFA">
              <w:t xml:space="preserve"> call taking time) reflects service organisations’ responsiveness to the notification of a structure fire. </w:t>
            </w:r>
          </w:p>
          <w:p w:rsidR="00AA3962" w:rsidRDefault="00201B72" w:rsidP="00446594">
            <w:pPr>
              <w:pStyle w:val="Box"/>
              <w:keepNext w:val="0"/>
            </w:pPr>
            <w:r w:rsidRPr="00201B72">
              <w:t>Response times are calculated at the 50th and 90th percentile</w:t>
            </w:r>
            <w:r>
              <w:t>.</w:t>
            </w:r>
            <w:r w:rsidRPr="00201B72">
              <w:t xml:space="preserve"> (</w:t>
            </w:r>
            <w:r>
              <w:t>T</w:t>
            </w:r>
            <w:r w:rsidRPr="00201B72">
              <w:t>he time taken for 50 per cent of all responses to arrive at a structure fire is equal to or below the 50th percentile</w:t>
            </w:r>
            <w:r w:rsidR="000D46AF">
              <w:t>.</w:t>
            </w:r>
            <w:r w:rsidRPr="00201B72">
              <w:t xml:space="preserve"> </w:t>
            </w:r>
            <w:r w:rsidR="000D46AF">
              <w:t>T</w:t>
            </w:r>
            <w:r w:rsidRPr="00201B72">
              <w:t>he time taken for 90 per cent of all responses to arrive at a structure fire is equal to or below the 90th percentile</w:t>
            </w:r>
            <w:r w:rsidR="000D46AF">
              <w:t>.</w:t>
            </w:r>
            <w:r w:rsidR="002170AE">
              <w:t>)</w:t>
            </w:r>
          </w:p>
          <w:p w:rsidR="00AA3962" w:rsidRDefault="00D30935" w:rsidP="0058308D">
            <w:pPr>
              <w:pStyle w:val="Box"/>
              <w:keepNext w:val="0"/>
              <w:rPr>
                <w:color w:val="0070C0"/>
              </w:rPr>
            </w:pPr>
            <w:r>
              <w:rPr>
                <w:noProof/>
                <w:color w:val="0070C0"/>
              </w:rPr>
              <w:drawing>
                <wp:inline distT="0" distB="0" distL="0" distR="0">
                  <wp:extent cx="5271135" cy="1783715"/>
                  <wp:effectExtent l="0" t="0" r="5715" b="6985"/>
                  <wp:docPr id="13" name="Picture 13" descr=" Box 9.6 Response times to structure fir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1135" cy="1783715"/>
                          </a:xfrm>
                          <a:prstGeom prst="rect">
                            <a:avLst/>
                          </a:prstGeom>
                          <a:noFill/>
                          <a:ln>
                            <a:noFill/>
                          </a:ln>
                        </pic:spPr>
                      </pic:pic>
                    </a:graphicData>
                  </a:graphic>
                </wp:inline>
              </w:drawing>
            </w:r>
          </w:p>
          <w:p w:rsidR="00270D9F" w:rsidRPr="00DA5C22" w:rsidRDefault="00270D9F" w:rsidP="00270D9F">
            <w:pPr>
              <w:pStyle w:val="Box"/>
              <w:keepNext w:val="0"/>
            </w:pPr>
            <w:r w:rsidRPr="00DA5C22">
              <w:t>Response time measures are provided for:</w:t>
            </w:r>
          </w:p>
          <w:p w:rsidR="00270D9F" w:rsidRPr="00DA5C22" w:rsidRDefault="00270D9F" w:rsidP="00270D9F">
            <w:pPr>
              <w:pStyle w:val="BoxListBullet"/>
              <w:keepNext w:val="0"/>
            </w:pPr>
            <w:r w:rsidRPr="00DA5C22">
              <w:t>state</w:t>
            </w:r>
            <w:r>
              <w:noBreakHyphen/>
            </w:r>
            <w:r w:rsidRPr="00DA5C22">
              <w:t xml:space="preserve">wide — the entire jurisdiction </w:t>
            </w:r>
          </w:p>
          <w:p w:rsidR="008D537D" w:rsidRDefault="00270D9F" w:rsidP="00FC4135">
            <w:pPr>
              <w:pStyle w:val="BoxListBullet"/>
              <w:keepNext w:val="0"/>
            </w:pPr>
            <w:r>
              <w:t>urban centre</w:t>
            </w:r>
            <w:r w:rsidRPr="00DA5C22">
              <w:t xml:space="preserve"> — </w:t>
            </w:r>
            <w:r>
              <w:t xml:space="preserve">measured as </w:t>
            </w:r>
            <w:r w:rsidRPr="00DA5C22">
              <w:t xml:space="preserve">the geographic area that incorporates the jurisdictions’ </w:t>
            </w:r>
            <w:r w:rsidRPr="00FC4135">
              <w:t>capital city</w:t>
            </w:r>
            <w:r w:rsidRPr="00DA5C22">
              <w:t xml:space="preserve">. Boundaries are based on the ABS Australian Standard Geographical Classification (ASGC) structure. </w:t>
            </w:r>
            <w:r>
              <w:t xml:space="preserve">Capital cities </w:t>
            </w:r>
            <w:r w:rsidRPr="00DA5C22">
              <w:t xml:space="preserve">are calculated as the </w:t>
            </w:r>
            <w:r w:rsidR="002170AE">
              <w:t>m</w:t>
            </w:r>
            <w:r w:rsidR="002170AE" w:rsidRPr="00DA5C22">
              <w:t xml:space="preserve">ajor </w:t>
            </w:r>
            <w:r w:rsidRPr="00DA5C22">
              <w:t xml:space="preserve">cities classification for all jurisdictions, other than Tasmania and </w:t>
            </w:r>
            <w:r w:rsidR="002170AE">
              <w:t xml:space="preserve">the </w:t>
            </w:r>
            <w:r w:rsidRPr="00DA5C22">
              <w:t xml:space="preserve">NT, where the </w:t>
            </w:r>
            <w:r w:rsidR="002170AE">
              <w:t>i</w:t>
            </w:r>
            <w:r w:rsidR="002170AE" w:rsidRPr="00DA5C22">
              <w:t xml:space="preserve">nner </w:t>
            </w:r>
            <w:r w:rsidRPr="00DA5C22">
              <w:t xml:space="preserve">regional (incorporating Hobart and Launceston) and </w:t>
            </w:r>
            <w:r w:rsidR="002170AE">
              <w:t>o</w:t>
            </w:r>
            <w:r w:rsidR="002170AE" w:rsidRPr="00DA5C22">
              <w:t xml:space="preserve">uter </w:t>
            </w:r>
            <w:r w:rsidRPr="00DA5C22">
              <w:t xml:space="preserve">regional (incorporating Darwin) classifications </w:t>
            </w:r>
            <w:r w:rsidRPr="00FC4135">
              <w:t>are applied</w:t>
            </w:r>
          </w:p>
          <w:p w:rsidR="000D46AF" w:rsidRDefault="000D46AF" w:rsidP="000D46AF">
            <w:pPr>
              <w:pStyle w:val="BoxListBullet"/>
            </w:pPr>
            <w:r w:rsidRPr="00FC4135">
              <w:t xml:space="preserve">remoteness areas — inner regional (excluding Tasmania), outer regional (excluding </w:t>
            </w:r>
            <w:r w:rsidR="002170AE">
              <w:t xml:space="preserve">the </w:t>
            </w:r>
            <w:r w:rsidRPr="00FC4135">
              <w:t>NT), remote and very remote boundaries based on the ASGC structure.</w:t>
            </w:r>
          </w:p>
          <w:p w:rsidR="000D46AF" w:rsidRDefault="000D46AF" w:rsidP="000D46AF">
            <w:pPr>
              <w:pStyle w:val="Box"/>
              <w:keepNext w:val="0"/>
            </w:pPr>
            <w:r w:rsidRPr="00DA5C22">
              <w:t>Calculations are based on emergency responses to structure fire incidents and include responses by both permanent and volunteer brigades (unless otherwise noted).</w:t>
            </w:r>
          </w:p>
          <w:p w:rsidR="000D46AF" w:rsidRDefault="000D46AF" w:rsidP="000D46AF">
            <w:pPr>
              <w:pStyle w:val="Box"/>
              <w:keepNext w:val="0"/>
            </w:pPr>
            <w:r w:rsidRPr="00DA5C22">
              <w:t xml:space="preserve">Shorter response times suggest the adverse effects on the community of emergencies requiring fire services are reduced. </w:t>
            </w:r>
          </w:p>
          <w:p w:rsidR="000D46AF" w:rsidRPr="00DA5C22" w:rsidRDefault="000D46AF" w:rsidP="000D46AF">
            <w:pPr>
              <w:pStyle w:val="Box"/>
              <w:keepNext w:val="0"/>
            </w:pPr>
            <w:r w:rsidRPr="00DA5C22">
              <w:t>Data reported for this measure are:</w:t>
            </w:r>
          </w:p>
          <w:p w:rsidR="000D46AF" w:rsidRPr="00DA5C22" w:rsidRDefault="000D46AF" w:rsidP="000D46AF">
            <w:pPr>
              <w:pStyle w:val="BoxListBullet"/>
              <w:keepNext w:val="0"/>
            </w:pPr>
            <w:r w:rsidRPr="00DA5C22">
              <w:t>comparable (subject to caveats) within jurisdictions over time but are not comparable across jurisdictions</w:t>
            </w:r>
          </w:p>
          <w:p w:rsidR="000D46AF" w:rsidRPr="00DA5C22" w:rsidRDefault="000D46AF" w:rsidP="000D46AF">
            <w:pPr>
              <w:pStyle w:val="BoxListBullet"/>
              <w:keepNext w:val="0"/>
            </w:pPr>
            <w:r w:rsidRPr="00DA5C22">
              <w:t xml:space="preserve">incomplete for the current reporting period (subject to caveats). All required </w:t>
            </w:r>
            <w:r w:rsidR="00A73035">
              <w:t xml:space="preserve">2013-14 </w:t>
            </w:r>
            <w:r w:rsidRPr="00DA5C22">
              <w:t>data are not available for SA.</w:t>
            </w:r>
          </w:p>
          <w:p w:rsidR="000D46AF" w:rsidRPr="0054109B" w:rsidRDefault="000D46AF" w:rsidP="000D46AF">
            <w:pPr>
              <w:pStyle w:val="Box"/>
              <w:keepNext w:val="0"/>
            </w:pPr>
            <w:r w:rsidRPr="00DA5C22">
              <w:t>Data quality information for this indicator</w:t>
            </w:r>
            <w:r w:rsidR="00DA507A">
              <w:t xml:space="preserve"> is at www.pc.gov.au</w:t>
            </w:r>
            <w:r>
              <w:t>/rogs/2015.</w:t>
            </w:r>
          </w:p>
        </w:tc>
      </w:tr>
      <w:tr w:rsidR="000D46AF" w:rsidTr="008D537D">
        <w:tc>
          <w:tcPr>
            <w:tcW w:w="8771" w:type="dxa"/>
            <w:tcBorders>
              <w:top w:val="nil"/>
              <w:left w:val="nil"/>
              <w:bottom w:val="single" w:sz="6" w:space="0" w:color="78A22F"/>
              <w:right w:val="nil"/>
            </w:tcBorders>
            <w:shd w:val="clear" w:color="auto" w:fill="F2F2F2" w:themeFill="background1" w:themeFillShade="F2"/>
          </w:tcPr>
          <w:p w:rsidR="000D46AF" w:rsidRDefault="000D46AF" w:rsidP="00EC7BE9">
            <w:pPr>
              <w:pStyle w:val="Box"/>
              <w:spacing w:before="0" w:line="120" w:lineRule="exact"/>
            </w:pPr>
          </w:p>
        </w:tc>
      </w:tr>
      <w:tr w:rsidR="000D46AF" w:rsidRPr="000863A5" w:rsidTr="008D537D">
        <w:tc>
          <w:tcPr>
            <w:tcW w:w="8771" w:type="dxa"/>
            <w:tcBorders>
              <w:top w:val="single" w:sz="6" w:space="0" w:color="78A22F"/>
              <w:left w:val="nil"/>
              <w:bottom w:val="nil"/>
              <w:right w:val="nil"/>
            </w:tcBorders>
          </w:tcPr>
          <w:p w:rsidR="000D46AF" w:rsidRPr="00626D32" w:rsidRDefault="000D46AF" w:rsidP="0058308D">
            <w:pPr>
              <w:pStyle w:val="BoxSpaceBelow"/>
            </w:pPr>
          </w:p>
        </w:tc>
      </w:tr>
    </w:tbl>
    <w:p w:rsidR="00893137" w:rsidRDefault="00893137" w:rsidP="00893137">
      <w:pPr>
        <w:pStyle w:val="BodyText"/>
      </w:pPr>
      <w:r w:rsidRPr="0054109B">
        <w:lastRenderedPageBreak/>
        <w:t xml:space="preserve">Response times need to be interpreted with caution because the data are not directly comparable across jurisdictions. </w:t>
      </w:r>
      <w:r w:rsidRPr="0054109B">
        <w:sym w:font="Symbol" w:char="F020"/>
      </w:r>
      <w:r w:rsidRPr="0054109B">
        <w:t xml:space="preserve">Differences between jurisdictions in definitions of response times, </w:t>
      </w:r>
      <w:r w:rsidRPr="00DA5C22">
        <w:t>geography</w:t>
      </w:r>
      <w:r w:rsidRPr="0054109B">
        <w:t xml:space="preserve">, personnel mix, and system type (manual or </w:t>
      </w:r>
      <w:r w:rsidR="00FC4135">
        <w:t xml:space="preserve">computer assisted </w:t>
      </w:r>
      <w:r w:rsidR="00FC4135" w:rsidRPr="00446594">
        <w:t>di</w:t>
      </w:r>
      <w:r w:rsidR="00491AB1" w:rsidRPr="00446594">
        <w:t>s</w:t>
      </w:r>
      <w:r w:rsidR="00FC4135" w:rsidRPr="00446594">
        <w:t>patch</w:t>
      </w:r>
      <w:r w:rsidRPr="0054109B">
        <w:t>)</w:t>
      </w:r>
      <w:r w:rsidRPr="00147FBA">
        <w:t xml:space="preserve"> </w:t>
      </w:r>
      <w:r w:rsidRPr="0054109B">
        <w:t>(table </w:t>
      </w:r>
      <w:r>
        <w:t>9A.49)</w:t>
      </w:r>
      <w:r w:rsidRPr="0054109B">
        <w:t xml:space="preserve">, affect the comparability of response times data </w:t>
      </w:r>
      <w:r>
        <w:t>(</w:t>
      </w:r>
      <w:r w:rsidRPr="0054109B">
        <w:t>Fire and ambulance services data quality information).</w:t>
      </w:r>
    </w:p>
    <w:p w:rsidR="007F2661" w:rsidRPr="00DA5C22" w:rsidRDefault="007F2661" w:rsidP="007F2661">
      <w:pPr>
        <w:pStyle w:val="Heading5"/>
      </w:pPr>
      <w:r w:rsidRPr="00DA5C22">
        <w:t>Response times to structure fires — state</w:t>
      </w:r>
      <w:r w:rsidR="00CC7814">
        <w:noBreakHyphen/>
      </w:r>
      <w:r w:rsidRPr="00DA5C22">
        <w:t>wide</w:t>
      </w:r>
    </w:p>
    <w:p w:rsidR="006D0D63" w:rsidRDefault="00BE5327" w:rsidP="00147FBA">
      <w:pPr>
        <w:pStyle w:val="BodyText"/>
      </w:pPr>
      <w:r w:rsidRPr="00DA5C22">
        <w:t xml:space="preserve">The time within which 90 per cent of the first responding fire appliances arrive at the scene of a structure fire </w:t>
      </w:r>
      <w:r w:rsidR="00E61F0B" w:rsidRPr="00DA5C22">
        <w:t xml:space="preserve">(including call taking time) </w:t>
      </w:r>
      <w:r w:rsidRPr="00DA5C22">
        <w:t xml:space="preserve">varies </w:t>
      </w:r>
      <w:r w:rsidR="00E61F0B" w:rsidRPr="00DA5C22">
        <w:t xml:space="preserve">from </w:t>
      </w:r>
      <w:r w:rsidR="00B2521B">
        <w:t>10.4</w:t>
      </w:r>
      <w:r w:rsidR="00E61F0B" w:rsidRPr="00DA5C22">
        <w:t xml:space="preserve"> minutes to </w:t>
      </w:r>
      <w:r w:rsidR="00B2521B">
        <w:t>19.6</w:t>
      </w:r>
      <w:r w:rsidR="001E7A69">
        <w:t> </w:t>
      </w:r>
      <w:r w:rsidR="00E61F0B" w:rsidRPr="00DA5C22">
        <w:t xml:space="preserve">minutes </w:t>
      </w:r>
      <w:r w:rsidRPr="00DA5C22">
        <w:t xml:space="preserve">across jurisdictions </w:t>
      </w:r>
      <w:r w:rsidR="00986A8B" w:rsidRPr="00DA5C22">
        <w:t>(figure</w:t>
      </w:r>
      <w:r w:rsidR="00CE2426">
        <w:t> </w:t>
      </w:r>
      <w:r w:rsidR="00800D6F">
        <w:t>9.10</w:t>
      </w:r>
      <w:r w:rsidR="00AA4F58" w:rsidRPr="00DA5C22">
        <w:t xml:space="preserve"> and</w:t>
      </w:r>
      <w:r w:rsidR="00986A8B" w:rsidRPr="00DA5C22">
        <w:t xml:space="preserve"> tables </w:t>
      </w:r>
      <w:r w:rsidR="004029AC">
        <w:t>9A.26</w:t>
      </w:r>
      <w:r w:rsidR="00986A8B" w:rsidRPr="00DA5C22">
        <w:t>–</w:t>
      </w:r>
      <w:r w:rsidR="004029AC">
        <w:t>27</w:t>
      </w:r>
      <w:r w:rsidR="00AA4F58" w:rsidRPr="00DA5C22">
        <w:t>)</w:t>
      </w:r>
      <w:r w:rsidR="00986A8B" w:rsidRPr="00DA5C22">
        <w:t>.</w:t>
      </w:r>
      <w:r w:rsidR="00147FBA" w:rsidRPr="00DA5C22">
        <w:t xml:space="preserve"> </w:t>
      </w:r>
    </w:p>
    <w:p w:rsidR="00412FEE" w:rsidRPr="00DA5C22" w:rsidRDefault="00412FEE" w:rsidP="00412FEE">
      <w:pPr>
        <w:pStyle w:val="BodyText"/>
      </w:pPr>
      <w:r w:rsidRPr="00DA5C22">
        <w:t>State</w:t>
      </w:r>
      <w:r>
        <w:noBreakHyphen/>
      </w:r>
      <w:r w:rsidRPr="00DA5C22">
        <w:t xml:space="preserve">wide response times are </w:t>
      </w:r>
      <w:r>
        <w:t>a</w:t>
      </w:r>
      <w:r w:rsidRPr="00DA5C22">
        <w:t>ffected by the geographic and demographic characteristics of each jurisdiction. In particular, data calculated on a state</w:t>
      </w:r>
      <w:r w:rsidRPr="00DA5C22">
        <w:noBreakHyphen/>
        <w:t>wide basis represent responses to urban, rural and remote areas, which can differ substantially.</w:t>
      </w:r>
    </w:p>
    <w:p w:rsidR="00E17FDA" w:rsidRDefault="00E17FDA" w:rsidP="005830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7FDA" w:rsidTr="0058308D">
        <w:tc>
          <w:tcPr>
            <w:tcW w:w="8771" w:type="dxa"/>
            <w:tcBorders>
              <w:top w:val="single" w:sz="6" w:space="0" w:color="78A22F"/>
              <w:left w:val="nil"/>
              <w:bottom w:val="nil"/>
              <w:right w:val="nil"/>
            </w:tcBorders>
            <w:shd w:val="clear" w:color="auto" w:fill="auto"/>
          </w:tcPr>
          <w:p w:rsidR="00E17FDA" w:rsidRPr="00176D3F" w:rsidRDefault="00E17FDA" w:rsidP="00E17FDA">
            <w:pPr>
              <w:pStyle w:val="FigureTitle"/>
            </w:pPr>
            <w:r w:rsidRPr="00784A05">
              <w:rPr>
                <w:b w:val="0"/>
              </w:rPr>
              <w:t xml:space="preserve">Figure </w:t>
            </w:r>
            <w:bookmarkStart w:id="29" w:name="OLE_LINK17"/>
            <w:r w:rsidR="00B2521B">
              <w:rPr>
                <w:b w:val="0"/>
              </w:rPr>
              <w:t>9.</w:t>
            </w:r>
            <w:r w:rsidR="00D52162">
              <w:rPr>
                <w:b w:val="0"/>
                <w:noProof/>
              </w:rPr>
              <w:t>10</w:t>
            </w:r>
            <w:bookmarkEnd w:id="29"/>
            <w:r>
              <w:tab/>
            </w:r>
            <w:r w:rsidRPr="00964C77">
              <w:t>Response times to structure fires, state</w:t>
            </w:r>
            <w:r w:rsidRPr="00964C77">
              <w:noBreakHyphen/>
              <w:t>wide, 90th percentile</w:t>
            </w:r>
            <w:r w:rsidRPr="00964C77">
              <w:rPr>
                <w:sz w:val="8"/>
                <w:szCs w:val="8"/>
              </w:rPr>
              <w:t> </w:t>
            </w:r>
            <w:r w:rsidRPr="00964C77">
              <w:rPr>
                <w:rStyle w:val="NoteLabel"/>
                <w:b/>
              </w:rPr>
              <w:t>a, b, c, d</w:t>
            </w:r>
            <w:r w:rsidR="00EE0C45">
              <w:rPr>
                <w:rStyle w:val="NoteLabel"/>
                <w:b/>
              </w:rPr>
              <w:t>, e</w:t>
            </w:r>
          </w:p>
        </w:tc>
      </w:tr>
      <w:tr w:rsidR="00E17FDA" w:rsidTr="0058308D">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E17FDA" w:rsidTr="00677D4D">
              <w:tc>
                <w:tcPr>
                  <w:tcW w:w="5000" w:type="pct"/>
                  <w:tcBorders>
                    <w:top w:val="nil"/>
                    <w:bottom w:val="nil"/>
                  </w:tcBorders>
                </w:tcPr>
                <w:p w:rsidR="00E17FDA" w:rsidRPr="00677D4D" w:rsidRDefault="00D30935" w:rsidP="00E17FDA">
                  <w:pPr>
                    <w:pStyle w:val="Figure"/>
                    <w:spacing w:before="0" w:after="0"/>
                    <w:rPr>
                      <w:noProof/>
                    </w:rPr>
                  </w:pPr>
                  <w:r>
                    <w:rPr>
                      <w:noProof/>
                    </w:rPr>
                    <w:drawing>
                      <wp:inline distT="0" distB="0" distL="0" distR="0">
                        <wp:extent cx="5405755" cy="1972310"/>
                        <wp:effectExtent l="0" t="0" r="4445" b="8890"/>
                        <wp:docPr id="14" name="Picture 14" descr="Figure 9.10 Response times to structure fires, state-wide, 90th percentile&#10;&#10;Including call taking tim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5755" cy="1972310"/>
                                </a:xfrm>
                                <a:prstGeom prst="rect">
                                  <a:avLst/>
                                </a:prstGeom>
                                <a:noFill/>
                                <a:ln>
                                  <a:noFill/>
                                </a:ln>
                              </pic:spPr>
                            </pic:pic>
                          </a:graphicData>
                        </a:graphic>
                      </wp:inline>
                    </w:drawing>
                  </w:r>
                </w:p>
                <w:p w:rsidR="00E17FDA" w:rsidRPr="00677D4D" w:rsidRDefault="00D30935" w:rsidP="00893137">
                  <w:pPr>
                    <w:pStyle w:val="Figure"/>
                    <w:spacing w:before="60" w:after="60"/>
                  </w:pPr>
                  <w:r>
                    <w:rPr>
                      <w:noProof/>
                    </w:rPr>
                    <w:drawing>
                      <wp:inline distT="0" distB="0" distL="0" distR="0">
                        <wp:extent cx="5405755" cy="2312670"/>
                        <wp:effectExtent l="0" t="0" r="4445" b="0"/>
                        <wp:docPr id="15" name="Picture 15" descr="Figure 9.10 Response times to structure fires, state-wide, 90th percentile&#10;&#10;Excluding call taking tim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5755" cy="2312670"/>
                                </a:xfrm>
                                <a:prstGeom prst="rect">
                                  <a:avLst/>
                                </a:prstGeom>
                                <a:noFill/>
                                <a:ln>
                                  <a:noFill/>
                                </a:ln>
                              </pic:spPr>
                            </pic:pic>
                          </a:graphicData>
                        </a:graphic>
                      </wp:inline>
                    </w:drawing>
                  </w:r>
                </w:p>
              </w:tc>
            </w:tr>
          </w:tbl>
          <w:p w:rsidR="00E17FDA" w:rsidRDefault="00E17FDA" w:rsidP="0058308D">
            <w:pPr>
              <w:pStyle w:val="Figure"/>
            </w:pPr>
          </w:p>
        </w:tc>
      </w:tr>
      <w:tr w:rsidR="00E17FDA" w:rsidRPr="00176D3F" w:rsidTr="0058308D">
        <w:tc>
          <w:tcPr>
            <w:tcW w:w="8771" w:type="dxa"/>
            <w:tcBorders>
              <w:top w:val="nil"/>
              <w:left w:val="nil"/>
              <w:bottom w:val="nil"/>
              <w:right w:val="nil"/>
            </w:tcBorders>
            <w:shd w:val="clear" w:color="auto" w:fill="auto"/>
          </w:tcPr>
          <w:p w:rsidR="00E17FDA" w:rsidRPr="00176D3F" w:rsidRDefault="00E17FDA" w:rsidP="008C23A8">
            <w:pPr>
              <w:pStyle w:val="Note"/>
              <w:keepNext/>
            </w:pPr>
            <w:r w:rsidRPr="002605A8">
              <w:rPr>
                <w:rStyle w:val="NoteLabel"/>
              </w:rPr>
              <w:t>a </w:t>
            </w:r>
            <w:r w:rsidR="005C49C0" w:rsidRPr="005C49C0">
              <w:rPr>
                <w:rStyle w:val="NoteLabel"/>
                <w:b w:val="0"/>
                <w:position w:val="0"/>
              </w:rPr>
              <w:t xml:space="preserve">Jurisdictions provide data where response was provided under emergency conditions (lights and sirens). Data are for both urban and rural services (including land management agencies) and for both career and volunteer services, unless otherwise stated — see </w:t>
            </w:r>
            <w:r w:rsidR="005C49C0">
              <w:rPr>
                <w:rStyle w:val="NoteLabel"/>
                <w:b w:val="0"/>
                <w:position w:val="0"/>
              </w:rPr>
              <w:t xml:space="preserve">tables </w:t>
            </w:r>
            <w:r w:rsidR="004029AC">
              <w:rPr>
                <w:rStyle w:val="NoteLabel"/>
                <w:b w:val="0"/>
                <w:position w:val="0"/>
              </w:rPr>
              <w:t>9A.26</w:t>
            </w:r>
            <w:r w:rsidR="0026487F">
              <w:rPr>
                <w:rStyle w:val="NoteLabel"/>
                <w:b w:val="0"/>
                <w:position w:val="0"/>
              </w:rPr>
              <w:noBreakHyphen/>
            </w:r>
            <w:r w:rsidR="004029AC">
              <w:rPr>
                <w:rStyle w:val="NoteLabel"/>
                <w:b w:val="0"/>
                <w:position w:val="0"/>
              </w:rPr>
              <w:t>27</w:t>
            </w:r>
            <w:r w:rsidR="005C49C0">
              <w:rPr>
                <w:rStyle w:val="NoteLabel"/>
                <w:b w:val="0"/>
                <w:position w:val="0"/>
              </w:rPr>
              <w:t xml:space="preserve"> </w:t>
            </w:r>
            <w:r w:rsidR="005C49C0" w:rsidRPr="005C49C0">
              <w:rPr>
                <w:rStyle w:val="NoteLabel"/>
                <w:b w:val="0"/>
                <w:position w:val="0"/>
              </w:rPr>
              <w:t xml:space="preserve">for caveats. </w:t>
            </w:r>
            <w:r w:rsidR="005C49C0" w:rsidRPr="002605A8">
              <w:rPr>
                <w:rStyle w:val="NoteLabel"/>
              </w:rPr>
              <w:t>b </w:t>
            </w:r>
            <w:r w:rsidR="005C49C0" w:rsidRPr="005C49C0">
              <w:rPr>
                <w:rStyle w:val="NoteLabel"/>
                <w:b w:val="0"/>
                <w:position w:val="0"/>
              </w:rPr>
              <w:t xml:space="preserve">Response times for major cities, regional and remote areas are </w:t>
            </w:r>
            <w:r w:rsidR="000A696C">
              <w:rPr>
                <w:rStyle w:val="NoteLabel"/>
                <w:b w:val="0"/>
                <w:position w:val="0"/>
              </w:rPr>
              <w:t>affected by</w:t>
            </w:r>
            <w:r w:rsidR="005C49C0" w:rsidRPr="005C49C0">
              <w:rPr>
                <w:rStyle w:val="NoteLabel"/>
                <w:b w:val="0"/>
                <w:position w:val="0"/>
              </w:rPr>
              <w:t xml:space="preserve"> a range of factors including geography and personnel mix (including the use of volunteers), which can affect travel time to incidents</w:t>
            </w:r>
            <w:r w:rsidR="000A696C">
              <w:rPr>
                <w:rStyle w:val="NoteLabel"/>
                <w:b w:val="0"/>
                <w:position w:val="0"/>
              </w:rPr>
              <w:t xml:space="preserve"> </w:t>
            </w:r>
            <w:r w:rsidR="000A696C" w:rsidRPr="005C49C0">
              <w:rPr>
                <w:rStyle w:val="NoteLabel"/>
                <w:b w:val="0"/>
                <w:position w:val="0"/>
              </w:rPr>
              <w:t>significant</w:t>
            </w:r>
            <w:r w:rsidR="000A696C">
              <w:rPr>
                <w:rStyle w:val="NoteLabel"/>
                <w:b w:val="0"/>
                <w:position w:val="0"/>
              </w:rPr>
              <w:t>ly</w:t>
            </w:r>
            <w:r w:rsidR="005C49C0" w:rsidRPr="005C49C0">
              <w:rPr>
                <w:rStyle w:val="NoteLabel"/>
                <w:b w:val="0"/>
                <w:position w:val="0"/>
              </w:rPr>
              <w:t>, particularly in remote areas.</w:t>
            </w:r>
            <w:r w:rsidR="003838DA">
              <w:rPr>
                <w:rStyle w:val="NoteLabel"/>
                <w:b w:val="0"/>
                <w:position w:val="0"/>
              </w:rPr>
              <w:t xml:space="preserve"> </w:t>
            </w:r>
            <w:r w:rsidR="00EE0C45">
              <w:rPr>
                <w:rStyle w:val="NoteLabel"/>
              </w:rPr>
              <w:t>c</w:t>
            </w:r>
            <w:r w:rsidR="00EE0C45" w:rsidRPr="002605A8">
              <w:rPr>
                <w:rStyle w:val="NoteLabel"/>
              </w:rPr>
              <w:t> </w:t>
            </w:r>
            <w:r w:rsidR="00EE0C45">
              <w:rPr>
                <w:rStyle w:val="NoteLabel"/>
                <w:b w:val="0"/>
                <w:position w:val="0"/>
              </w:rPr>
              <w:t xml:space="preserve">Vic: </w:t>
            </w:r>
            <w:r w:rsidR="00EE0C45" w:rsidRPr="002605A8">
              <w:rPr>
                <w:rStyle w:val="NoteLabel"/>
                <w:b w:val="0"/>
                <w:position w:val="0"/>
              </w:rPr>
              <w:t xml:space="preserve">Excludes calls attended under </w:t>
            </w:r>
            <w:r w:rsidR="008D537D">
              <w:rPr>
                <w:rStyle w:val="NoteLabel"/>
                <w:b w:val="0"/>
                <w:position w:val="0"/>
              </w:rPr>
              <w:t>the National Response Centre (electrical incidents)</w:t>
            </w:r>
            <w:r w:rsidR="00EE0C45" w:rsidRPr="002605A8">
              <w:rPr>
                <w:rStyle w:val="NoteLabel"/>
                <w:b w:val="0"/>
                <w:position w:val="0"/>
              </w:rPr>
              <w:t>, late notifications, calls with</w:t>
            </w:r>
            <w:r w:rsidR="00EE0C45">
              <w:rPr>
                <w:rStyle w:val="NoteLabel"/>
                <w:b w:val="0"/>
                <w:position w:val="0"/>
              </w:rPr>
              <w:t xml:space="preserve"> Event Create time stamp blank.</w:t>
            </w:r>
            <w:r w:rsidR="00EE0C45">
              <w:rPr>
                <w:rStyle w:val="NoteLabel"/>
              </w:rPr>
              <w:t xml:space="preserve"> d</w:t>
            </w:r>
            <w:r w:rsidRPr="002605A8">
              <w:rPr>
                <w:rStyle w:val="NoteLabel"/>
              </w:rPr>
              <w:t> </w:t>
            </w:r>
            <w:r w:rsidRPr="002605A8">
              <w:rPr>
                <w:rStyle w:val="NoteLabel"/>
                <w:b w:val="0"/>
                <w:position w:val="0"/>
              </w:rPr>
              <w:t xml:space="preserve">Qld: </w:t>
            </w:r>
            <w:r w:rsidR="005C49C0" w:rsidRPr="005C49C0">
              <w:rPr>
                <w:rStyle w:val="NoteLabel"/>
                <w:b w:val="0"/>
                <w:position w:val="0"/>
              </w:rPr>
              <w:t xml:space="preserve">Structure fires within the Urban Service Administrative Areas are included. </w:t>
            </w:r>
            <w:r w:rsidR="000A696C">
              <w:rPr>
                <w:rStyle w:val="NoteLabel"/>
                <w:b w:val="0"/>
                <w:position w:val="0"/>
              </w:rPr>
              <w:t>C</w:t>
            </w:r>
            <w:r w:rsidR="005C49C0" w:rsidRPr="005C49C0">
              <w:rPr>
                <w:rStyle w:val="NoteLabel"/>
                <w:b w:val="0"/>
                <w:position w:val="0"/>
              </w:rPr>
              <w:t xml:space="preserve">alls where </w:t>
            </w:r>
            <w:r w:rsidR="008C23A8">
              <w:t>Queensland Fire and Emergency Service (QFES)</w:t>
            </w:r>
            <w:r w:rsidR="005C49C0" w:rsidRPr="005C49C0">
              <w:rPr>
                <w:rStyle w:val="NoteLabel"/>
                <w:b w:val="0"/>
                <w:position w:val="0"/>
              </w:rPr>
              <w:t xml:space="preserve"> experienced delays due to either extreme weather conditions or where the initial response was by another agency or brigade</w:t>
            </w:r>
            <w:r w:rsidR="000A696C">
              <w:rPr>
                <w:rStyle w:val="NoteLabel"/>
                <w:b w:val="0"/>
                <w:position w:val="0"/>
              </w:rPr>
              <w:t xml:space="preserve"> are excluded</w:t>
            </w:r>
            <w:r w:rsidR="005C49C0" w:rsidRPr="005C49C0">
              <w:rPr>
                <w:rStyle w:val="NoteLabel"/>
                <w:b w:val="0"/>
                <w:position w:val="0"/>
              </w:rPr>
              <w:t xml:space="preserve">. Only primary exposure incidents are included. </w:t>
            </w:r>
            <w:r w:rsidR="00EE0C45">
              <w:rPr>
                <w:rStyle w:val="NoteLabel"/>
              </w:rPr>
              <w:t>e</w:t>
            </w:r>
            <w:r w:rsidRPr="002605A8">
              <w:rPr>
                <w:rStyle w:val="NoteLabel"/>
              </w:rPr>
              <w:t> </w:t>
            </w:r>
            <w:r w:rsidRPr="002605A8">
              <w:rPr>
                <w:rStyle w:val="NoteLabel"/>
                <w:b w:val="0"/>
                <w:position w:val="0"/>
              </w:rPr>
              <w:t>SA: Data including call taking time are not available.</w:t>
            </w:r>
            <w:r w:rsidRPr="002605A8">
              <w:t xml:space="preserve"> </w:t>
            </w:r>
          </w:p>
        </w:tc>
      </w:tr>
      <w:tr w:rsidR="00E17FDA" w:rsidRPr="00176D3F" w:rsidTr="0058308D">
        <w:tc>
          <w:tcPr>
            <w:tcW w:w="8771" w:type="dxa"/>
            <w:tcBorders>
              <w:top w:val="nil"/>
              <w:left w:val="nil"/>
              <w:bottom w:val="nil"/>
              <w:right w:val="nil"/>
            </w:tcBorders>
            <w:shd w:val="clear" w:color="auto" w:fill="auto"/>
          </w:tcPr>
          <w:p w:rsidR="00E17FDA" w:rsidRPr="00176D3F" w:rsidRDefault="00E17FDA" w:rsidP="0058308D">
            <w:pPr>
              <w:pStyle w:val="Source"/>
            </w:pPr>
            <w:r w:rsidRPr="002605A8">
              <w:rPr>
                <w:i/>
              </w:rPr>
              <w:t>Source</w:t>
            </w:r>
            <w:r w:rsidRPr="002605A8">
              <w:t>: State and Territory governments (unpublished); tables </w:t>
            </w:r>
            <w:r w:rsidR="004029AC">
              <w:t>9A.26</w:t>
            </w:r>
            <w:r w:rsidRPr="002605A8">
              <w:t xml:space="preserve"> and </w:t>
            </w:r>
            <w:r w:rsidR="004029AC">
              <w:t>9A.27</w:t>
            </w:r>
            <w:r w:rsidRPr="002605A8">
              <w:t>.</w:t>
            </w:r>
          </w:p>
        </w:tc>
      </w:tr>
      <w:tr w:rsidR="00E17FDA" w:rsidTr="0058308D">
        <w:tc>
          <w:tcPr>
            <w:tcW w:w="8771" w:type="dxa"/>
            <w:tcBorders>
              <w:top w:val="nil"/>
              <w:left w:val="nil"/>
              <w:bottom w:val="single" w:sz="6" w:space="0" w:color="78A22F"/>
              <w:right w:val="nil"/>
            </w:tcBorders>
            <w:shd w:val="clear" w:color="auto" w:fill="auto"/>
          </w:tcPr>
          <w:p w:rsidR="00E17FDA" w:rsidRDefault="00E17FDA" w:rsidP="0058308D">
            <w:pPr>
              <w:pStyle w:val="Figurespace"/>
            </w:pPr>
          </w:p>
        </w:tc>
      </w:tr>
      <w:tr w:rsidR="00E17FDA" w:rsidRPr="000863A5" w:rsidTr="0058308D">
        <w:tc>
          <w:tcPr>
            <w:tcW w:w="8771" w:type="dxa"/>
            <w:tcBorders>
              <w:top w:val="single" w:sz="6" w:space="0" w:color="78A22F"/>
              <w:left w:val="nil"/>
              <w:bottom w:val="nil"/>
              <w:right w:val="nil"/>
            </w:tcBorders>
          </w:tcPr>
          <w:p w:rsidR="00E17FDA" w:rsidRPr="00626D32" w:rsidRDefault="00E17FDA" w:rsidP="0058308D">
            <w:pPr>
              <w:pStyle w:val="BoxSpaceBelow"/>
            </w:pPr>
          </w:p>
        </w:tc>
      </w:tr>
    </w:tbl>
    <w:p w:rsidR="007F2661" w:rsidRPr="001E7A69" w:rsidRDefault="007F2661" w:rsidP="001E7A69">
      <w:pPr>
        <w:pStyle w:val="Heading5"/>
      </w:pPr>
      <w:r w:rsidRPr="001E7A69">
        <w:t xml:space="preserve">Response times to structure fires — </w:t>
      </w:r>
      <w:r w:rsidR="002356C5">
        <w:t>capital city</w:t>
      </w:r>
    </w:p>
    <w:p w:rsidR="00A21959" w:rsidRDefault="007F2661" w:rsidP="001E7A69">
      <w:pPr>
        <w:pStyle w:val="BodyText"/>
      </w:pPr>
      <w:r w:rsidRPr="0054109B">
        <w:t xml:space="preserve">Response times </w:t>
      </w:r>
      <w:r w:rsidR="00A21959">
        <w:t xml:space="preserve">in </w:t>
      </w:r>
      <w:r w:rsidR="00984220">
        <w:t xml:space="preserve">capital cities </w:t>
      </w:r>
      <w:r w:rsidR="00A21959">
        <w:t>are lower than the state</w:t>
      </w:r>
      <w:r w:rsidR="00CC7814">
        <w:noBreakHyphen/>
      </w:r>
      <w:r w:rsidR="00A21959">
        <w:t xml:space="preserve">wide </w:t>
      </w:r>
      <w:r w:rsidR="006D0D63">
        <w:t>responses</w:t>
      </w:r>
      <w:r w:rsidR="00A21959">
        <w:t xml:space="preserve"> for all jurisdictions.</w:t>
      </w:r>
      <w:r w:rsidR="00E61F0B">
        <w:t xml:space="preserve"> </w:t>
      </w:r>
      <w:r w:rsidR="00E61F0B" w:rsidRPr="0054109B">
        <w:t xml:space="preserve">The time within which 90 per cent of the first responding fire appliances arrive at the scene of a structure fire </w:t>
      </w:r>
      <w:r w:rsidR="00E61F0B">
        <w:t>(including call taking time)</w:t>
      </w:r>
      <w:r w:rsidR="001E7A69">
        <w:t xml:space="preserve"> within </w:t>
      </w:r>
      <w:r w:rsidR="00617941">
        <w:t xml:space="preserve">capital cities </w:t>
      </w:r>
      <w:r w:rsidR="00E61F0B" w:rsidRPr="0054109B">
        <w:t xml:space="preserve">ranged </w:t>
      </w:r>
      <w:r w:rsidR="00E61F0B" w:rsidRPr="001E7A69">
        <w:t>across</w:t>
      </w:r>
      <w:r w:rsidR="00E61F0B" w:rsidRPr="0054109B">
        <w:t xml:space="preserve"> jurisdictions from </w:t>
      </w:r>
      <w:r w:rsidR="00B2521B">
        <w:t>9.0</w:t>
      </w:r>
      <w:r w:rsidR="00E4164D" w:rsidRPr="00446594">
        <w:t> minutes</w:t>
      </w:r>
      <w:r w:rsidR="00E61F0B" w:rsidRPr="0054109B">
        <w:t xml:space="preserve"> to</w:t>
      </w:r>
      <w:r w:rsidR="00E61F0B">
        <w:t xml:space="preserve"> </w:t>
      </w:r>
      <w:r w:rsidR="00B2521B">
        <w:t>13.8</w:t>
      </w:r>
      <w:r w:rsidR="00E61F0B" w:rsidRPr="0054109B">
        <w:t xml:space="preserve"> minutes (</w:t>
      </w:r>
      <w:r w:rsidR="007C10AA">
        <w:t>figure</w:t>
      </w:r>
      <w:r w:rsidR="00CE2426">
        <w:t> </w:t>
      </w:r>
      <w:r w:rsidR="00800D6F">
        <w:t>9.11</w:t>
      </w:r>
      <w:r w:rsidR="00E61F0B" w:rsidRPr="0054109B">
        <w:t>).</w:t>
      </w:r>
      <w:r w:rsidR="00E61F0B">
        <w:t xml:space="preserve"> </w:t>
      </w:r>
      <w:r w:rsidR="00E61F0B" w:rsidRPr="00E61F0B">
        <w:t xml:space="preserve">Population density across </w:t>
      </w:r>
      <w:r w:rsidR="00E61F0B" w:rsidRPr="00E61F0B">
        <w:lastRenderedPageBreak/>
        <w:t>Australian capital cities varies considerably and this can impact on response time performance.</w:t>
      </w:r>
    </w:p>
    <w:p w:rsidR="00E17FDA" w:rsidRDefault="00E17FDA" w:rsidP="005830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7FDA" w:rsidTr="0058308D">
        <w:tc>
          <w:tcPr>
            <w:tcW w:w="8771" w:type="dxa"/>
            <w:tcBorders>
              <w:top w:val="single" w:sz="6" w:space="0" w:color="78A22F"/>
              <w:left w:val="nil"/>
              <w:bottom w:val="nil"/>
              <w:right w:val="nil"/>
            </w:tcBorders>
            <w:shd w:val="clear" w:color="auto" w:fill="auto"/>
          </w:tcPr>
          <w:p w:rsidR="00E17FDA" w:rsidRPr="00176D3F" w:rsidRDefault="00E17FDA" w:rsidP="00E17FDA">
            <w:pPr>
              <w:pStyle w:val="FigureTitle"/>
            </w:pPr>
            <w:r w:rsidRPr="00784A05">
              <w:rPr>
                <w:b w:val="0"/>
              </w:rPr>
              <w:t xml:space="preserve">Figure </w:t>
            </w:r>
            <w:bookmarkStart w:id="30" w:name="OLE_LINK18"/>
            <w:r w:rsidR="00B2521B">
              <w:rPr>
                <w:b w:val="0"/>
              </w:rPr>
              <w:t>9.</w:t>
            </w:r>
            <w:r w:rsidR="00D52162">
              <w:rPr>
                <w:b w:val="0"/>
                <w:noProof/>
              </w:rPr>
              <w:t>11</w:t>
            </w:r>
            <w:bookmarkEnd w:id="30"/>
            <w:r>
              <w:tab/>
            </w:r>
            <w:r w:rsidRPr="002605A8">
              <w:t xml:space="preserve">Response times to structure fires, capital cities, </w:t>
            </w:r>
            <w:r w:rsidR="00FA5D77">
              <w:t>2013</w:t>
            </w:r>
            <w:r w:rsidR="0026487F">
              <w:noBreakHyphen/>
            </w:r>
            <w:r w:rsidR="00FA5D77">
              <w:t>14</w:t>
            </w:r>
            <w:r w:rsidRPr="002605A8">
              <w:t>, 90th percentile</w:t>
            </w:r>
            <w:r w:rsidRPr="002605A8">
              <w:rPr>
                <w:rStyle w:val="NoteLabel"/>
                <w:b/>
              </w:rPr>
              <w:t>a, b, c</w:t>
            </w:r>
            <w:r w:rsidR="003838DA">
              <w:rPr>
                <w:rStyle w:val="NoteLabel"/>
                <w:b/>
              </w:rPr>
              <w:t>, d, e</w:t>
            </w:r>
            <w:r w:rsidR="00EE0C45">
              <w:rPr>
                <w:rStyle w:val="NoteLabel"/>
                <w:b/>
              </w:rPr>
              <w:t>, f</w:t>
            </w:r>
          </w:p>
        </w:tc>
      </w:tr>
      <w:tr w:rsidR="00E17FDA" w:rsidTr="0058308D">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E17FDA" w:rsidTr="00677D4D">
              <w:tc>
                <w:tcPr>
                  <w:tcW w:w="5000" w:type="pct"/>
                  <w:tcBorders>
                    <w:top w:val="nil"/>
                    <w:bottom w:val="nil"/>
                  </w:tcBorders>
                </w:tcPr>
                <w:p w:rsidR="00E17FDA" w:rsidRDefault="00D30935" w:rsidP="00E17FDA">
                  <w:pPr>
                    <w:pStyle w:val="Figure"/>
                    <w:spacing w:before="60" w:after="60"/>
                  </w:pPr>
                  <w:r>
                    <w:rPr>
                      <w:noProof/>
                    </w:rPr>
                    <w:drawing>
                      <wp:inline distT="0" distB="0" distL="0" distR="0">
                        <wp:extent cx="5405755" cy="2707640"/>
                        <wp:effectExtent l="0" t="0" r="4445" b="0"/>
                        <wp:docPr id="16" name="Picture 16" descr="Figure 9.11 Response times to structure fires, capital cities, 2013-14,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E17FDA" w:rsidRDefault="00E17FDA" w:rsidP="0058308D">
            <w:pPr>
              <w:pStyle w:val="Figure"/>
            </w:pPr>
          </w:p>
        </w:tc>
      </w:tr>
      <w:tr w:rsidR="00E17FDA" w:rsidRPr="00176D3F" w:rsidTr="0058308D">
        <w:tc>
          <w:tcPr>
            <w:tcW w:w="8771" w:type="dxa"/>
            <w:tcBorders>
              <w:top w:val="nil"/>
              <w:left w:val="nil"/>
              <w:bottom w:val="nil"/>
              <w:right w:val="nil"/>
            </w:tcBorders>
            <w:shd w:val="clear" w:color="auto" w:fill="auto"/>
          </w:tcPr>
          <w:p w:rsidR="00E17FDA" w:rsidRPr="00176D3F" w:rsidRDefault="00E17FDA" w:rsidP="00E45577">
            <w:pPr>
              <w:pStyle w:val="Note"/>
            </w:pPr>
            <w:r w:rsidRPr="002605A8">
              <w:rPr>
                <w:rStyle w:val="NoteLabel"/>
              </w:rPr>
              <w:t>a </w:t>
            </w:r>
            <w:r w:rsidRPr="002605A8">
              <w:rPr>
                <w:rStyle w:val="NoteLabel"/>
                <w:b w:val="0"/>
                <w:position w:val="0"/>
              </w:rPr>
              <w:t xml:space="preserve">Capital cities are calculated as the Major cities ASGC classification for all jurisdictions, other than Tasmania and NT, where the Inner regional (incorporating Hobart and Launceston) and Outer regional (incorporating Darwin) classifications are applied. </w:t>
            </w:r>
            <w:r w:rsidR="003838DA">
              <w:rPr>
                <w:rStyle w:val="NoteLabel"/>
              </w:rPr>
              <w:t>b</w:t>
            </w:r>
            <w:r w:rsidR="003838DA" w:rsidRPr="002605A8">
              <w:rPr>
                <w:rStyle w:val="NoteLabel"/>
              </w:rPr>
              <w:t> </w:t>
            </w:r>
            <w:r w:rsidR="003838DA" w:rsidRPr="005C49C0">
              <w:rPr>
                <w:rStyle w:val="NoteLabel"/>
                <w:b w:val="0"/>
                <w:position w:val="0"/>
              </w:rPr>
              <w:t xml:space="preserve">Jurisdictions provide data where response was provided under emergency conditions (lights and sirens). Data are for both urban and rural services (including land management agencies) and for both career and volunteer services, unless otherwise stated — see </w:t>
            </w:r>
            <w:r w:rsidR="003838DA">
              <w:rPr>
                <w:rStyle w:val="NoteLabel"/>
                <w:b w:val="0"/>
                <w:position w:val="0"/>
              </w:rPr>
              <w:t xml:space="preserve">tables </w:t>
            </w:r>
            <w:r w:rsidR="004029AC">
              <w:rPr>
                <w:rStyle w:val="NoteLabel"/>
                <w:b w:val="0"/>
                <w:position w:val="0"/>
              </w:rPr>
              <w:t>9A.26</w:t>
            </w:r>
            <w:r w:rsidR="0026487F">
              <w:rPr>
                <w:rStyle w:val="NoteLabel"/>
                <w:b w:val="0"/>
                <w:position w:val="0"/>
              </w:rPr>
              <w:noBreakHyphen/>
            </w:r>
            <w:r w:rsidR="004029AC">
              <w:rPr>
                <w:rStyle w:val="NoteLabel"/>
                <w:b w:val="0"/>
                <w:position w:val="0"/>
              </w:rPr>
              <w:t>27</w:t>
            </w:r>
            <w:r w:rsidR="003838DA">
              <w:rPr>
                <w:rStyle w:val="NoteLabel"/>
                <w:b w:val="0"/>
                <w:position w:val="0"/>
              </w:rPr>
              <w:t xml:space="preserve"> </w:t>
            </w:r>
            <w:r w:rsidR="003838DA" w:rsidRPr="005C49C0">
              <w:rPr>
                <w:rStyle w:val="NoteLabel"/>
                <w:b w:val="0"/>
                <w:position w:val="0"/>
              </w:rPr>
              <w:t xml:space="preserve">for caveats. </w:t>
            </w:r>
            <w:r w:rsidR="003838DA">
              <w:rPr>
                <w:rStyle w:val="NoteLabel"/>
              </w:rPr>
              <w:t>c</w:t>
            </w:r>
            <w:r w:rsidR="003838DA" w:rsidRPr="002605A8">
              <w:rPr>
                <w:rStyle w:val="NoteLabel"/>
              </w:rPr>
              <w:t> </w:t>
            </w:r>
            <w:r w:rsidR="003838DA" w:rsidRPr="005C49C0">
              <w:rPr>
                <w:rStyle w:val="NoteLabel"/>
                <w:b w:val="0"/>
                <w:position w:val="0"/>
              </w:rPr>
              <w:t xml:space="preserve">Response times for major cities, regional and remote areas are </w:t>
            </w:r>
            <w:r w:rsidR="000A696C">
              <w:rPr>
                <w:rStyle w:val="NoteLabel"/>
                <w:b w:val="0"/>
                <w:position w:val="0"/>
              </w:rPr>
              <w:t>affected by</w:t>
            </w:r>
            <w:r w:rsidR="003838DA" w:rsidRPr="005C49C0">
              <w:rPr>
                <w:rStyle w:val="NoteLabel"/>
                <w:b w:val="0"/>
                <w:position w:val="0"/>
              </w:rPr>
              <w:t xml:space="preserve"> a range of factors including geography and personnel mix (including the use of volunteers), which can affect travel time to incidents</w:t>
            </w:r>
            <w:r w:rsidR="000A696C">
              <w:rPr>
                <w:rStyle w:val="NoteLabel"/>
                <w:b w:val="0"/>
                <w:position w:val="0"/>
              </w:rPr>
              <w:t xml:space="preserve"> </w:t>
            </w:r>
            <w:r w:rsidR="000A696C" w:rsidRPr="005C49C0">
              <w:rPr>
                <w:rStyle w:val="NoteLabel"/>
                <w:b w:val="0"/>
                <w:position w:val="0"/>
              </w:rPr>
              <w:t>significant</w:t>
            </w:r>
            <w:r w:rsidR="000A696C">
              <w:rPr>
                <w:rStyle w:val="NoteLabel"/>
                <w:b w:val="0"/>
                <w:position w:val="0"/>
              </w:rPr>
              <w:t>ly</w:t>
            </w:r>
            <w:r w:rsidR="003838DA" w:rsidRPr="005C49C0">
              <w:rPr>
                <w:rStyle w:val="NoteLabel"/>
                <w:b w:val="0"/>
                <w:position w:val="0"/>
              </w:rPr>
              <w:t>, particularly in remote areas.</w:t>
            </w:r>
            <w:r w:rsidR="003838DA">
              <w:rPr>
                <w:rStyle w:val="NoteLabel"/>
                <w:b w:val="0"/>
                <w:position w:val="0"/>
              </w:rPr>
              <w:t xml:space="preserve"> </w:t>
            </w:r>
            <w:r w:rsidR="00EE0C45">
              <w:rPr>
                <w:rStyle w:val="NoteLabel"/>
              </w:rPr>
              <w:t>d</w:t>
            </w:r>
            <w:r w:rsidR="00EE0C45" w:rsidRPr="002605A8">
              <w:rPr>
                <w:rStyle w:val="NoteLabel"/>
              </w:rPr>
              <w:t> </w:t>
            </w:r>
            <w:r w:rsidR="00EE0C45">
              <w:rPr>
                <w:rStyle w:val="NoteLabel"/>
                <w:b w:val="0"/>
                <w:position w:val="0"/>
              </w:rPr>
              <w:t xml:space="preserve">Vic: </w:t>
            </w:r>
            <w:r w:rsidR="00BA0625" w:rsidRPr="002605A8">
              <w:rPr>
                <w:rStyle w:val="NoteLabel"/>
                <w:b w:val="0"/>
                <w:position w:val="0"/>
              </w:rPr>
              <w:t xml:space="preserve">Excludes calls attended under </w:t>
            </w:r>
            <w:r w:rsidR="00BA0625">
              <w:rPr>
                <w:rStyle w:val="NoteLabel"/>
                <w:b w:val="0"/>
                <w:position w:val="0"/>
              </w:rPr>
              <w:t>the National Response Centre (electrical incidents)</w:t>
            </w:r>
            <w:r w:rsidR="00BA0625" w:rsidRPr="002605A8">
              <w:rPr>
                <w:rStyle w:val="NoteLabel"/>
                <w:b w:val="0"/>
                <w:position w:val="0"/>
              </w:rPr>
              <w:t>, late notifications, calls with</w:t>
            </w:r>
            <w:r w:rsidR="00BA0625">
              <w:rPr>
                <w:rStyle w:val="NoteLabel"/>
                <w:b w:val="0"/>
                <w:position w:val="0"/>
              </w:rPr>
              <w:t xml:space="preserve"> Event Create time stamp blank.</w:t>
            </w:r>
            <w:r w:rsidR="00BA0625">
              <w:rPr>
                <w:rStyle w:val="NoteLabel"/>
              </w:rPr>
              <w:t xml:space="preserve"> </w:t>
            </w:r>
            <w:r w:rsidR="00EE0C45">
              <w:rPr>
                <w:rStyle w:val="NoteLabel"/>
              </w:rPr>
              <w:t>e </w:t>
            </w:r>
            <w:r w:rsidR="003838DA" w:rsidRPr="002605A8">
              <w:rPr>
                <w:rStyle w:val="NoteLabel"/>
                <w:b w:val="0"/>
                <w:position w:val="0"/>
              </w:rPr>
              <w:t xml:space="preserve">Qld: </w:t>
            </w:r>
            <w:r w:rsidR="003838DA" w:rsidRPr="005C49C0">
              <w:rPr>
                <w:rStyle w:val="NoteLabel"/>
                <w:b w:val="0"/>
                <w:position w:val="0"/>
              </w:rPr>
              <w:t xml:space="preserve">Structure fires within the Urban Service Administrative Areas are included. </w:t>
            </w:r>
            <w:r w:rsidR="000A696C">
              <w:rPr>
                <w:rStyle w:val="NoteLabel"/>
                <w:b w:val="0"/>
                <w:position w:val="0"/>
              </w:rPr>
              <w:t>C</w:t>
            </w:r>
            <w:r w:rsidR="003838DA" w:rsidRPr="005C49C0">
              <w:rPr>
                <w:rStyle w:val="NoteLabel"/>
                <w:b w:val="0"/>
                <w:position w:val="0"/>
              </w:rPr>
              <w:t>alls where QFES experienced delays due to either extreme weather conditions or where the initial response was by another agency or brigade</w:t>
            </w:r>
            <w:r w:rsidR="000A696C">
              <w:rPr>
                <w:rStyle w:val="NoteLabel"/>
                <w:b w:val="0"/>
                <w:position w:val="0"/>
              </w:rPr>
              <w:t xml:space="preserve"> are </w:t>
            </w:r>
            <w:r w:rsidR="000A696C" w:rsidRPr="005C49C0">
              <w:rPr>
                <w:rStyle w:val="NoteLabel"/>
                <w:b w:val="0"/>
                <w:position w:val="0"/>
              </w:rPr>
              <w:t>excluded</w:t>
            </w:r>
            <w:r w:rsidR="003838DA" w:rsidRPr="005C49C0">
              <w:rPr>
                <w:rStyle w:val="NoteLabel"/>
                <w:b w:val="0"/>
                <w:position w:val="0"/>
              </w:rPr>
              <w:t xml:space="preserve">. Only primary exposure incidents are included. </w:t>
            </w:r>
            <w:r w:rsidR="00EE0C45">
              <w:rPr>
                <w:rStyle w:val="NoteLabel"/>
              </w:rPr>
              <w:t>f</w:t>
            </w:r>
            <w:r w:rsidR="003838DA" w:rsidRPr="002605A8">
              <w:rPr>
                <w:rStyle w:val="NoteLabel"/>
              </w:rPr>
              <w:t> </w:t>
            </w:r>
            <w:r w:rsidR="003838DA" w:rsidRPr="002605A8">
              <w:rPr>
                <w:rStyle w:val="NoteLabel"/>
                <w:b w:val="0"/>
                <w:position w:val="0"/>
              </w:rPr>
              <w:t>SA: Data including call taking time are not available.</w:t>
            </w:r>
            <w:r w:rsidRPr="002605A8">
              <w:t xml:space="preserve"> </w:t>
            </w:r>
          </w:p>
        </w:tc>
      </w:tr>
      <w:tr w:rsidR="00E17FDA" w:rsidRPr="00176D3F" w:rsidTr="0058308D">
        <w:tc>
          <w:tcPr>
            <w:tcW w:w="8771" w:type="dxa"/>
            <w:tcBorders>
              <w:top w:val="nil"/>
              <w:left w:val="nil"/>
              <w:bottom w:val="nil"/>
              <w:right w:val="nil"/>
            </w:tcBorders>
            <w:shd w:val="clear" w:color="auto" w:fill="auto"/>
          </w:tcPr>
          <w:p w:rsidR="00E17FDA" w:rsidRPr="00176D3F" w:rsidRDefault="00E17FDA" w:rsidP="0058308D">
            <w:pPr>
              <w:pStyle w:val="Source"/>
            </w:pPr>
            <w:r w:rsidRPr="002605A8">
              <w:rPr>
                <w:i/>
              </w:rPr>
              <w:t>Source</w:t>
            </w:r>
            <w:r w:rsidRPr="002605A8">
              <w:t>: State and Territory governments (unpublished); tables </w:t>
            </w:r>
            <w:r w:rsidR="004029AC">
              <w:t>9A.26</w:t>
            </w:r>
            <w:r w:rsidRPr="002605A8">
              <w:t xml:space="preserve"> and </w:t>
            </w:r>
            <w:r w:rsidR="004029AC">
              <w:t>9A.27</w:t>
            </w:r>
            <w:r w:rsidRPr="002605A8">
              <w:t>.</w:t>
            </w:r>
          </w:p>
        </w:tc>
      </w:tr>
      <w:tr w:rsidR="00E17FDA" w:rsidTr="0058308D">
        <w:tc>
          <w:tcPr>
            <w:tcW w:w="8771" w:type="dxa"/>
            <w:tcBorders>
              <w:top w:val="nil"/>
              <w:left w:val="nil"/>
              <w:bottom w:val="single" w:sz="6" w:space="0" w:color="78A22F"/>
              <w:right w:val="nil"/>
            </w:tcBorders>
            <w:shd w:val="clear" w:color="auto" w:fill="auto"/>
          </w:tcPr>
          <w:p w:rsidR="00E17FDA" w:rsidRDefault="00E17FDA" w:rsidP="0058308D">
            <w:pPr>
              <w:pStyle w:val="Figurespace"/>
            </w:pPr>
          </w:p>
        </w:tc>
      </w:tr>
      <w:tr w:rsidR="00E17FDA" w:rsidRPr="000863A5" w:rsidTr="0058308D">
        <w:tc>
          <w:tcPr>
            <w:tcW w:w="8771" w:type="dxa"/>
            <w:tcBorders>
              <w:top w:val="single" w:sz="6" w:space="0" w:color="78A22F"/>
              <w:left w:val="nil"/>
              <w:bottom w:val="nil"/>
              <w:right w:val="nil"/>
            </w:tcBorders>
          </w:tcPr>
          <w:p w:rsidR="00E17FDA" w:rsidRPr="00626D32" w:rsidRDefault="00E17FDA" w:rsidP="0058308D">
            <w:pPr>
              <w:pStyle w:val="BoxSpaceBelow"/>
            </w:pPr>
          </w:p>
        </w:tc>
      </w:tr>
    </w:tbl>
    <w:p w:rsidR="00E1798D" w:rsidRPr="002C5FB5" w:rsidRDefault="00E1798D" w:rsidP="00E1798D">
      <w:pPr>
        <w:pStyle w:val="Heading5"/>
      </w:pPr>
      <w:r w:rsidRPr="002C5FB5">
        <w:t>Response times to structure fires — remoteness areas</w:t>
      </w:r>
    </w:p>
    <w:p w:rsidR="00E1798D" w:rsidRDefault="000A696C" w:rsidP="00147FBA">
      <w:pPr>
        <w:pStyle w:val="BodyText"/>
      </w:pPr>
      <w:r>
        <w:t>R</w:t>
      </w:r>
      <w:r w:rsidRPr="0054109B">
        <w:t xml:space="preserve">esponse </w:t>
      </w:r>
      <w:r w:rsidR="00E61F0B" w:rsidRPr="0054109B">
        <w:t>times</w:t>
      </w:r>
      <w:r w:rsidR="002E112A">
        <w:t xml:space="preserve"> generally </w:t>
      </w:r>
      <w:r w:rsidR="006D0D63">
        <w:t xml:space="preserve">increase for </w:t>
      </w:r>
      <w:r w:rsidR="00167B11">
        <w:t>all jurisdictions</w:t>
      </w:r>
      <w:r>
        <w:t xml:space="preserve"> in regional and remote areas</w:t>
      </w:r>
      <w:r w:rsidR="00147FBA">
        <w:t xml:space="preserve"> (</w:t>
      </w:r>
      <w:r w:rsidR="00147FBA" w:rsidRPr="00A349F8">
        <w:t>figure</w:t>
      </w:r>
      <w:r w:rsidR="00243CD6">
        <w:t> </w:t>
      </w:r>
      <w:r w:rsidR="00800D6F">
        <w:t>9.12</w:t>
      </w:r>
      <w:r w:rsidR="00E1798D" w:rsidRPr="00A349F8">
        <w:t xml:space="preserve">). </w:t>
      </w:r>
    </w:p>
    <w:p w:rsidR="00E17FDA" w:rsidRDefault="00E17FDA" w:rsidP="005830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7FDA" w:rsidTr="0058308D">
        <w:tc>
          <w:tcPr>
            <w:tcW w:w="8771" w:type="dxa"/>
            <w:tcBorders>
              <w:top w:val="single" w:sz="6" w:space="0" w:color="78A22F"/>
              <w:left w:val="nil"/>
              <w:bottom w:val="nil"/>
              <w:right w:val="nil"/>
            </w:tcBorders>
            <w:shd w:val="clear" w:color="auto" w:fill="auto"/>
          </w:tcPr>
          <w:p w:rsidR="00E17FDA" w:rsidRPr="00176D3F" w:rsidRDefault="00E17FDA" w:rsidP="00E17FDA">
            <w:pPr>
              <w:pStyle w:val="FigureTitle"/>
            </w:pPr>
            <w:r w:rsidRPr="00784A05">
              <w:rPr>
                <w:b w:val="0"/>
              </w:rPr>
              <w:t xml:space="preserve">Figure </w:t>
            </w:r>
            <w:bookmarkStart w:id="31" w:name="OLE_LINK33"/>
            <w:r w:rsidR="00B2521B">
              <w:rPr>
                <w:b w:val="0"/>
              </w:rPr>
              <w:t>9.</w:t>
            </w:r>
            <w:r w:rsidR="00D52162">
              <w:rPr>
                <w:b w:val="0"/>
                <w:noProof/>
              </w:rPr>
              <w:t>12</w:t>
            </w:r>
            <w:bookmarkEnd w:id="31"/>
            <w:r>
              <w:tab/>
            </w:r>
            <w:r w:rsidRPr="002605A8">
              <w:t xml:space="preserve">Response times to structure fires, regional and remote areas, </w:t>
            </w:r>
            <w:r w:rsidR="00FA5D77">
              <w:t>2013</w:t>
            </w:r>
            <w:r w:rsidR="0026487F">
              <w:noBreakHyphen/>
            </w:r>
            <w:r w:rsidR="00FA5D77">
              <w:t>14</w:t>
            </w:r>
            <w:r w:rsidRPr="002605A8">
              <w:t>, 90th percentile</w:t>
            </w:r>
            <w:r w:rsidRPr="002605A8">
              <w:rPr>
                <w:rStyle w:val="NoteLabel"/>
                <w:b/>
              </w:rPr>
              <w:t>a, b, c, d, e</w:t>
            </w:r>
            <w:r>
              <w:rPr>
                <w:rStyle w:val="NoteLabel"/>
                <w:b/>
              </w:rPr>
              <w:t>, f</w:t>
            </w:r>
            <w:r w:rsidR="00BA0625">
              <w:rPr>
                <w:rStyle w:val="NoteLabel"/>
                <w:b/>
              </w:rPr>
              <w:t>, g</w:t>
            </w:r>
          </w:p>
        </w:tc>
      </w:tr>
      <w:tr w:rsidR="00E17FDA" w:rsidTr="0058308D">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E17FDA" w:rsidTr="00677D4D">
              <w:tc>
                <w:tcPr>
                  <w:tcW w:w="5000" w:type="pct"/>
                  <w:tcBorders>
                    <w:top w:val="nil"/>
                    <w:bottom w:val="nil"/>
                  </w:tcBorders>
                </w:tcPr>
                <w:p w:rsidR="00E17FDA" w:rsidRDefault="00D30935" w:rsidP="00E17FDA">
                  <w:pPr>
                    <w:pStyle w:val="Figure"/>
                    <w:spacing w:before="60" w:after="60"/>
                  </w:pPr>
                  <w:r>
                    <w:rPr>
                      <w:noProof/>
                    </w:rPr>
                    <w:drawing>
                      <wp:inline distT="0" distB="0" distL="0" distR="0">
                        <wp:extent cx="5405755" cy="2707640"/>
                        <wp:effectExtent l="0" t="0" r="4445" b="0"/>
                        <wp:docPr id="17" name="Picture 17" descr="Figure 9.12 Response times to structure fires, regional and remote areas, 2013-14,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E17FDA" w:rsidRDefault="00E17FDA" w:rsidP="0058308D">
            <w:pPr>
              <w:pStyle w:val="Figure"/>
            </w:pPr>
          </w:p>
        </w:tc>
      </w:tr>
      <w:tr w:rsidR="00E17FDA" w:rsidRPr="00176D3F" w:rsidTr="0058308D">
        <w:tc>
          <w:tcPr>
            <w:tcW w:w="8771" w:type="dxa"/>
            <w:tcBorders>
              <w:top w:val="nil"/>
              <w:left w:val="nil"/>
              <w:bottom w:val="nil"/>
              <w:right w:val="nil"/>
            </w:tcBorders>
            <w:shd w:val="clear" w:color="auto" w:fill="auto"/>
          </w:tcPr>
          <w:p w:rsidR="00E17FDA" w:rsidRPr="002605A8" w:rsidRDefault="00E17FDA" w:rsidP="00E17FDA">
            <w:pPr>
              <w:pStyle w:val="Note"/>
              <w:rPr>
                <w:rStyle w:val="NoteLabel"/>
                <w:b w:val="0"/>
                <w:position w:val="0"/>
              </w:rPr>
            </w:pPr>
            <w:r w:rsidRPr="002605A8">
              <w:rPr>
                <w:rStyle w:val="NoteLabel"/>
                <w:position w:val="0"/>
              </w:rPr>
              <w:t>IR</w:t>
            </w:r>
            <w:r w:rsidRPr="002605A8">
              <w:rPr>
                <w:rStyle w:val="NoteLabel"/>
                <w:b w:val="0"/>
                <w:position w:val="0"/>
              </w:rPr>
              <w:t xml:space="preserve"> = Inner Regional </w:t>
            </w:r>
            <w:r w:rsidRPr="002605A8">
              <w:rPr>
                <w:rStyle w:val="NoteLabel"/>
                <w:position w:val="0"/>
              </w:rPr>
              <w:t>OR</w:t>
            </w:r>
            <w:r w:rsidRPr="002605A8">
              <w:rPr>
                <w:rStyle w:val="NoteLabel"/>
                <w:b w:val="0"/>
                <w:position w:val="0"/>
              </w:rPr>
              <w:t xml:space="preserve"> = Outer Regional </w:t>
            </w:r>
            <w:r w:rsidRPr="002605A8">
              <w:rPr>
                <w:rStyle w:val="NoteLabel"/>
                <w:position w:val="0"/>
              </w:rPr>
              <w:t>Rem</w:t>
            </w:r>
            <w:r w:rsidRPr="002605A8">
              <w:rPr>
                <w:rStyle w:val="NoteLabel"/>
                <w:b w:val="0"/>
                <w:position w:val="0"/>
              </w:rPr>
              <w:t xml:space="preserve"> = Remote </w:t>
            </w:r>
            <w:r w:rsidRPr="002605A8">
              <w:rPr>
                <w:rStyle w:val="NoteLabel"/>
                <w:position w:val="0"/>
              </w:rPr>
              <w:t>VR</w:t>
            </w:r>
            <w:r w:rsidRPr="002605A8">
              <w:rPr>
                <w:rStyle w:val="NoteLabel"/>
                <w:b w:val="0"/>
                <w:position w:val="0"/>
              </w:rPr>
              <w:t xml:space="preserve"> = Very Remote</w:t>
            </w:r>
          </w:p>
          <w:p w:rsidR="00E17FDA" w:rsidRPr="00176D3F" w:rsidRDefault="00E17FDA" w:rsidP="00BA0625">
            <w:pPr>
              <w:pStyle w:val="Note"/>
            </w:pPr>
            <w:r w:rsidRPr="002605A8">
              <w:rPr>
                <w:rStyle w:val="NoteLabel"/>
              </w:rPr>
              <w:t>a </w:t>
            </w:r>
            <w:r w:rsidRPr="002605A8">
              <w:rPr>
                <w:rStyle w:val="NoteLabel"/>
                <w:b w:val="0"/>
                <w:position w:val="0"/>
              </w:rPr>
              <w:t xml:space="preserve">Regional and remote response times are calculated as the Inner Regional, Outer regional, Remote and Very remote ASGC classification for all jurisdictions, other than Tasmania and NT, where the Inner regional (incorporating Hobart and Launceston) and Outer regional (incorporating Darwin) classifications excluded. </w:t>
            </w:r>
            <w:r w:rsidR="00EE0C45">
              <w:rPr>
                <w:rStyle w:val="NoteLabel"/>
              </w:rPr>
              <w:t>b</w:t>
            </w:r>
            <w:r w:rsidR="00EE0C45" w:rsidRPr="002605A8">
              <w:rPr>
                <w:rStyle w:val="NoteLabel"/>
              </w:rPr>
              <w:t> </w:t>
            </w:r>
            <w:r w:rsidR="00EE0C45" w:rsidRPr="005C49C0">
              <w:rPr>
                <w:rStyle w:val="NoteLabel"/>
                <w:b w:val="0"/>
                <w:position w:val="0"/>
              </w:rPr>
              <w:t xml:space="preserve">Jurisdictions provide data where response was provided under emergency conditions (lights and sirens). Data are for both urban and rural services (including land management agencies) and for both career and volunteer services, unless otherwise stated — see </w:t>
            </w:r>
            <w:r w:rsidR="00EE0C45">
              <w:rPr>
                <w:rStyle w:val="NoteLabel"/>
                <w:b w:val="0"/>
                <w:position w:val="0"/>
              </w:rPr>
              <w:t xml:space="preserve">tables </w:t>
            </w:r>
            <w:r w:rsidR="004029AC">
              <w:rPr>
                <w:rStyle w:val="NoteLabel"/>
                <w:b w:val="0"/>
                <w:position w:val="0"/>
              </w:rPr>
              <w:t>9A.26</w:t>
            </w:r>
            <w:r w:rsidR="0026487F">
              <w:rPr>
                <w:rStyle w:val="NoteLabel"/>
                <w:b w:val="0"/>
                <w:position w:val="0"/>
              </w:rPr>
              <w:noBreakHyphen/>
            </w:r>
            <w:r w:rsidR="004029AC">
              <w:rPr>
                <w:rStyle w:val="NoteLabel"/>
                <w:b w:val="0"/>
                <w:position w:val="0"/>
              </w:rPr>
              <w:t>9A.27</w:t>
            </w:r>
            <w:r w:rsidR="00EE0C45">
              <w:rPr>
                <w:rStyle w:val="NoteLabel"/>
                <w:b w:val="0"/>
                <w:position w:val="0"/>
              </w:rPr>
              <w:t xml:space="preserve"> </w:t>
            </w:r>
            <w:r w:rsidR="00EE0C45" w:rsidRPr="005C49C0">
              <w:rPr>
                <w:rStyle w:val="NoteLabel"/>
                <w:b w:val="0"/>
                <w:position w:val="0"/>
              </w:rPr>
              <w:t xml:space="preserve">for caveats. </w:t>
            </w:r>
            <w:r w:rsidR="00EE0C45">
              <w:rPr>
                <w:rStyle w:val="NoteLabel"/>
              </w:rPr>
              <w:t>c</w:t>
            </w:r>
            <w:r w:rsidR="00EE0C45" w:rsidRPr="002605A8">
              <w:rPr>
                <w:rStyle w:val="NoteLabel"/>
              </w:rPr>
              <w:t> </w:t>
            </w:r>
            <w:r w:rsidR="000A696C" w:rsidRPr="005C49C0">
              <w:rPr>
                <w:rStyle w:val="NoteLabel"/>
                <w:b w:val="0"/>
                <w:position w:val="0"/>
              </w:rPr>
              <w:t xml:space="preserve">Response times for major cities, regional and remote areas are </w:t>
            </w:r>
            <w:r w:rsidR="000A696C">
              <w:rPr>
                <w:rStyle w:val="NoteLabel"/>
                <w:b w:val="0"/>
                <w:position w:val="0"/>
              </w:rPr>
              <w:t>affected by</w:t>
            </w:r>
            <w:r w:rsidR="000A696C" w:rsidRPr="005C49C0">
              <w:rPr>
                <w:rStyle w:val="NoteLabel"/>
                <w:b w:val="0"/>
                <w:position w:val="0"/>
              </w:rPr>
              <w:t xml:space="preserve"> a range of factors including geography and personnel mix (including the use of volunteers), which can affect travel time to incidents</w:t>
            </w:r>
            <w:r w:rsidR="000A696C">
              <w:rPr>
                <w:rStyle w:val="NoteLabel"/>
                <w:b w:val="0"/>
                <w:position w:val="0"/>
              </w:rPr>
              <w:t xml:space="preserve"> </w:t>
            </w:r>
            <w:r w:rsidR="000A696C" w:rsidRPr="005C49C0">
              <w:rPr>
                <w:rStyle w:val="NoteLabel"/>
                <w:b w:val="0"/>
                <w:position w:val="0"/>
              </w:rPr>
              <w:t>significant</w:t>
            </w:r>
            <w:r w:rsidR="000A696C">
              <w:rPr>
                <w:rStyle w:val="NoteLabel"/>
                <w:b w:val="0"/>
                <w:position w:val="0"/>
              </w:rPr>
              <w:t>ly</w:t>
            </w:r>
            <w:r w:rsidR="000A696C" w:rsidRPr="005C49C0">
              <w:rPr>
                <w:rStyle w:val="NoteLabel"/>
                <w:b w:val="0"/>
                <w:position w:val="0"/>
              </w:rPr>
              <w:t>, particularly in remote areas.</w:t>
            </w:r>
            <w:r w:rsidR="000A696C">
              <w:rPr>
                <w:rStyle w:val="NoteLabel"/>
                <w:b w:val="0"/>
                <w:position w:val="0"/>
              </w:rPr>
              <w:t xml:space="preserve"> </w:t>
            </w:r>
            <w:r w:rsidR="000A696C">
              <w:rPr>
                <w:rStyle w:val="NoteLabel"/>
              </w:rPr>
              <w:t>d</w:t>
            </w:r>
            <w:r w:rsidRPr="002605A8">
              <w:rPr>
                <w:rStyle w:val="NoteLabel"/>
              </w:rPr>
              <w:t> </w:t>
            </w:r>
            <w:r w:rsidRPr="002605A8">
              <w:rPr>
                <w:rStyle w:val="NoteLabel"/>
                <w:b w:val="0"/>
                <w:position w:val="0"/>
              </w:rPr>
              <w:t>There are no very remote areas in Victoria. Remote structure fires are rolled into the outer regional classification due to the lo</w:t>
            </w:r>
            <w:r>
              <w:rPr>
                <w:rStyle w:val="NoteLabel"/>
                <w:b w:val="0"/>
                <w:position w:val="0"/>
              </w:rPr>
              <w:t xml:space="preserve">w numbers of events. </w:t>
            </w:r>
            <w:r w:rsidR="00BA0625" w:rsidRPr="002605A8">
              <w:rPr>
                <w:rStyle w:val="NoteLabel"/>
                <w:b w:val="0"/>
                <w:position w:val="0"/>
              </w:rPr>
              <w:t xml:space="preserve">Excludes calls attended under </w:t>
            </w:r>
            <w:r w:rsidR="00BA0625">
              <w:rPr>
                <w:rStyle w:val="NoteLabel"/>
                <w:b w:val="0"/>
                <w:position w:val="0"/>
              </w:rPr>
              <w:t>the National Response Centre (electrical incidents)</w:t>
            </w:r>
            <w:r w:rsidR="00BA0625" w:rsidRPr="002605A8">
              <w:rPr>
                <w:rStyle w:val="NoteLabel"/>
                <w:b w:val="0"/>
                <w:position w:val="0"/>
              </w:rPr>
              <w:t>, late notifications, calls with</w:t>
            </w:r>
            <w:r w:rsidR="00BA0625">
              <w:rPr>
                <w:rStyle w:val="NoteLabel"/>
                <w:b w:val="0"/>
                <w:position w:val="0"/>
              </w:rPr>
              <w:t xml:space="preserve"> Event Create time stamp blank.</w:t>
            </w:r>
            <w:r w:rsidR="00BA0625">
              <w:rPr>
                <w:rStyle w:val="NoteLabel"/>
              </w:rPr>
              <w:t xml:space="preserve"> e</w:t>
            </w:r>
            <w:r w:rsidR="00EE0C45" w:rsidRPr="002605A8">
              <w:rPr>
                <w:rStyle w:val="NoteLabel"/>
              </w:rPr>
              <w:t> </w:t>
            </w:r>
            <w:r w:rsidR="00EE0C45" w:rsidRPr="002605A8">
              <w:rPr>
                <w:rStyle w:val="NoteLabel"/>
                <w:b w:val="0"/>
                <w:position w:val="0"/>
              </w:rPr>
              <w:t xml:space="preserve">Qld: </w:t>
            </w:r>
            <w:r w:rsidR="00EE0C45" w:rsidRPr="005C49C0">
              <w:rPr>
                <w:rStyle w:val="NoteLabel"/>
                <w:b w:val="0"/>
                <w:position w:val="0"/>
              </w:rPr>
              <w:t xml:space="preserve">Structure fires within the Urban Service Administrative Areas are included. </w:t>
            </w:r>
            <w:r w:rsidR="000A696C">
              <w:rPr>
                <w:rStyle w:val="NoteLabel"/>
                <w:b w:val="0"/>
                <w:position w:val="0"/>
              </w:rPr>
              <w:t>C</w:t>
            </w:r>
            <w:r w:rsidR="00EE0C45" w:rsidRPr="005C49C0">
              <w:rPr>
                <w:rStyle w:val="NoteLabel"/>
                <w:b w:val="0"/>
                <w:position w:val="0"/>
              </w:rPr>
              <w:t>alls where QFES experienced delays due to either extreme weather conditions or where the initial response was by another agency or brigade</w:t>
            </w:r>
            <w:r w:rsidR="000A696C">
              <w:rPr>
                <w:rStyle w:val="NoteLabel"/>
                <w:b w:val="0"/>
                <w:position w:val="0"/>
              </w:rPr>
              <w:t xml:space="preserve"> are </w:t>
            </w:r>
            <w:r w:rsidR="000A696C" w:rsidRPr="005C49C0">
              <w:rPr>
                <w:rStyle w:val="NoteLabel"/>
                <w:b w:val="0"/>
                <w:position w:val="0"/>
              </w:rPr>
              <w:t>excluded</w:t>
            </w:r>
            <w:r w:rsidR="00EE0C45" w:rsidRPr="005C49C0">
              <w:rPr>
                <w:rStyle w:val="NoteLabel"/>
                <w:b w:val="0"/>
                <w:position w:val="0"/>
              </w:rPr>
              <w:t xml:space="preserve">. Only primary exposure incidents are included. </w:t>
            </w:r>
            <w:r w:rsidR="00BA0625">
              <w:rPr>
                <w:rStyle w:val="NoteLabel"/>
              </w:rPr>
              <w:t>f</w:t>
            </w:r>
            <w:r w:rsidR="00EE0C45" w:rsidRPr="002605A8">
              <w:rPr>
                <w:rStyle w:val="NoteLabel"/>
              </w:rPr>
              <w:t> </w:t>
            </w:r>
            <w:r w:rsidR="00EE0C45" w:rsidRPr="002605A8">
              <w:rPr>
                <w:rStyle w:val="NoteLabel"/>
                <w:b w:val="0"/>
                <w:position w:val="0"/>
              </w:rPr>
              <w:t>SA: Data including call taking time are not available.</w:t>
            </w:r>
            <w:r w:rsidR="00242F11">
              <w:rPr>
                <w:rStyle w:val="NoteLabel"/>
                <w:b w:val="0"/>
                <w:position w:val="0"/>
              </w:rPr>
              <w:t xml:space="preserve"> </w:t>
            </w:r>
            <w:r w:rsidR="00BA0625">
              <w:rPr>
                <w:rStyle w:val="NoteLabel"/>
              </w:rPr>
              <w:t>g</w:t>
            </w:r>
            <w:r w:rsidRPr="00A90E73">
              <w:rPr>
                <w:rStyle w:val="NoteLabel"/>
              </w:rPr>
              <w:t> </w:t>
            </w:r>
            <w:r w:rsidRPr="00A90E73">
              <w:rPr>
                <w:rStyle w:val="NoteLabel"/>
                <w:b w:val="0"/>
                <w:position w:val="0"/>
              </w:rPr>
              <w:t>ACT: There are no regional or remote areas in the ACT.</w:t>
            </w:r>
          </w:p>
        </w:tc>
      </w:tr>
      <w:tr w:rsidR="00E17FDA" w:rsidRPr="00176D3F" w:rsidTr="0058308D">
        <w:tc>
          <w:tcPr>
            <w:tcW w:w="8771" w:type="dxa"/>
            <w:tcBorders>
              <w:top w:val="nil"/>
              <w:left w:val="nil"/>
              <w:bottom w:val="nil"/>
              <w:right w:val="nil"/>
            </w:tcBorders>
            <w:shd w:val="clear" w:color="auto" w:fill="auto"/>
          </w:tcPr>
          <w:p w:rsidR="00E17FDA" w:rsidRPr="00176D3F" w:rsidRDefault="00E17FDA" w:rsidP="00E17FDA">
            <w:pPr>
              <w:pStyle w:val="Source"/>
            </w:pPr>
            <w:r w:rsidRPr="002605A8">
              <w:rPr>
                <w:i/>
              </w:rPr>
              <w:t>Source</w:t>
            </w:r>
            <w:r w:rsidRPr="002605A8">
              <w:t>: State and Territory governments (unpublished); tables </w:t>
            </w:r>
            <w:r w:rsidR="004029AC">
              <w:t>9A.26</w:t>
            </w:r>
            <w:r w:rsidRPr="002605A8">
              <w:t xml:space="preserve"> and </w:t>
            </w:r>
            <w:r w:rsidR="004029AC">
              <w:t>9A.27</w:t>
            </w:r>
            <w:r w:rsidRPr="002605A8">
              <w:t>.</w:t>
            </w:r>
          </w:p>
        </w:tc>
      </w:tr>
      <w:tr w:rsidR="00E17FDA" w:rsidTr="0058308D">
        <w:tc>
          <w:tcPr>
            <w:tcW w:w="8771" w:type="dxa"/>
            <w:tcBorders>
              <w:top w:val="nil"/>
              <w:left w:val="nil"/>
              <w:bottom w:val="single" w:sz="6" w:space="0" w:color="78A22F"/>
              <w:right w:val="nil"/>
            </w:tcBorders>
            <w:shd w:val="clear" w:color="auto" w:fill="auto"/>
          </w:tcPr>
          <w:p w:rsidR="00E17FDA" w:rsidRDefault="00E17FDA" w:rsidP="0058308D">
            <w:pPr>
              <w:pStyle w:val="Figurespace"/>
            </w:pPr>
          </w:p>
        </w:tc>
      </w:tr>
      <w:tr w:rsidR="00E17FDA" w:rsidRPr="000863A5" w:rsidTr="0058308D">
        <w:tc>
          <w:tcPr>
            <w:tcW w:w="8771" w:type="dxa"/>
            <w:tcBorders>
              <w:top w:val="single" w:sz="6" w:space="0" w:color="78A22F"/>
              <w:left w:val="nil"/>
              <w:bottom w:val="nil"/>
              <w:right w:val="nil"/>
            </w:tcBorders>
          </w:tcPr>
          <w:p w:rsidR="00E17FDA" w:rsidRPr="00626D32" w:rsidRDefault="00E17FDA" w:rsidP="0058308D">
            <w:pPr>
              <w:pStyle w:val="BoxSpaceBelow"/>
            </w:pPr>
          </w:p>
        </w:tc>
      </w:tr>
    </w:tbl>
    <w:p w:rsidR="00C9315B" w:rsidRPr="002C5FB5" w:rsidRDefault="00C9315B" w:rsidP="00A906F6">
      <w:pPr>
        <w:pStyle w:val="BodyText"/>
        <w:spacing w:before="120"/>
      </w:pPr>
      <w:r w:rsidRPr="002C5FB5">
        <w:t>There are many factors that influence remoteness area response times including:</w:t>
      </w:r>
    </w:p>
    <w:p w:rsidR="00C9315B" w:rsidRPr="002C5FB5" w:rsidRDefault="00C9315B" w:rsidP="00C9315B">
      <w:pPr>
        <w:pStyle w:val="ListBullet"/>
      </w:pPr>
      <w:r w:rsidRPr="002C5FB5">
        <w:t xml:space="preserve">land area and population size </w:t>
      </w:r>
    </w:p>
    <w:p w:rsidR="00C9315B" w:rsidRPr="002C5FB5" w:rsidRDefault="00C9315B" w:rsidP="00C9315B">
      <w:pPr>
        <w:pStyle w:val="ListBullet"/>
      </w:pPr>
      <w:r w:rsidRPr="002C5FB5">
        <w:t>the dispersion of the population (particularly rural/urban population proportions), topography, road/transport infrastructure and traffic densities</w:t>
      </w:r>
    </w:p>
    <w:p w:rsidR="00C9315B" w:rsidRDefault="00C9315B" w:rsidP="00C9315B">
      <w:pPr>
        <w:pStyle w:val="ListBullet"/>
      </w:pPr>
      <w:r w:rsidRPr="002C5FB5">
        <w:t>crewing configurations, response systems and processes, and travel distances — for example, some jurisdictions include responses from volunteer stations (often in rural areas) where turnout times are generally longer because volunteers are on call as distinct from being on duty</w:t>
      </w:r>
    </w:p>
    <w:p w:rsidR="00C9315B" w:rsidRPr="002C5FB5" w:rsidRDefault="00C9315B" w:rsidP="00C9315B">
      <w:pPr>
        <w:pStyle w:val="ListBullet"/>
      </w:pPr>
      <w:r>
        <w:t>small numbers in remote and very remote areas can lead to volatility in the response time data (table</w:t>
      </w:r>
      <w:r w:rsidR="00243CD6">
        <w:t> </w:t>
      </w:r>
      <w:r w:rsidR="004029AC">
        <w:t>9A.25</w:t>
      </w:r>
      <w:r>
        <w:t>)</w:t>
      </w:r>
      <w:r w:rsidRPr="002C5FB5">
        <w:t>.</w:t>
      </w:r>
      <w:bookmarkStart w:id="32" w:name="_GoBack"/>
      <w:bookmarkEnd w:id="32"/>
    </w:p>
    <w:p w:rsidR="00986A8B" w:rsidRPr="002C5FB5" w:rsidRDefault="00986A8B" w:rsidP="00986A8B">
      <w:pPr>
        <w:pStyle w:val="Heading4"/>
      </w:pPr>
      <w:r w:rsidRPr="002C5FB5">
        <w:lastRenderedPageBreak/>
        <w:t>Equity and effectiveness — recovery</w:t>
      </w:r>
    </w:p>
    <w:p w:rsidR="00986A8B" w:rsidRDefault="004640B4" w:rsidP="00A90E73">
      <w:pPr>
        <w:pStyle w:val="BodyText"/>
      </w:pPr>
      <w:r>
        <w:t>R</w:t>
      </w:r>
      <w:r w:rsidR="00986A8B" w:rsidRPr="002C5FB5">
        <w:t>ecovery indicators relate to community restoration and to communities’ and fire service organisations’ ability to return to a state of preparedness (box</w:t>
      </w:r>
      <w:r w:rsidR="00C35EA2">
        <w:t> </w:t>
      </w:r>
      <w:r w:rsidR="00800D6F">
        <w:t>9.7</w:t>
      </w:r>
      <w:r w:rsidR="00986A8B" w:rsidRPr="002C5FB5">
        <w:t xml:space="preserve">). </w:t>
      </w:r>
    </w:p>
    <w:p w:rsidR="00E17FDA" w:rsidRDefault="00E17FD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7FDA" w:rsidTr="0058308D">
        <w:tc>
          <w:tcPr>
            <w:tcW w:w="8771" w:type="dxa"/>
            <w:tcBorders>
              <w:top w:val="single" w:sz="6" w:space="0" w:color="78A22F"/>
              <w:left w:val="nil"/>
              <w:bottom w:val="nil"/>
              <w:right w:val="nil"/>
            </w:tcBorders>
            <w:shd w:val="clear" w:color="auto" w:fill="F2F2F2" w:themeFill="background1" w:themeFillShade="F2"/>
          </w:tcPr>
          <w:p w:rsidR="00E17FDA" w:rsidRDefault="00E17FDA" w:rsidP="00E17FDA">
            <w:pPr>
              <w:pStyle w:val="BoxTitle"/>
            </w:pPr>
            <w:r>
              <w:rPr>
                <w:b w:val="0"/>
              </w:rPr>
              <w:t xml:space="preserve">Box </w:t>
            </w:r>
            <w:bookmarkStart w:id="33" w:name="OLE_LINK19"/>
            <w:r w:rsidR="00B2521B">
              <w:rPr>
                <w:b w:val="0"/>
              </w:rPr>
              <w:t>9.</w:t>
            </w:r>
            <w:r w:rsidR="00D52162">
              <w:rPr>
                <w:b w:val="0"/>
                <w:noProof/>
              </w:rPr>
              <w:t>7</w:t>
            </w:r>
            <w:bookmarkEnd w:id="33"/>
            <w:r>
              <w:tab/>
            </w:r>
            <w:r w:rsidRPr="002C5FB5">
              <w:t>Performance indicators — recovery</w:t>
            </w:r>
          </w:p>
        </w:tc>
      </w:tr>
      <w:tr w:rsidR="00E17FDA" w:rsidTr="0058308D">
        <w:trPr>
          <w:cantSplit/>
        </w:trPr>
        <w:tc>
          <w:tcPr>
            <w:tcW w:w="8771" w:type="dxa"/>
            <w:tcBorders>
              <w:top w:val="nil"/>
              <w:left w:val="nil"/>
              <w:bottom w:val="nil"/>
              <w:right w:val="nil"/>
            </w:tcBorders>
            <w:shd w:val="clear" w:color="auto" w:fill="F2F2F2" w:themeFill="background1" w:themeFillShade="F2"/>
          </w:tcPr>
          <w:p w:rsidR="00E17FDA" w:rsidRPr="002C5FB5" w:rsidRDefault="00E17FDA" w:rsidP="0058308D">
            <w:pPr>
              <w:pStyle w:val="Box"/>
            </w:pPr>
            <w:r w:rsidRPr="002C5FB5">
              <w:t>There are two elements to recovery: supporting communities in reconstruction of the physical infrastructure and restoration of emotional, social, economic, ecological and physical wellbeing following a fire event, and return of communities and fire service organisations to a state of preparedness after experiencing a fire event.</w:t>
            </w:r>
          </w:p>
          <w:p w:rsidR="00E17FDA" w:rsidRPr="002C5FB5" w:rsidRDefault="00E17FDA" w:rsidP="0058308D">
            <w:pPr>
              <w:pStyle w:val="Box"/>
            </w:pPr>
            <w:r w:rsidRPr="002C5FB5">
              <w:t>Recovery indicators are identified as a key development area for future reports.</w:t>
            </w:r>
          </w:p>
        </w:tc>
      </w:tr>
      <w:tr w:rsidR="00E17FDA" w:rsidTr="0058308D">
        <w:trPr>
          <w:cantSplit/>
        </w:trPr>
        <w:tc>
          <w:tcPr>
            <w:tcW w:w="8771" w:type="dxa"/>
            <w:tcBorders>
              <w:top w:val="nil"/>
              <w:left w:val="nil"/>
              <w:bottom w:val="single" w:sz="6" w:space="0" w:color="78A22F"/>
              <w:right w:val="nil"/>
            </w:tcBorders>
            <w:shd w:val="clear" w:color="auto" w:fill="F2F2F2" w:themeFill="background1" w:themeFillShade="F2"/>
          </w:tcPr>
          <w:p w:rsidR="00E17FDA" w:rsidRDefault="00E17FDA">
            <w:pPr>
              <w:pStyle w:val="Box"/>
              <w:spacing w:before="0" w:line="120" w:lineRule="exact"/>
            </w:pPr>
          </w:p>
        </w:tc>
      </w:tr>
      <w:tr w:rsidR="00E17FDA" w:rsidRPr="000863A5" w:rsidTr="0058308D">
        <w:tc>
          <w:tcPr>
            <w:tcW w:w="8771" w:type="dxa"/>
            <w:tcBorders>
              <w:top w:val="single" w:sz="6" w:space="0" w:color="78A22F"/>
              <w:left w:val="nil"/>
              <w:bottom w:val="nil"/>
              <w:right w:val="nil"/>
            </w:tcBorders>
          </w:tcPr>
          <w:p w:rsidR="00E17FDA" w:rsidRPr="00626D32" w:rsidRDefault="00E17FDA" w:rsidP="0058308D">
            <w:pPr>
              <w:pStyle w:val="BoxSpaceBelow"/>
            </w:pPr>
          </w:p>
        </w:tc>
      </w:tr>
    </w:tbl>
    <w:p w:rsidR="00986A8B" w:rsidRPr="002C5FB5" w:rsidRDefault="00986A8B" w:rsidP="00D1657B">
      <w:pPr>
        <w:pStyle w:val="Heading4"/>
        <w:spacing w:before="360"/>
      </w:pPr>
      <w:r w:rsidRPr="002C5FB5">
        <w:t>Efficiency</w:t>
      </w:r>
    </w:p>
    <w:p w:rsidR="00986A8B" w:rsidRPr="002C5FB5" w:rsidRDefault="00986A8B" w:rsidP="00857538">
      <w:pPr>
        <w:pStyle w:val="Heading5"/>
        <w:spacing w:before="360"/>
      </w:pPr>
      <w:r w:rsidRPr="002C5FB5">
        <w:t>Fire service organisations</w:t>
      </w:r>
      <w:r w:rsidR="00552CCD">
        <w:t>’</w:t>
      </w:r>
      <w:r w:rsidRPr="002C5FB5">
        <w:t xml:space="preserve"> expenditure per person</w:t>
      </w:r>
    </w:p>
    <w:p w:rsidR="00986A8B" w:rsidRDefault="00986A8B" w:rsidP="00986A8B">
      <w:pPr>
        <w:pStyle w:val="BodyText"/>
      </w:pPr>
      <w:r w:rsidRPr="002C5FB5">
        <w:t>‘Fire service organisations’ expenditure per person’ is a proxy indicator of the efficiency of governments in delivering emergency management services (box</w:t>
      </w:r>
      <w:r w:rsidR="00C35EA2">
        <w:t> </w:t>
      </w:r>
      <w:r w:rsidR="00800D6F">
        <w:t>9.8</w:t>
      </w:r>
      <w:r w:rsidRPr="002C5FB5">
        <w:t xml:space="preserve">). </w:t>
      </w:r>
    </w:p>
    <w:p w:rsidR="00E17FDA" w:rsidRDefault="00E17FD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7FDA" w:rsidTr="0058308D">
        <w:tc>
          <w:tcPr>
            <w:tcW w:w="8771" w:type="dxa"/>
            <w:tcBorders>
              <w:top w:val="single" w:sz="6" w:space="0" w:color="78A22F"/>
              <w:left w:val="nil"/>
              <w:bottom w:val="nil"/>
              <w:right w:val="nil"/>
            </w:tcBorders>
            <w:shd w:val="clear" w:color="auto" w:fill="F2F2F2" w:themeFill="background1" w:themeFillShade="F2"/>
          </w:tcPr>
          <w:p w:rsidR="00E17FDA" w:rsidRDefault="00E17FDA" w:rsidP="00E17FDA">
            <w:pPr>
              <w:pStyle w:val="BoxTitle"/>
            </w:pPr>
            <w:r>
              <w:rPr>
                <w:b w:val="0"/>
              </w:rPr>
              <w:t xml:space="preserve">Box </w:t>
            </w:r>
            <w:bookmarkStart w:id="34" w:name="OLE_LINK20"/>
            <w:r w:rsidR="00B2521B">
              <w:rPr>
                <w:b w:val="0"/>
              </w:rPr>
              <w:t>9.</w:t>
            </w:r>
            <w:r w:rsidR="00D52162">
              <w:rPr>
                <w:b w:val="0"/>
                <w:noProof/>
              </w:rPr>
              <w:t>8</w:t>
            </w:r>
            <w:bookmarkEnd w:id="34"/>
            <w:r>
              <w:tab/>
            </w:r>
            <w:r w:rsidRPr="0007767E">
              <w:t>Fire service organisations’ expenditure per person</w:t>
            </w:r>
          </w:p>
        </w:tc>
      </w:tr>
      <w:tr w:rsidR="00E17FDA" w:rsidTr="0058308D">
        <w:trPr>
          <w:cantSplit/>
        </w:trPr>
        <w:tc>
          <w:tcPr>
            <w:tcW w:w="8771" w:type="dxa"/>
            <w:tcBorders>
              <w:top w:val="nil"/>
              <w:left w:val="nil"/>
              <w:bottom w:val="nil"/>
              <w:right w:val="nil"/>
            </w:tcBorders>
            <w:shd w:val="clear" w:color="auto" w:fill="F2F2F2" w:themeFill="background1" w:themeFillShade="F2"/>
          </w:tcPr>
          <w:p w:rsidR="00E17FDA" w:rsidRPr="002C5FB5" w:rsidRDefault="00E17FDA" w:rsidP="0058308D">
            <w:pPr>
              <w:pStyle w:val="Box"/>
              <w:keepNext w:val="0"/>
              <w:keepLines/>
            </w:pPr>
            <w:r w:rsidRPr="002C5FB5">
              <w:t>‘Fire service organisations’ expenditure per person’ is defined as total fire service organisation expenditure per person in the population.</w:t>
            </w:r>
          </w:p>
          <w:p w:rsidR="008D537D" w:rsidRDefault="008D537D" w:rsidP="0058308D">
            <w:pPr>
              <w:pStyle w:val="Box"/>
              <w:keepNext w:val="0"/>
              <w:keepLines/>
            </w:pPr>
            <w:r w:rsidRPr="002C5FB5">
              <w:t xml:space="preserve">Expenditure per person is employed as a proxy for efficiency. </w:t>
            </w:r>
            <w:r w:rsidR="00E17FDA" w:rsidRPr="002C5FB5">
              <w:t xml:space="preserve">All else being equal, lower expenditure per person represents greater efficiency. However, efficiency data are difficult to interpret. </w:t>
            </w:r>
            <w:r>
              <w:t>For example:</w:t>
            </w:r>
          </w:p>
          <w:p w:rsidR="00AD586C" w:rsidRDefault="00E17FDA" w:rsidP="00AD586C">
            <w:pPr>
              <w:pStyle w:val="BoxListBullet"/>
            </w:pPr>
            <w:r w:rsidRPr="002C5FB5">
              <w:t>high or increasing expenditure per person may reflect deteriorating efficiency</w:t>
            </w:r>
            <w:r w:rsidR="00AD586C">
              <w:t>. Alternatively,</w:t>
            </w:r>
            <w:r w:rsidRPr="002C5FB5">
              <w:t xml:space="preserve"> it may reflect changes in aspects of the service (such as improved response</w:t>
            </w:r>
            <w:r w:rsidR="00AD586C">
              <w:t xml:space="preserve">), increased resourcing for fire </w:t>
            </w:r>
            <w:r w:rsidR="00AD586C" w:rsidRPr="002C5FB5">
              <w:t xml:space="preserve">prevention </w:t>
            </w:r>
            <w:r w:rsidR="00AD586C">
              <w:t xml:space="preserve">or community </w:t>
            </w:r>
            <w:r w:rsidR="00AD586C" w:rsidRPr="002C5FB5">
              <w:t>preparedness</w:t>
            </w:r>
            <w:r w:rsidR="00AD586C">
              <w:t>,</w:t>
            </w:r>
            <w:r w:rsidRPr="002C5FB5">
              <w:t xml:space="preserve"> or the characteristics of fire events (s</w:t>
            </w:r>
            <w:r w:rsidR="00AD586C">
              <w:t>uch as more challenging fires)</w:t>
            </w:r>
          </w:p>
          <w:p w:rsidR="00E17FDA" w:rsidRPr="002C5FB5" w:rsidRDefault="00E17FDA" w:rsidP="00AD586C">
            <w:pPr>
              <w:pStyle w:val="BoxListBullet"/>
            </w:pPr>
            <w:r w:rsidRPr="002C5FB5">
              <w:t>low or declining expenditure per person may reflect improving efficiency</w:t>
            </w:r>
            <w:r w:rsidR="00AD586C">
              <w:t>. Alternatively, it may reflect</w:t>
            </w:r>
            <w:r w:rsidRPr="002C5FB5">
              <w:t xml:space="preserve"> lower quality responses or less challenging fires.</w:t>
            </w:r>
          </w:p>
          <w:p w:rsidR="00E17FDA" w:rsidRPr="002C5FB5" w:rsidRDefault="00E17FDA" w:rsidP="0058308D">
            <w:pPr>
              <w:pStyle w:val="Box"/>
            </w:pPr>
            <w:r w:rsidRPr="002C5FB5">
              <w:t xml:space="preserve">Expenditure per </w:t>
            </w:r>
            <w:r w:rsidRPr="00BA0625">
              <w:t>fire</w:t>
            </w:r>
            <w:r w:rsidRPr="002C5FB5">
              <w:t xml:space="preserve"> is not used as </w:t>
            </w:r>
            <w:r w:rsidR="00BA0625">
              <w:t xml:space="preserve">a measure of efficiency because </w:t>
            </w:r>
            <w:r w:rsidRPr="002C5FB5">
              <w:t xml:space="preserve">an organisation that </w:t>
            </w:r>
            <w:r w:rsidR="00AD586C">
              <w:t xml:space="preserve">works to </w:t>
            </w:r>
            <w:r w:rsidRPr="002C5FB5">
              <w:t>reduce the number of fire incidents could erroneously appear to be less efficient.</w:t>
            </w:r>
          </w:p>
          <w:p w:rsidR="00E17FDA" w:rsidRPr="002C5FB5" w:rsidRDefault="00E17FDA" w:rsidP="0058308D">
            <w:pPr>
              <w:pStyle w:val="Box"/>
            </w:pPr>
            <w:r w:rsidRPr="002C5FB5">
              <w:t>Data reported for this measure are:</w:t>
            </w:r>
          </w:p>
          <w:p w:rsidR="00E17FDA" w:rsidRPr="002C5FB5" w:rsidRDefault="00E17FDA" w:rsidP="0058308D">
            <w:pPr>
              <w:pStyle w:val="BoxListBullet"/>
            </w:pPr>
            <w:r w:rsidRPr="002C5FB5">
              <w:t>comparable (subject to caveats) within jurisdictions over time but are not comparable across jurisdictions</w:t>
            </w:r>
          </w:p>
          <w:p w:rsidR="00E17FDA" w:rsidRPr="002C5FB5" w:rsidRDefault="00E17FDA" w:rsidP="0058308D">
            <w:pPr>
              <w:pStyle w:val="BoxListBullet"/>
            </w:pPr>
            <w:r>
              <w:t>complete (subject to caveats) for the current reporting period</w:t>
            </w:r>
            <w:r w:rsidRPr="002C5FB5">
              <w:t xml:space="preserve">. All required </w:t>
            </w:r>
            <w:r w:rsidR="00FA5D77">
              <w:t>2013</w:t>
            </w:r>
            <w:r w:rsidR="0026487F">
              <w:noBreakHyphen/>
            </w:r>
            <w:r w:rsidR="00FA5D77">
              <w:t>14</w:t>
            </w:r>
            <w:r w:rsidRPr="002C5FB5">
              <w:t xml:space="preserve"> data are available for all jurisdictions.</w:t>
            </w:r>
          </w:p>
          <w:p w:rsidR="00E17FDA" w:rsidRPr="002C5FB5" w:rsidRDefault="009D7B30" w:rsidP="0058308D">
            <w:pPr>
              <w:pStyle w:val="Box"/>
              <w:keepNext w:val="0"/>
              <w:keepLines/>
            </w:pPr>
            <w:r w:rsidRPr="00DA5C22">
              <w:t>Data quality information for this indicator</w:t>
            </w:r>
            <w:r w:rsidR="00DA507A">
              <w:t xml:space="preserve"> is at www.pc.gov.au</w:t>
            </w:r>
            <w:r>
              <w:t>/rogs/2015.</w:t>
            </w:r>
          </w:p>
        </w:tc>
      </w:tr>
      <w:tr w:rsidR="00E17FDA" w:rsidTr="0058308D">
        <w:trPr>
          <w:cantSplit/>
        </w:trPr>
        <w:tc>
          <w:tcPr>
            <w:tcW w:w="8771" w:type="dxa"/>
            <w:tcBorders>
              <w:top w:val="nil"/>
              <w:left w:val="nil"/>
              <w:bottom w:val="single" w:sz="6" w:space="0" w:color="78A22F"/>
              <w:right w:val="nil"/>
            </w:tcBorders>
            <w:shd w:val="clear" w:color="auto" w:fill="F2F2F2" w:themeFill="background1" w:themeFillShade="F2"/>
          </w:tcPr>
          <w:p w:rsidR="00E17FDA" w:rsidRDefault="00E17FDA">
            <w:pPr>
              <w:pStyle w:val="Box"/>
              <w:spacing w:before="0" w:line="120" w:lineRule="exact"/>
            </w:pPr>
          </w:p>
        </w:tc>
      </w:tr>
      <w:tr w:rsidR="00E17FDA" w:rsidRPr="000863A5" w:rsidTr="0058308D">
        <w:tc>
          <w:tcPr>
            <w:tcW w:w="8771" w:type="dxa"/>
            <w:tcBorders>
              <w:top w:val="single" w:sz="6" w:space="0" w:color="78A22F"/>
              <w:left w:val="nil"/>
              <w:bottom w:val="nil"/>
              <w:right w:val="nil"/>
            </w:tcBorders>
          </w:tcPr>
          <w:p w:rsidR="00E17FDA" w:rsidRPr="00626D32" w:rsidRDefault="00E17FDA" w:rsidP="0058308D">
            <w:pPr>
              <w:pStyle w:val="BoxSpaceBelow"/>
            </w:pPr>
          </w:p>
        </w:tc>
      </w:tr>
    </w:tbl>
    <w:p w:rsidR="00986A8B" w:rsidRDefault="00986A8B" w:rsidP="00B5616C">
      <w:pPr>
        <w:pStyle w:val="BodyText"/>
      </w:pPr>
      <w:r w:rsidRPr="002C5FB5">
        <w:lastRenderedPageBreak/>
        <w:t>Nationally</w:t>
      </w:r>
      <w:r w:rsidR="00544183">
        <w:t xml:space="preserve"> in </w:t>
      </w:r>
      <w:r w:rsidR="00FA5D77">
        <w:t>2013</w:t>
      </w:r>
      <w:r w:rsidR="0026487F">
        <w:noBreakHyphen/>
      </w:r>
      <w:r w:rsidR="00FA5D77">
        <w:t>14</w:t>
      </w:r>
      <w:r w:rsidRPr="002C5FB5">
        <w:t>, the total expenditure o</w:t>
      </w:r>
      <w:r w:rsidR="009842F8" w:rsidRPr="002C5FB5">
        <w:t>f</w:t>
      </w:r>
      <w:r w:rsidRPr="002C5FB5">
        <w:t xml:space="preserve"> fire service organisations</w:t>
      </w:r>
      <w:r w:rsidR="00544183">
        <w:t xml:space="preserve"> was $</w:t>
      </w:r>
      <w:r w:rsidR="00B2521B">
        <w:t>3.7</w:t>
      </w:r>
      <w:r w:rsidR="00544183">
        <w:t> billion, or</w:t>
      </w:r>
      <w:r w:rsidRPr="002C5FB5">
        <w:t xml:space="preserve"> </w:t>
      </w:r>
      <w:r w:rsidR="00544183" w:rsidRPr="002C5FB5">
        <w:t>$</w:t>
      </w:r>
      <w:r w:rsidR="00B2521B" w:rsidRPr="00B2521B">
        <w:rPr>
          <w:bCs/>
          <w:lang w:val="en-US"/>
        </w:rPr>
        <w:t>158</w:t>
      </w:r>
      <w:r w:rsidR="00544183" w:rsidRPr="002C5FB5">
        <w:t xml:space="preserve"> </w:t>
      </w:r>
      <w:r w:rsidRPr="002C5FB5">
        <w:t>per person</w:t>
      </w:r>
      <w:r w:rsidR="00BA0625">
        <w:t xml:space="preserve"> in the population</w:t>
      </w:r>
      <w:r w:rsidRPr="002C5FB5">
        <w:t xml:space="preserve"> (</w:t>
      </w:r>
      <w:r w:rsidR="00DA35DC" w:rsidRPr="002C5FB5">
        <w:t>table</w:t>
      </w:r>
      <w:r w:rsidR="00243CD6">
        <w:t> </w:t>
      </w:r>
      <w:r w:rsidR="004029AC">
        <w:t>9A.28</w:t>
      </w:r>
      <w:r w:rsidR="00DA35DC" w:rsidRPr="002C5FB5">
        <w:t>–</w:t>
      </w:r>
      <w:r w:rsidR="004029AC">
        <w:t>29</w:t>
      </w:r>
      <w:r w:rsidR="00DA35DC" w:rsidRPr="002C5FB5">
        <w:t xml:space="preserve"> and </w:t>
      </w:r>
      <w:r w:rsidRPr="002C5FB5">
        <w:t>figure</w:t>
      </w:r>
      <w:r w:rsidR="00C35EA2">
        <w:t> </w:t>
      </w:r>
      <w:r w:rsidR="00800D6F">
        <w:t>9.13</w:t>
      </w:r>
      <w:r w:rsidRPr="002C5FB5">
        <w:t>).</w:t>
      </w:r>
    </w:p>
    <w:p w:rsidR="008D78DA" w:rsidRPr="002C5FB5" w:rsidRDefault="008D78DA" w:rsidP="008D78D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D19D4" w:rsidTr="00132AE7">
        <w:tc>
          <w:tcPr>
            <w:tcW w:w="8771" w:type="dxa"/>
            <w:tcBorders>
              <w:top w:val="single" w:sz="6" w:space="0" w:color="78A22F"/>
              <w:left w:val="nil"/>
              <w:bottom w:val="nil"/>
              <w:right w:val="nil"/>
            </w:tcBorders>
            <w:shd w:val="clear" w:color="auto" w:fill="auto"/>
          </w:tcPr>
          <w:p w:rsidR="004D19D4" w:rsidRPr="00176D3F" w:rsidRDefault="004D19D4" w:rsidP="00E45577">
            <w:pPr>
              <w:pStyle w:val="FigureTitle"/>
            </w:pPr>
            <w:bookmarkStart w:id="35" w:name="_Toc343078115"/>
            <w:bookmarkStart w:id="36" w:name="_Toc343078568"/>
            <w:bookmarkStart w:id="37" w:name="_Toc343078612"/>
            <w:bookmarkStart w:id="38" w:name="_Toc343089203"/>
            <w:r w:rsidRPr="00784A05">
              <w:rPr>
                <w:b w:val="0"/>
              </w:rPr>
              <w:t xml:space="preserve">Figure </w:t>
            </w:r>
            <w:bookmarkStart w:id="39" w:name="OLE_LINK21"/>
            <w:r w:rsidR="00B2521B">
              <w:rPr>
                <w:b w:val="0"/>
              </w:rPr>
              <w:t>9.</w:t>
            </w:r>
            <w:r w:rsidR="00D52162">
              <w:rPr>
                <w:b w:val="0"/>
                <w:noProof/>
              </w:rPr>
              <w:t>13</w:t>
            </w:r>
            <w:bookmarkEnd w:id="39"/>
            <w:r>
              <w:tab/>
            </w:r>
            <w:r w:rsidRPr="002605A8">
              <w:t>Fire service organisations’ expenditure (</w:t>
            </w:r>
            <w:r>
              <w:t>2013</w:t>
            </w:r>
            <w:r w:rsidR="00E45577">
              <w:noBreakHyphen/>
            </w:r>
            <w:r>
              <w:t>14</w:t>
            </w:r>
            <w:r w:rsidRPr="002605A8">
              <w:t> dollars)</w:t>
            </w:r>
            <w:r w:rsidRPr="002605A8">
              <w:rPr>
                <w:rStyle w:val="NoteLabel"/>
                <w:b/>
              </w:rPr>
              <w:t>a,</w:t>
            </w:r>
            <w:r w:rsidR="00E45577">
              <w:rPr>
                <w:rStyle w:val="NoteLabel"/>
                <w:b/>
              </w:rPr>
              <w:t> </w:t>
            </w:r>
            <w:r w:rsidRPr="002605A8">
              <w:rPr>
                <w:rStyle w:val="NoteLabel"/>
                <w:b/>
              </w:rPr>
              <w:t>b,</w:t>
            </w:r>
            <w:r w:rsidR="00E45577">
              <w:rPr>
                <w:rStyle w:val="NoteLabel"/>
                <w:b/>
              </w:rPr>
              <w:t> </w:t>
            </w:r>
            <w:r w:rsidRPr="002605A8">
              <w:rPr>
                <w:rStyle w:val="NoteLabel"/>
                <w:b/>
              </w:rPr>
              <w:t>c,</w:t>
            </w:r>
            <w:r w:rsidR="00E45577">
              <w:rPr>
                <w:rStyle w:val="NoteLabel"/>
                <w:b/>
              </w:rPr>
              <w:t> </w:t>
            </w:r>
            <w:r w:rsidRPr="002605A8">
              <w:rPr>
                <w:rStyle w:val="NoteLabel"/>
                <w:b/>
              </w:rPr>
              <w:t>d</w:t>
            </w:r>
          </w:p>
        </w:tc>
      </w:tr>
      <w:tr w:rsidR="004D19D4" w:rsidTr="00132AE7">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4D19D4" w:rsidTr="00677D4D">
              <w:tc>
                <w:tcPr>
                  <w:tcW w:w="5000" w:type="pct"/>
                  <w:tcBorders>
                    <w:top w:val="nil"/>
                    <w:bottom w:val="nil"/>
                  </w:tcBorders>
                </w:tcPr>
                <w:p w:rsidR="004D19D4" w:rsidRDefault="00D30935" w:rsidP="00132AE7">
                  <w:pPr>
                    <w:pStyle w:val="Figure"/>
                    <w:spacing w:before="60" w:after="60"/>
                  </w:pPr>
                  <w:r>
                    <w:rPr>
                      <w:noProof/>
                    </w:rPr>
                    <w:drawing>
                      <wp:inline distT="0" distB="0" distL="0" distR="0">
                        <wp:extent cx="5405755" cy="2707640"/>
                        <wp:effectExtent l="0" t="0" r="4445" b="0"/>
                        <wp:docPr id="18" name="Picture 18" descr="Figure 9.13 Fire service organisations' expenditure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4D19D4" w:rsidRDefault="004D19D4" w:rsidP="00132AE7">
            <w:pPr>
              <w:pStyle w:val="Figure"/>
            </w:pPr>
          </w:p>
        </w:tc>
      </w:tr>
      <w:tr w:rsidR="004D19D4" w:rsidRPr="00176D3F" w:rsidTr="00132AE7">
        <w:tc>
          <w:tcPr>
            <w:tcW w:w="8771" w:type="dxa"/>
            <w:tcBorders>
              <w:top w:val="nil"/>
              <w:left w:val="nil"/>
              <w:bottom w:val="nil"/>
              <w:right w:val="nil"/>
            </w:tcBorders>
            <w:shd w:val="clear" w:color="auto" w:fill="auto"/>
          </w:tcPr>
          <w:p w:rsidR="004D19D4" w:rsidRPr="00176D3F" w:rsidRDefault="004D19D4" w:rsidP="00612687">
            <w:pPr>
              <w:pStyle w:val="Note"/>
              <w:keepNext/>
            </w:pPr>
            <w:r w:rsidRPr="002605A8">
              <w:rPr>
                <w:rStyle w:val="NoteLabel"/>
              </w:rPr>
              <w:t>a</w:t>
            </w:r>
            <w:r w:rsidRPr="002605A8">
              <w:t> </w:t>
            </w:r>
            <w:r w:rsidR="00BE28FE" w:rsidRPr="00BE28FE">
              <w:t>Time series financial data are adjusted to 2013</w:t>
            </w:r>
            <w:r w:rsidR="0026487F">
              <w:noBreakHyphen/>
            </w:r>
            <w:r w:rsidR="00BE28FE" w:rsidRPr="00BE28FE">
              <w:t>14 dollars using the General Government Final Consumption Expenditure (GGFCE) chain price deflator (2013</w:t>
            </w:r>
            <w:r w:rsidR="0026487F">
              <w:noBreakHyphen/>
            </w:r>
            <w:r w:rsidR="00BE28FE" w:rsidRPr="00BE28FE">
              <w:t>14 = 100) (table 2A.51). See chapter 2 (sections 2.5</w:t>
            </w:r>
            <w:r w:rsidR="0026487F">
              <w:noBreakHyphen/>
            </w:r>
            <w:r w:rsidR="00BE28FE" w:rsidRPr="00BE28FE">
              <w:t>6) for details.</w:t>
            </w:r>
            <w:r w:rsidR="00554D80">
              <w:t xml:space="preserve"> </w:t>
            </w:r>
            <w:r w:rsidR="009D2488" w:rsidRPr="002605A8">
              <w:rPr>
                <w:rStyle w:val="NoteLabel"/>
              </w:rPr>
              <w:t>b</w:t>
            </w:r>
            <w:r w:rsidR="009D2488" w:rsidRPr="002605A8">
              <w:t> </w:t>
            </w:r>
            <w:r w:rsidR="009D2488" w:rsidRPr="00BE28FE">
              <w:t xml:space="preserve">Population data used to derive rates are as at </w:t>
            </w:r>
            <w:r w:rsidR="009D2488">
              <w:t xml:space="preserve">31 December. Estimated Resident Population (ERP) data for 2009 to 2010 </w:t>
            </w:r>
            <w:r w:rsidR="009D2488" w:rsidRPr="00BE28FE">
              <w:t>are final, based on the 2011 Census of Population and Housing. Estimates for 2011 onwards are preliminary. See chapter 2 (table 2A.2) for details.</w:t>
            </w:r>
            <w:r w:rsidR="009D2488" w:rsidRPr="002605A8">
              <w:rPr>
                <w:rStyle w:val="NoteLabel"/>
              </w:rPr>
              <w:t xml:space="preserve"> </w:t>
            </w:r>
            <w:r w:rsidR="00BE28FE" w:rsidRPr="002605A8">
              <w:rPr>
                <w:rStyle w:val="NoteLabel"/>
              </w:rPr>
              <w:t>c</w:t>
            </w:r>
            <w:r w:rsidR="00BE28FE" w:rsidRPr="002605A8">
              <w:t> </w:t>
            </w:r>
            <w:r w:rsidRPr="002605A8">
              <w:t>Figures vary from year to year as a result of abnormal expenditure related to the response to specific major emergencies. (For jurisdiction specific instances see notes to attachment table</w:t>
            </w:r>
            <w:r>
              <w:t> </w:t>
            </w:r>
            <w:r w:rsidR="004029AC">
              <w:t>9A.29</w:t>
            </w:r>
            <w:r w:rsidRPr="002605A8">
              <w:t xml:space="preserve">). </w:t>
            </w:r>
            <w:r w:rsidR="00BE28FE">
              <w:rPr>
                <w:rStyle w:val="NoteLabel"/>
              </w:rPr>
              <w:t>d</w:t>
            </w:r>
            <w:r w:rsidRPr="002605A8">
              <w:t xml:space="preserve"> Financial and activity data are affected by the reporting scope of each jurisdiction’s ‘fire service organisation’. </w:t>
            </w:r>
            <w:r w:rsidR="00BE28FE" w:rsidRPr="00854E63">
              <w:t>See table</w:t>
            </w:r>
            <w:r w:rsidR="00BE28FE">
              <w:t> </w:t>
            </w:r>
            <w:r w:rsidR="00BE28FE" w:rsidRPr="00854E63">
              <w:t xml:space="preserve">9A.3 for details for the scope of </w:t>
            </w:r>
            <w:r w:rsidR="00BE28FE">
              <w:t>jurisdictional reporting, including the impact of machinery of government changes</w:t>
            </w:r>
            <w:r w:rsidR="00BE28FE" w:rsidRPr="00854E63">
              <w:t>.</w:t>
            </w:r>
          </w:p>
        </w:tc>
      </w:tr>
      <w:tr w:rsidR="004D19D4" w:rsidRPr="00176D3F" w:rsidTr="00132AE7">
        <w:tc>
          <w:tcPr>
            <w:tcW w:w="8771" w:type="dxa"/>
            <w:tcBorders>
              <w:top w:val="nil"/>
              <w:left w:val="nil"/>
              <w:bottom w:val="nil"/>
              <w:right w:val="nil"/>
            </w:tcBorders>
            <w:shd w:val="clear" w:color="auto" w:fill="auto"/>
          </w:tcPr>
          <w:p w:rsidR="004D19D4" w:rsidRPr="00176D3F" w:rsidRDefault="004D19D4" w:rsidP="00BE28FE">
            <w:pPr>
              <w:pStyle w:val="Source"/>
            </w:pPr>
            <w:r w:rsidRPr="002605A8">
              <w:rPr>
                <w:i/>
              </w:rPr>
              <w:t>Source</w:t>
            </w:r>
            <w:r w:rsidRPr="002605A8">
              <w:t xml:space="preserve">: </w:t>
            </w:r>
            <w:r w:rsidR="00BE28FE" w:rsidRPr="00854E63">
              <w:t>State and Territory governments (unpublished);</w:t>
            </w:r>
            <w:r w:rsidR="00BE28FE">
              <w:t xml:space="preserve"> ABS (unpublished);</w:t>
            </w:r>
            <w:r w:rsidR="00BE28FE" w:rsidRPr="002605A8">
              <w:t xml:space="preserve"> </w:t>
            </w:r>
            <w:r w:rsidRPr="002605A8">
              <w:t>table </w:t>
            </w:r>
            <w:r w:rsidR="004029AC">
              <w:t>9A.29</w:t>
            </w:r>
            <w:r w:rsidRPr="002605A8">
              <w:t>.</w:t>
            </w:r>
          </w:p>
        </w:tc>
      </w:tr>
      <w:tr w:rsidR="004D19D4" w:rsidTr="00132AE7">
        <w:tc>
          <w:tcPr>
            <w:tcW w:w="8771" w:type="dxa"/>
            <w:tcBorders>
              <w:top w:val="nil"/>
              <w:left w:val="nil"/>
              <w:bottom w:val="single" w:sz="6" w:space="0" w:color="78A22F"/>
              <w:right w:val="nil"/>
            </w:tcBorders>
            <w:shd w:val="clear" w:color="auto" w:fill="auto"/>
          </w:tcPr>
          <w:p w:rsidR="004D19D4" w:rsidRDefault="004D19D4" w:rsidP="00132AE7">
            <w:pPr>
              <w:pStyle w:val="Figurespace"/>
            </w:pPr>
          </w:p>
        </w:tc>
      </w:tr>
      <w:tr w:rsidR="004D19D4" w:rsidRPr="000863A5" w:rsidTr="00132AE7">
        <w:tc>
          <w:tcPr>
            <w:tcW w:w="8771" w:type="dxa"/>
            <w:tcBorders>
              <w:top w:val="single" w:sz="6" w:space="0" w:color="78A22F"/>
              <w:left w:val="nil"/>
              <w:bottom w:val="nil"/>
              <w:right w:val="nil"/>
            </w:tcBorders>
          </w:tcPr>
          <w:p w:rsidR="004D19D4" w:rsidRPr="00626D32" w:rsidRDefault="004D19D4" w:rsidP="00132AE7">
            <w:pPr>
              <w:pStyle w:val="BoxSpaceBelow"/>
            </w:pPr>
          </w:p>
        </w:tc>
      </w:tr>
    </w:tbl>
    <w:p w:rsidR="00D03D2B" w:rsidRPr="0054109B" w:rsidRDefault="00BA0625" w:rsidP="00D03D2B">
      <w:pPr>
        <w:pStyle w:val="BodyText"/>
      </w:pPr>
      <w:r>
        <w:t>D</w:t>
      </w:r>
      <w:r w:rsidR="00D03D2B">
        <w:t xml:space="preserve">ifferent jurisdictions have selected </w:t>
      </w:r>
      <w:r>
        <w:t xml:space="preserve">a range of </w:t>
      </w:r>
      <w:r w:rsidR="00D03D2B">
        <w:t>funding models to provide resourcing to fire service organisations</w:t>
      </w:r>
      <w:r w:rsidR="00D03D2B" w:rsidRPr="0054109B">
        <w:t>.</w:t>
      </w:r>
      <w:r w:rsidR="00D03D2B">
        <w:t xml:space="preserve"> </w:t>
      </w:r>
      <w:r w:rsidR="004D19D4">
        <w:t>T</w:t>
      </w:r>
      <w:r w:rsidR="00D03D2B" w:rsidRPr="0054109B">
        <w:t xml:space="preserve">otal government grants and indirect government funding </w:t>
      </w:r>
      <w:r w:rsidR="00D03D2B">
        <w:t xml:space="preserve">forms a substantial, but not the major, source of funds for </w:t>
      </w:r>
      <w:r w:rsidR="00D03D2B" w:rsidRPr="0054109B">
        <w:t>fire service organisations</w:t>
      </w:r>
      <w:r w:rsidR="00D03D2B">
        <w:t xml:space="preserve">. </w:t>
      </w:r>
      <w:r w:rsidR="004D19D4">
        <w:t>I</w:t>
      </w:r>
      <w:r w:rsidR="00D03D2B" w:rsidRPr="0054109B">
        <w:t xml:space="preserve">n </w:t>
      </w:r>
      <w:r w:rsidR="00FA5D77">
        <w:t>2013</w:t>
      </w:r>
      <w:r w:rsidR="0026487F">
        <w:noBreakHyphen/>
      </w:r>
      <w:r w:rsidR="00FA5D77">
        <w:t>14</w:t>
      </w:r>
      <w:r w:rsidR="00D03D2B" w:rsidRPr="0054109B">
        <w:t xml:space="preserve">, </w:t>
      </w:r>
      <w:r w:rsidR="00D03D2B">
        <w:t>g</w:t>
      </w:r>
      <w:r w:rsidR="00D03D2B" w:rsidRPr="0054109B">
        <w:t>overnment grants and indirect government funding per person was $</w:t>
      </w:r>
      <w:r w:rsidR="008C1F96" w:rsidRPr="008C1F96">
        <w:rPr>
          <w:bCs/>
          <w:lang w:val="en-US"/>
        </w:rPr>
        <w:t>57.45</w:t>
      </w:r>
      <w:r w:rsidR="00D03D2B" w:rsidRPr="00697DA6">
        <w:t xml:space="preserve"> </w:t>
      </w:r>
      <w:r w:rsidR="004D19D4">
        <w:t xml:space="preserve">nationally </w:t>
      </w:r>
      <w:r w:rsidR="00D03D2B" w:rsidRPr="00697DA6">
        <w:t>(</w:t>
      </w:r>
      <w:r w:rsidR="008C1F96" w:rsidRPr="008C1F96">
        <w:rPr>
          <w:bCs/>
          <w:lang w:val="en-US"/>
        </w:rPr>
        <w:t>36.9</w:t>
      </w:r>
      <w:r w:rsidR="00D03D2B" w:rsidRPr="0054109B">
        <w:t> per cent of total funding for fire service organisations)</w:t>
      </w:r>
      <w:r w:rsidR="00D03D2B">
        <w:t xml:space="preserve"> (figure</w:t>
      </w:r>
      <w:r w:rsidR="00C35EA2">
        <w:t> </w:t>
      </w:r>
      <w:r w:rsidR="00800D6F">
        <w:t>9.14</w:t>
      </w:r>
      <w:r w:rsidR="00D03D2B">
        <w:t>)</w:t>
      </w:r>
      <w:r w:rsidR="00D03D2B" w:rsidRPr="0054109B">
        <w:t xml:space="preserve">. </w:t>
      </w:r>
    </w:p>
    <w:p w:rsidR="00D03D2B" w:rsidRPr="00585062" w:rsidRDefault="00D03D2B" w:rsidP="00D03D2B">
      <w:pPr>
        <w:pStyle w:val="BodyText"/>
      </w:pPr>
      <w:r w:rsidRPr="0054109B">
        <w:t>Nationally</w:t>
      </w:r>
      <w:r>
        <w:t xml:space="preserve">, </w:t>
      </w:r>
      <w:r w:rsidRPr="0054109B">
        <w:t xml:space="preserve">levies </w:t>
      </w:r>
      <w:r>
        <w:t xml:space="preserve">are the largest source of fire service organisation revenue at </w:t>
      </w:r>
      <w:r w:rsidRPr="0054109B">
        <w:t>$</w:t>
      </w:r>
      <w:r w:rsidR="008C1F96" w:rsidRPr="008C1F96">
        <w:rPr>
          <w:bCs/>
          <w:lang w:val="en-US"/>
        </w:rPr>
        <w:t>85.24</w:t>
      </w:r>
      <w:r w:rsidRPr="0054109B">
        <w:t xml:space="preserve"> per person </w:t>
      </w:r>
      <w:r>
        <w:t xml:space="preserve">in the population </w:t>
      </w:r>
      <w:r w:rsidRPr="0054109B">
        <w:t xml:space="preserve">in </w:t>
      </w:r>
      <w:r w:rsidR="00FA5D77">
        <w:t>2013</w:t>
      </w:r>
      <w:r w:rsidR="0026487F">
        <w:noBreakHyphen/>
      </w:r>
      <w:r w:rsidR="00FA5D77">
        <w:t>14</w:t>
      </w:r>
      <w:r w:rsidRPr="0054109B">
        <w:t xml:space="preserve"> </w:t>
      </w:r>
      <w:r>
        <w:t>(</w:t>
      </w:r>
      <w:r w:rsidR="008C1F96">
        <w:t>54.8</w:t>
      </w:r>
      <w:r>
        <w:t> per cent of total funding)</w:t>
      </w:r>
      <w:r w:rsidRPr="0054109B">
        <w:t>. Fire levies were raised from levies on property owners or, in some jurisdictions, from levies on both insurance companies and property ow</w:t>
      </w:r>
      <w:r w:rsidRPr="00585062">
        <w:t xml:space="preserve">ners </w:t>
      </w:r>
      <w:r>
        <w:t>(table </w:t>
      </w:r>
      <w:r w:rsidR="004029AC">
        <w:t>9A.30</w:t>
      </w:r>
      <w:r w:rsidRPr="00585062">
        <w:t>).</w:t>
      </w:r>
    </w:p>
    <w:p w:rsidR="00D03D2B" w:rsidRPr="0054109B" w:rsidRDefault="00D03D2B" w:rsidP="00D03D2B">
      <w:pPr>
        <w:pStyle w:val="BodyText"/>
        <w:rPr>
          <w:b/>
        </w:rPr>
      </w:pPr>
      <w:r w:rsidRPr="0054109B">
        <w:t>Relatively minor contributions are raised from user charges and miscellaneous revenue.</w:t>
      </w:r>
    </w:p>
    <w:p w:rsidR="00900716" w:rsidRDefault="00900716" w:rsidP="0058308D">
      <w:pPr>
        <w:pStyle w:val="BoxSpaceAbove"/>
      </w:pPr>
      <w:bookmarkStart w:id="40" w:name="_Toc343078116"/>
      <w:bookmarkStart w:id="41" w:name="_Toc343078569"/>
      <w:bookmarkStart w:id="42" w:name="_Toc343078613"/>
      <w:bookmarkStart w:id="43" w:name="_Toc343089204"/>
      <w:bookmarkEnd w:id="35"/>
      <w:bookmarkEnd w:id="36"/>
      <w:bookmarkEnd w:id="37"/>
      <w:bookmarkEnd w:id="38"/>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00716" w:rsidTr="0058308D">
        <w:tc>
          <w:tcPr>
            <w:tcW w:w="8771" w:type="dxa"/>
            <w:tcBorders>
              <w:top w:val="single" w:sz="6" w:space="0" w:color="78A22F"/>
              <w:left w:val="nil"/>
              <w:bottom w:val="nil"/>
              <w:right w:val="nil"/>
            </w:tcBorders>
            <w:shd w:val="clear" w:color="auto" w:fill="auto"/>
          </w:tcPr>
          <w:p w:rsidR="00900716" w:rsidRPr="00176D3F" w:rsidRDefault="00900716" w:rsidP="00900716">
            <w:pPr>
              <w:pStyle w:val="FigureTitle"/>
            </w:pPr>
            <w:r w:rsidRPr="00784A05">
              <w:rPr>
                <w:b w:val="0"/>
              </w:rPr>
              <w:t xml:space="preserve">Figure </w:t>
            </w:r>
            <w:bookmarkStart w:id="44" w:name="OLE_LINK22"/>
            <w:r w:rsidR="00B2521B">
              <w:rPr>
                <w:b w:val="0"/>
              </w:rPr>
              <w:t>9.</w:t>
            </w:r>
            <w:r w:rsidR="00D52162">
              <w:rPr>
                <w:b w:val="0"/>
                <w:noProof/>
              </w:rPr>
              <w:t>14</w:t>
            </w:r>
            <w:bookmarkEnd w:id="44"/>
            <w:r>
              <w:tab/>
            </w:r>
            <w:r w:rsidRPr="002605A8">
              <w:t xml:space="preserve">Fire service organisation funding </w:t>
            </w:r>
            <w:r>
              <w:t>(</w:t>
            </w:r>
            <w:r w:rsidR="00FA5D77">
              <w:t>2013</w:t>
            </w:r>
            <w:r w:rsidR="0026487F">
              <w:noBreakHyphen/>
            </w:r>
            <w:r w:rsidR="00FA5D77">
              <w:t>14</w:t>
            </w:r>
            <w:r>
              <w:t> dollars</w:t>
            </w:r>
            <w:r w:rsidRPr="002605A8">
              <w:t>)</w:t>
            </w:r>
            <w:r>
              <w:rPr>
                <w:rStyle w:val="NoteLabel"/>
                <w:b/>
              </w:rPr>
              <w:t>a, b, c</w:t>
            </w:r>
            <w:r w:rsidR="00BA0625">
              <w:rPr>
                <w:rStyle w:val="NoteLabel"/>
                <w:b/>
              </w:rPr>
              <w:t>, d</w:t>
            </w:r>
          </w:p>
        </w:tc>
      </w:tr>
      <w:tr w:rsidR="00900716" w:rsidTr="0058308D">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900716" w:rsidTr="00677D4D">
              <w:tc>
                <w:tcPr>
                  <w:tcW w:w="5000" w:type="pct"/>
                  <w:tcBorders>
                    <w:top w:val="nil"/>
                    <w:bottom w:val="nil"/>
                  </w:tcBorders>
                </w:tcPr>
                <w:p w:rsidR="00900716" w:rsidRDefault="00D30935" w:rsidP="00900716">
                  <w:pPr>
                    <w:pStyle w:val="Figure"/>
                    <w:spacing w:before="60" w:after="60"/>
                  </w:pPr>
                  <w:r>
                    <w:rPr>
                      <w:noProof/>
                    </w:rPr>
                    <w:drawing>
                      <wp:inline distT="0" distB="0" distL="0" distR="0">
                        <wp:extent cx="5405755" cy="2886710"/>
                        <wp:effectExtent l="0" t="0" r="4445" b="8890"/>
                        <wp:docPr id="19" name="Picture 19" descr="Figure 9.14 Fire service organisation funding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5755" cy="2886710"/>
                                </a:xfrm>
                                <a:prstGeom prst="rect">
                                  <a:avLst/>
                                </a:prstGeom>
                                <a:noFill/>
                                <a:ln>
                                  <a:noFill/>
                                </a:ln>
                              </pic:spPr>
                            </pic:pic>
                          </a:graphicData>
                        </a:graphic>
                      </wp:inline>
                    </w:drawing>
                  </w:r>
                </w:p>
              </w:tc>
            </w:tr>
          </w:tbl>
          <w:p w:rsidR="00900716" w:rsidRDefault="00900716" w:rsidP="0058308D">
            <w:pPr>
              <w:pStyle w:val="Figure"/>
            </w:pPr>
          </w:p>
        </w:tc>
      </w:tr>
      <w:tr w:rsidR="00900716" w:rsidRPr="00176D3F" w:rsidTr="0058308D">
        <w:tc>
          <w:tcPr>
            <w:tcW w:w="8771" w:type="dxa"/>
            <w:tcBorders>
              <w:top w:val="nil"/>
              <w:left w:val="nil"/>
              <w:bottom w:val="nil"/>
              <w:right w:val="nil"/>
            </w:tcBorders>
            <w:shd w:val="clear" w:color="auto" w:fill="auto"/>
          </w:tcPr>
          <w:p w:rsidR="00BE28FE" w:rsidRPr="00BE28FE" w:rsidRDefault="00BE28FE" w:rsidP="002170AE">
            <w:pPr>
              <w:pStyle w:val="Note"/>
            </w:pPr>
            <w:r w:rsidRPr="002605A8">
              <w:rPr>
                <w:rStyle w:val="NoteLabel"/>
              </w:rPr>
              <w:t>a</w:t>
            </w:r>
            <w:r w:rsidRPr="002605A8">
              <w:t> </w:t>
            </w:r>
            <w:r w:rsidRPr="00BE28FE">
              <w:t>Time series financial data are adjusted to 2013</w:t>
            </w:r>
            <w:r w:rsidR="0026487F">
              <w:noBreakHyphen/>
            </w:r>
            <w:r w:rsidRPr="00BE28FE">
              <w:t>14 dollars using the General Government Final Consumption Expenditure (GGFCE) chain price deflator (2013</w:t>
            </w:r>
            <w:r w:rsidR="0026487F">
              <w:noBreakHyphen/>
            </w:r>
            <w:r w:rsidRPr="00BE28FE">
              <w:t>14 = 100) (table 2A.51). See chapter 2 (sections 2.5</w:t>
            </w:r>
            <w:r w:rsidR="0026487F">
              <w:noBreakHyphen/>
            </w:r>
            <w:r w:rsidRPr="00BE28FE">
              <w:t>6) for details.</w:t>
            </w:r>
            <w:r>
              <w:t xml:space="preserve"> </w:t>
            </w:r>
            <w:r w:rsidRPr="002605A8">
              <w:rPr>
                <w:rStyle w:val="NoteLabel"/>
              </w:rPr>
              <w:t>b</w:t>
            </w:r>
            <w:r w:rsidRPr="002605A8">
              <w:t> </w:t>
            </w:r>
            <w:r w:rsidRPr="00BE28FE">
              <w:t xml:space="preserve">Population data used to derive rates are as at </w:t>
            </w:r>
            <w:r w:rsidR="00F33424">
              <w:t xml:space="preserve">31 December. Estimated Resident Population (ERP) data for </w:t>
            </w:r>
            <w:r w:rsidR="00D32E9E">
              <w:t>2009 to 2010</w:t>
            </w:r>
            <w:r w:rsidR="00F33424">
              <w:t xml:space="preserve"> </w:t>
            </w:r>
            <w:r w:rsidRPr="00BE28FE">
              <w:t>are final, based on the 2011 Census of Population and Housing. Estimates for 2011 onwards are preliminary. See chapter 2 (table 2A.2) for details.</w:t>
            </w:r>
            <w:r w:rsidRPr="002605A8">
              <w:rPr>
                <w:rStyle w:val="NoteLabel"/>
              </w:rPr>
              <w:t xml:space="preserve"> c</w:t>
            </w:r>
            <w:r w:rsidRPr="002605A8">
              <w:t xml:space="preserve"> Figures vary from year to year as a result of abnormal </w:t>
            </w:r>
            <w:r w:rsidR="00D32F89">
              <w:t>funding</w:t>
            </w:r>
            <w:r w:rsidRPr="002605A8">
              <w:t xml:space="preserve"> related to the response to specific major emergencies. (For jurisdiction specific instances see notes to attachment table</w:t>
            </w:r>
            <w:r>
              <w:t> </w:t>
            </w:r>
            <w:r w:rsidR="004029AC">
              <w:t>9A.30</w:t>
            </w:r>
            <w:r w:rsidRPr="002605A8">
              <w:t xml:space="preserve">). </w:t>
            </w:r>
            <w:r>
              <w:rPr>
                <w:rStyle w:val="NoteLabel"/>
              </w:rPr>
              <w:t>d</w:t>
            </w:r>
            <w:r w:rsidRPr="002605A8">
              <w:t xml:space="preserve"> Financial and activity data are affected by the reporting scope of each jurisdiction’s ‘fire service organisation’. </w:t>
            </w:r>
            <w:r w:rsidRPr="00854E63">
              <w:t>See table</w:t>
            </w:r>
            <w:r>
              <w:t> </w:t>
            </w:r>
            <w:r w:rsidRPr="00854E63">
              <w:t xml:space="preserve">9A.3 for details for the scope of </w:t>
            </w:r>
            <w:r>
              <w:t>jurisdictional reporting, including the impact of machinery of government changes</w:t>
            </w:r>
            <w:r w:rsidRPr="00854E63">
              <w:t>.</w:t>
            </w:r>
            <w:r w:rsidR="00F17379">
              <w:t xml:space="preserve"> </w:t>
            </w:r>
            <w:r w:rsidR="00F17379" w:rsidRPr="00446594">
              <w:rPr>
                <w:rStyle w:val="NoteLabel"/>
              </w:rPr>
              <w:t>e</w:t>
            </w:r>
            <w:r w:rsidR="00F17379" w:rsidRPr="00446594">
              <w:t xml:space="preserve"> Total levies in ACT and the NT </w:t>
            </w:r>
            <w:r w:rsidR="002170AE" w:rsidRPr="00446594">
              <w:t xml:space="preserve">are </w:t>
            </w:r>
            <w:r w:rsidR="00F17379" w:rsidRPr="00446594">
              <w:t>nil.</w:t>
            </w:r>
          </w:p>
        </w:tc>
      </w:tr>
      <w:tr w:rsidR="00900716" w:rsidRPr="00176D3F" w:rsidTr="0058308D">
        <w:tc>
          <w:tcPr>
            <w:tcW w:w="8771" w:type="dxa"/>
            <w:tcBorders>
              <w:top w:val="nil"/>
              <w:left w:val="nil"/>
              <w:bottom w:val="nil"/>
              <w:right w:val="nil"/>
            </w:tcBorders>
            <w:shd w:val="clear" w:color="auto" w:fill="auto"/>
          </w:tcPr>
          <w:p w:rsidR="00900716" w:rsidRPr="00176D3F" w:rsidRDefault="00900716" w:rsidP="0058308D">
            <w:pPr>
              <w:pStyle w:val="Source"/>
            </w:pPr>
            <w:r w:rsidRPr="002605A8">
              <w:rPr>
                <w:i/>
              </w:rPr>
              <w:t>Source</w:t>
            </w:r>
            <w:r w:rsidRPr="002605A8">
              <w:t xml:space="preserve">: </w:t>
            </w:r>
            <w:r w:rsidR="00BE28FE" w:rsidRPr="00854E63">
              <w:t>State and Territory governments (unpublished);</w:t>
            </w:r>
            <w:r w:rsidR="00BE28FE">
              <w:t xml:space="preserve"> ABS (unpublished);</w:t>
            </w:r>
            <w:r w:rsidR="00BE28FE" w:rsidRPr="002605A8">
              <w:t xml:space="preserve"> </w:t>
            </w:r>
            <w:r w:rsidRPr="002605A8">
              <w:t>table </w:t>
            </w:r>
            <w:r w:rsidR="004029AC">
              <w:t>9A.30</w:t>
            </w:r>
            <w:r w:rsidRPr="002605A8">
              <w:t>.</w:t>
            </w:r>
          </w:p>
        </w:tc>
      </w:tr>
      <w:tr w:rsidR="00900716" w:rsidTr="0058308D">
        <w:tc>
          <w:tcPr>
            <w:tcW w:w="8771" w:type="dxa"/>
            <w:tcBorders>
              <w:top w:val="nil"/>
              <w:left w:val="nil"/>
              <w:bottom w:val="single" w:sz="6" w:space="0" w:color="78A22F"/>
              <w:right w:val="nil"/>
            </w:tcBorders>
            <w:shd w:val="clear" w:color="auto" w:fill="auto"/>
          </w:tcPr>
          <w:p w:rsidR="00900716" w:rsidRDefault="00900716" w:rsidP="0058308D">
            <w:pPr>
              <w:pStyle w:val="Figurespace"/>
            </w:pPr>
          </w:p>
        </w:tc>
      </w:tr>
      <w:tr w:rsidR="00900716" w:rsidRPr="000863A5" w:rsidTr="0058308D">
        <w:tc>
          <w:tcPr>
            <w:tcW w:w="8771" w:type="dxa"/>
            <w:tcBorders>
              <w:top w:val="single" w:sz="6" w:space="0" w:color="78A22F"/>
              <w:left w:val="nil"/>
              <w:bottom w:val="nil"/>
              <w:right w:val="nil"/>
            </w:tcBorders>
          </w:tcPr>
          <w:p w:rsidR="00900716" w:rsidRPr="00626D32" w:rsidRDefault="00900716" w:rsidP="0058308D">
            <w:pPr>
              <w:pStyle w:val="BoxSpaceBelow"/>
            </w:pPr>
          </w:p>
        </w:tc>
      </w:tr>
    </w:tbl>
    <w:bookmarkEnd w:id="40"/>
    <w:bookmarkEnd w:id="41"/>
    <w:bookmarkEnd w:id="42"/>
    <w:bookmarkEnd w:id="43"/>
    <w:p w:rsidR="00986A8B" w:rsidRPr="0054109B" w:rsidRDefault="00986A8B" w:rsidP="003012BF">
      <w:pPr>
        <w:pStyle w:val="Heading3"/>
      </w:pPr>
      <w:r w:rsidRPr="0054109B">
        <w:t>Outcomes</w:t>
      </w:r>
    </w:p>
    <w:p w:rsidR="00986A8B" w:rsidRPr="0054109B" w:rsidRDefault="00986A8B" w:rsidP="00986A8B">
      <w:pPr>
        <w:pStyle w:val="BodyText"/>
      </w:pPr>
      <w:r w:rsidRPr="0054109B">
        <w:t>Outcomes are the impact of services on the status of an individual or group (while outputs are the services delivered) (chapter 1, section 1.5). Caution should be exercised in interpreting data for some indicators, given the significant fluctuations from year to year, particularly for jurisdictions with relatively small populations.</w:t>
      </w:r>
    </w:p>
    <w:p w:rsidR="00986A8B" w:rsidRPr="0054109B" w:rsidRDefault="00986A8B" w:rsidP="00BA0625">
      <w:pPr>
        <w:pStyle w:val="Heading5"/>
      </w:pPr>
      <w:r w:rsidRPr="0054109B">
        <w:t>Fire death rate</w:t>
      </w:r>
    </w:p>
    <w:p w:rsidR="00986A8B" w:rsidRDefault="00986A8B" w:rsidP="00986A8B">
      <w:pPr>
        <w:pStyle w:val="BodyText"/>
      </w:pPr>
      <w:r w:rsidRPr="0054109B">
        <w:t>‘Fire death rate’ is an indicator of governments’ objective to minimise the adverse effects of fire events on the community and enhance public safety (box</w:t>
      </w:r>
      <w:r w:rsidR="00C35EA2">
        <w:t> </w:t>
      </w:r>
      <w:r w:rsidR="00800D6F">
        <w:t>9.9</w:t>
      </w:r>
      <w:r w:rsidRPr="0054109B">
        <w:t>).</w:t>
      </w:r>
    </w:p>
    <w:p w:rsidR="0057215E" w:rsidRDefault="0057215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215E" w:rsidTr="00D54DD2">
        <w:tc>
          <w:tcPr>
            <w:tcW w:w="8771" w:type="dxa"/>
            <w:tcBorders>
              <w:top w:val="single" w:sz="6" w:space="0" w:color="78A22F"/>
              <w:left w:val="nil"/>
              <w:bottom w:val="nil"/>
              <w:right w:val="nil"/>
            </w:tcBorders>
            <w:shd w:val="clear" w:color="auto" w:fill="F2F2F2" w:themeFill="background1" w:themeFillShade="F2"/>
          </w:tcPr>
          <w:p w:rsidR="0057215E" w:rsidRDefault="0057215E" w:rsidP="0057215E">
            <w:pPr>
              <w:pStyle w:val="BoxTitle"/>
            </w:pPr>
            <w:r>
              <w:rPr>
                <w:b w:val="0"/>
              </w:rPr>
              <w:t xml:space="preserve">Box </w:t>
            </w:r>
            <w:bookmarkStart w:id="45" w:name="OLE_LINK23"/>
            <w:r w:rsidR="00B2521B">
              <w:rPr>
                <w:b w:val="0"/>
              </w:rPr>
              <w:t>9.</w:t>
            </w:r>
            <w:r w:rsidR="00D52162">
              <w:rPr>
                <w:b w:val="0"/>
                <w:noProof/>
              </w:rPr>
              <w:t>9</w:t>
            </w:r>
            <w:bookmarkEnd w:id="45"/>
            <w:r>
              <w:tab/>
            </w:r>
            <w:r w:rsidRPr="0054109B">
              <w:t>Fire death rate</w:t>
            </w:r>
          </w:p>
        </w:tc>
      </w:tr>
      <w:tr w:rsidR="0057215E" w:rsidTr="00D54DD2">
        <w:trPr>
          <w:cantSplit/>
        </w:trPr>
        <w:tc>
          <w:tcPr>
            <w:tcW w:w="8771" w:type="dxa"/>
            <w:tcBorders>
              <w:top w:val="nil"/>
              <w:left w:val="nil"/>
              <w:bottom w:val="nil"/>
              <w:right w:val="nil"/>
            </w:tcBorders>
            <w:shd w:val="clear" w:color="auto" w:fill="F2F2F2" w:themeFill="background1" w:themeFillShade="F2"/>
          </w:tcPr>
          <w:p w:rsidR="0057215E" w:rsidRPr="0054109B" w:rsidRDefault="0057215E" w:rsidP="00D54DD2">
            <w:pPr>
              <w:pStyle w:val="Box"/>
              <w:keepNext w:val="0"/>
            </w:pPr>
            <w:r w:rsidRPr="0054109B">
              <w:t>‘Fire death rate’ is defined by two measures:</w:t>
            </w:r>
          </w:p>
          <w:p w:rsidR="0057215E" w:rsidRPr="0060182A" w:rsidRDefault="0057215E" w:rsidP="00D54DD2">
            <w:pPr>
              <w:pStyle w:val="BoxListBullet"/>
            </w:pPr>
            <w:r>
              <w:t>annual fire death rate —</w:t>
            </w:r>
            <w:r w:rsidRPr="0054109B">
              <w:t xml:space="preserve"> all deaths</w:t>
            </w:r>
            <w:r>
              <w:t>,</w:t>
            </w:r>
            <w:r w:rsidRPr="0054109B">
              <w:t xml:space="preserve"> </w:t>
            </w:r>
            <w:r w:rsidRPr="0060182A">
              <w:t>per million people</w:t>
            </w:r>
            <w:r>
              <w:t xml:space="preserve">, </w:t>
            </w:r>
            <w:r w:rsidRPr="0054109B">
              <w:t>whose underlying cause of death is fire related to smoke, fire and flames, including all (structure and landscape) fires</w:t>
            </w:r>
            <w:r w:rsidRPr="0060182A">
              <w:t xml:space="preserve"> </w:t>
            </w:r>
          </w:p>
          <w:p w:rsidR="0057215E" w:rsidRPr="0054109B" w:rsidRDefault="0057215E" w:rsidP="00D54DD2">
            <w:pPr>
              <w:pStyle w:val="BoxListBullet"/>
            </w:pPr>
            <w:r>
              <w:t>l</w:t>
            </w:r>
            <w:r w:rsidRPr="0060182A">
              <w:t>andscape fire death</w:t>
            </w:r>
            <w:r>
              <w:t xml:space="preserve"> rate —</w:t>
            </w:r>
            <w:r w:rsidRPr="0060182A">
              <w:t xml:space="preserve"> deaths resulting from a landscape fires</w:t>
            </w:r>
            <w:r>
              <w:t xml:space="preserve"> only</w:t>
            </w:r>
            <w:r w:rsidRPr="0060182A">
              <w:t xml:space="preserve"> (such as bushfires)</w:t>
            </w:r>
            <w:r>
              <w:t>,</w:t>
            </w:r>
            <w:r w:rsidRPr="0060182A">
              <w:t xml:space="preserve"> excluding self</w:t>
            </w:r>
            <w:r>
              <w:noBreakHyphen/>
            </w:r>
            <w:r w:rsidRPr="0060182A">
              <w:t>harm deaths</w:t>
            </w:r>
            <w:r>
              <w:t xml:space="preserve">, </w:t>
            </w:r>
            <w:r w:rsidRPr="0060182A">
              <w:t>per million people</w:t>
            </w:r>
            <w:r>
              <w:t>.</w:t>
            </w:r>
          </w:p>
          <w:p w:rsidR="0057215E" w:rsidRPr="0054109B" w:rsidRDefault="0057215E" w:rsidP="00D54DD2">
            <w:pPr>
              <w:pStyle w:val="Box"/>
              <w:keepNext w:val="0"/>
              <w:ind w:right="-138"/>
            </w:pPr>
            <w:r w:rsidRPr="0054109B">
              <w:t>A low or decreasing fire death rate represents a better outcome.</w:t>
            </w:r>
          </w:p>
          <w:p w:rsidR="0057215E" w:rsidRDefault="0057215E" w:rsidP="00D54DD2">
            <w:pPr>
              <w:pStyle w:val="Box"/>
            </w:pPr>
            <w:r w:rsidRPr="0054109B">
              <w:t xml:space="preserve">The annual fire death rate </w:t>
            </w:r>
            <w:r>
              <w:t xml:space="preserve">and the </w:t>
            </w:r>
            <w:r w:rsidRPr="0054109B">
              <w:t>landscape fire death rate differ according to:</w:t>
            </w:r>
          </w:p>
          <w:p w:rsidR="0057215E" w:rsidRPr="0054109B" w:rsidRDefault="0057215E" w:rsidP="00D54DD2">
            <w:pPr>
              <w:pStyle w:val="BoxListBullet"/>
            </w:pPr>
            <w:r>
              <w:t>source — the annual fire death rate is sourced from</w:t>
            </w:r>
            <w:r w:rsidRPr="0054109B">
              <w:t xml:space="preserve"> </w:t>
            </w:r>
            <w:r w:rsidRPr="00576DF8">
              <w:rPr>
                <w:i/>
              </w:rPr>
              <w:t xml:space="preserve">Causes of Death, </w:t>
            </w:r>
            <w:r w:rsidRPr="0060182A">
              <w:rPr>
                <w:i/>
              </w:rPr>
              <w:t xml:space="preserve">Australia </w:t>
            </w:r>
            <w:r w:rsidRPr="0060182A">
              <w:t>(ABS 201</w:t>
            </w:r>
            <w:r w:rsidR="002E7D83">
              <w:t>4</w:t>
            </w:r>
            <w:r w:rsidRPr="0060182A">
              <w:t>)</w:t>
            </w:r>
            <w:r>
              <w:t>. The l</w:t>
            </w:r>
            <w:r w:rsidRPr="0054109B">
              <w:t xml:space="preserve">andscape </w:t>
            </w:r>
            <w:r>
              <w:t xml:space="preserve">fire </w:t>
            </w:r>
            <w:r w:rsidRPr="0054109B">
              <w:t xml:space="preserve">death </w:t>
            </w:r>
            <w:r>
              <w:t xml:space="preserve">rate is provided by </w:t>
            </w:r>
            <w:r w:rsidRPr="0054109B">
              <w:t xml:space="preserve">the Australasian Fire and Emergency Service </w:t>
            </w:r>
            <w:r w:rsidRPr="0060182A">
              <w:t>Authorities</w:t>
            </w:r>
            <w:r w:rsidRPr="0054109B">
              <w:t xml:space="preserve"> Council</w:t>
            </w:r>
            <w:r>
              <w:t xml:space="preserve">, which source data </w:t>
            </w:r>
            <w:r w:rsidRPr="0054109B">
              <w:t xml:space="preserve">from media </w:t>
            </w:r>
            <w:r>
              <w:t xml:space="preserve">and </w:t>
            </w:r>
            <w:r w:rsidRPr="0054109B">
              <w:t xml:space="preserve">agency reports, </w:t>
            </w:r>
            <w:proofErr w:type="spellStart"/>
            <w:r w:rsidRPr="0054109B">
              <w:t>PerilAus</w:t>
            </w:r>
            <w:proofErr w:type="spellEnd"/>
            <w:r w:rsidRPr="0054109B">
              <w:t xml:space="preserve"> from Risk Frontiers</w:t>
            </w:r>
            <w:r>
              <w:t>,</w:t>
            </w:r>
            <w:r w:rsidRPr="0054109B">
              <w:t xml:space="preserve"> and the Nation</w:t>
            </w:r>
            <w:r>
              <w:t>al Coroners’ Information System</w:t>
            </w:r>
            <w:r w:rsidRPr="0054109B">
              <w:t xml:space="preserve"> </w:t>
            </w:r>
          </w:p>
          <w:p w:rsidR="0057215E" w:rsidRPr="0054109B" w:rsidRDefault="0057215E" w:rsidP="00D54DD2">
            <w:pPr>
              <w:pStyle w:val="BoxListBullet"/>
            </w:pPr>
            <w:r w:rsidRPr="0054109B">
              <w:t xml:space="preserve">fire type — </w:t>
            </w:r>
            <w:r>
              <w:t xml:space="preserve">all fire types versus </w:t>
            </w:r>
            <w:r w:rsidRPr="0054109B">
              <w:t>landscape fire</w:t>
            </w:r>
            <w:r>
              <w:t>s only (such as bushfires)</w:t>
            </w:r>
          </w:p>
          <w:p w:rsidR="0057215E" w:rsidRPr="0054109B" w:rsidRDefault="0057215E" w:rsidP="00D54DD2">
            <w:pPr>
              <w:pStyle w:val="BoxListBullet"/>
              <w:rPr>
                <w:i/>
              </w:rPr>
            </w:pPr>
            <w:r w:rsidRPr="0054109B">
              <w:t>location</w:t>
            </w:r>
            <w:r>
              <w:t xml:space="preserve"> </w:t>
            </w:r>
            <w:r w:rsidRPr="0054109B">
              <w:rPr>
                <w:szCs w:val="26"/>
              </w:rPr>
              <w:t>— the landscape fire death rate records the location according to the location of the fire (not res</w:t>
            </w:r>
            <w:r>
              <w:rPr>
                <w:szCs w:val="26"/>
              </w:rPr>
              <w:t>idential address of the victim)</w:t>
            </w:r>
          </w:p>
          <w:p w:rsidR="0057215E" w:rsidRPr="0054109B" w:rsidRDefault="0057215E" w:rsidP="00D54DD2">
            <w:pPr>
              <w:pStyle w:val="BoxListBullet"/>
            </w:pPr>
            <w:r w:rsidRPr="0054109B">
              <w:t>cause of death</w:t>
            </w:r>
            <w:r w:rsidRPr="0054109B">
              <w:rPr>
                <w:szCs w:val="26"/>
              </w:rPr>
              <w:t xml:space="preserve"> — </w:t>
            </w:r>
            <w:r>
              <w:rPr>
                <w:szCs w:val="26"/>
              </w:rPr>
              <w:t xml:space="preserve">in addition to </w:t>
            </w:r>
            <w:r w:rsidRPr="0054109B">
              <w:rPr>
                <w:szCs w:val="26"/>
              </w:rPr>
              <w:t>death</w:t>
            </w:r>
            <w:r>
              <w:rPr>
                <w:szCs w:val="26"/>
              </w:rPr>
              <w:t>s</w:t>
            </w:r>
            <w:r w:rsidRPr="0054109B">
              <w:rPr>
                <w:szCs w:val="26"/>
              </w:rPr>
              <w:t xml:space="preserve"> primarily caused due to smoke, fire and flames</w:t>
            </w:r>
            <w:r>
              <w:rPr>
                <w:szCs w:val="26"/>
              </w:rPr>
              <w:t>, t</w:t>
            </w:r>
            <w:r w:rsidRPr="0054109B">
              <w:rPr>
                <w:szCs w:val="26"/>
              </w:rPr>
              <w:t xml:space="preserve">he landscape fire death rate includes deaths that may have resulted from the landscape fire, but whose primary cause may be related to other factors (such as the onset of a stress related coronary death or from attempting to flee fire). </w:t>
            </w:r>
          </w:p>
          <w:p w:rsidR="0057215E" w:rsidRDefault="0057215E" w:rsidP="00D54DD2">
            <w:pPr>
              <w:pStyle w:val="Box"/>
              <w:keepNext w:val="0"/>
              <w:ind w:right="-138"/>
            </w:pPr>
            <w:r>
              <w:t>Data for these measures are:</w:t>
            </w:r>
          </w:p>
          <w:p w:rsidR="0057215E" w:rsidRPr="00764BB9" w:rsidRDefault="0057215E" w:rsidP="00D54DD2">
            <w:pPr>
              <w:pStyle w:val="BoxListBullet"/>
            </w:pPr>
            <w:r w:rsidRPr="00764BB9">
              <w:t>comparable (subject to caveats) across jurisdictions and over time</w:t>
            </w:r>
          </w:p>
          <w:p w:rsidR="0057215E" w:rsidRPr="0054109B" w:rsidRDefault="0057215E" w:rsidP="00D54DD2">
            <w:pPr>
              <w:pStyle w:val="BoxListBullet"/>
            </w:pPr>
            <w:r>
              <w:t>complete (subject to caveats) for the current reporting period</w:t>
            </w:r>
            <w:r w:rsidRPr="0052371F">
              <w:t xml:space="preserve">. All required </w:t>
            </w:r>
            <w:r w:rsidR="00FA5D77">
              <w:t>2013</w:t>
            </w:r>
            <w:r w:rsidR="0026487F">
              <w:noBreakHyphen/>
            </w:r>
            <w:r w:rsidR="00FA5D77">
              <w:t>14</w:t>
            </w:r>
            <w:r>
              <w:t xml:space="preserve"> </w:t>
            </w:r>
            <w:r w:rsidRPr="0052371F">
              <w:t>data are available for all jurisdictions.</w:t>
            </w:r>
          </w:p>
          <w:p w:rsidR="0057215E" w:rsidRPr="0054109B" w:rsidRDefault="0057215E" w:rsidP="00D54DD2">
            <w:pPr>
              <w:pStyle w:val="Box"/>
              <w:keepNext w:val="0"/>
              <w:ind w:right="-138"/>
            </w:pPr>
            <w:r w:rsidRPr="0054109B">
              <w:t>Data quality information for this indicator</w:t>
            </w:r>
            <w:r w:rsidR="00DA507A">
              <w:t xml:space="preserve"> is at www.pc.gov.au</w:t>
            </w:r>
            <w:r w:rsidR="00992CC1">
              <w:t>/rogs/2015</w:t>
            </w:r>
            <w:r>
              <w:t>.</w:t>
            </w:r>
          </w:p>
        </w:tc>
      </w:tr>
      <w:tr w:rsidR="0057215E" w:rsidTr="00D54DD2">
        <w:trPr>
          <w:cantSplit/>
        </w:trPr>
        <w:tc>
          <w:tcPr>
            <w:tcW w:w="8771" w:type="dxa"/>
            <w:tcBorders>
              <w:top w:val="nil"/>
              <w:left w:val="nil"/>
              <w:bottom w:val="single" w:sz="6" w:space="0" w:color="78A22F"/>
              <w:right w:val="nil"/>
            </w:tcBorders>
            <w:shd w:val="clear" w:color="auto" w:fill="F2F2F2" w:themeFill="background1" w:themeFillShade="F2"/>
          </w:tcPr>
          <w:p w:rsidR="0057215E" w:rsidRDefault="0057215E">
            <w:pPr>
              <w:pStyle w:val="Box"/>
              <w:spacing w:before="0" w:line="120" w:lineRule="exact"/>
            </w:pPr>
          </w:p>
        </w:tc>
      </w:tr>
      <w:tr w:rsidR="0057215E" w:rsidRPr="000863A5" w:rsidTr="00D54DD2">
        <w:tc>
          <w:tcPr>
            <w:tcW w:w="8771" w:type="dxa"/>
            <w:tcBorders>
              <w:top w:val="single" w:sz="6" w:space="0" w:color="78A22F"/>
              <w:left w:val="nil"/>
              <w:bottom w:val="nil"/>
              <w:right w:val="nil"/>
            </w:tcBorders>
          </w:tcPr>
          <w:p w:rsidR="0057215E" w:rsidRPr="00626D32" w:rsidRDefault="0057215E" w:rsidP="00D54DD2">
            <w:pPr>
              <w:pStyle w:val="BoxSpaceBelow"/>
            </w:pPr>
          </w:p>
        </w:tc>
      </w:tr>
    </w:tbl>
    <w:p w:rsidR="00986A8B" w:rsidRPr="0054109B" w:rsidRDefault="007B1765" w:rsidP="004B1BC1">
      <w:pPr>
        <w:pStyle w:val="Heading5"/>
      </w:pPr>
      <w:r w:rsidRPr="0054109B">
        <w:t xml:space="preserve">Fire death rate — </w:t>
      </w:r>
      <w:r w:rsidR="00986A8B" w:rsidRPr="0054109B">
        <w:t>Annual fire death rate</w:t>
      </w:r>
    </w:p>
    <w:p w:rsidR="00986A8B" w:rsidRDefault="00986A8B" w:rsidP="00E04D8D">
      <w:pPr>
        <w:pStyle w:val="BodyText"/>
      </w:pPr>
      <w:r w:rsidRPr="0054109B">
        <w:t xml:space="preserve">The annual fire death rate was </w:t>
      </w:r>
      <w:r w:rsidR="00B2521B" w:rsidRPr="00B2521B">
        <w:rPr>
          <w:bCs/>
          <w:lang w:val="en-US"/>
        </w:rPr>
        <w:t>4.3</w:t>
      </w:r>
      <w:r w:rsidRPr="00F61213">
        <w:t xml:space="preserve"> deaths per million people in 20</w:t>
      </w:r>
      <w:r w:rsidR="003B68D3" w:rsidRPr="00F61213">
        <w:t>1</w:t>
      </w:r>
      <w:r w:rsidR="008D78DA">
        <w:t>2</w:t>
      </w:r>
      <w:r w:rsidRPr="00F61213">
        <w:t xml:space="preserve"> </w:t>
      </w:r>
      <w:r w:rsidR="00C0791C" w:rsidRPr="00F61213">
        <w:t>(</w:t>
      </w:r>
      <w:r w:rsidR="00675701">
        <w:t xml:space="preserve">98 </w:t>
      </w:r>
      <w:r w:rsidR="00C0791C" w:rsidRPr="00F61213">
        <w:t xml:space="preserve">fire deaths) </w:t>
      </w:r>
      <w:r w:rsidR="0097146D">
        <w:t xml:space="preserve">a </w:t>
      </w:r>
      <w:r w:rsidR="004D74D6">
        <w:t>de</w:t>
      </w:r>
      <w:r w:rsidR="0097146D">
        <w:t>crease</w:t>
      </w:r>
      <w:r w:rsidRPr="00F61213">
        <w:t xml:space="preserve"> from </w:t>
      </w:r>
      <w:r w:rsidR="00B2521B" w:rsidRPr="00B2521B">
        <w:rPr>
          <w:bCs/>
          <w:lang w:val="en-US"/>
        </w:rPr>
        <w:t>5.6</w:t>
      </w:r>
      <w:r w:rsidRPr="00F61213">
        <w:t xml:space="preserve"> deaths per million people in 20</w:t>
      </w:r>
      <w:r w:rsidR="004753B8" w:rsidRPr="00F61213">
        <w:t>1</w:t>
      </w:r>
      <w:r w:rsidR="008D78DA">
        <w:t>1</w:t>
      </w:r>
      <w:r w:rsidR="00386323">
        <w:t xml:space="preserve"> (figure</w:t>
      </w:r>
      <w:r w:rsidR="00C35EA2">
        <w:t> </w:t>
      </w:r>
      <w:r w:rsidR="00800D6F">
        <w:t>9.15</w:t>
      </w:r>
      <w:r w:rsidR="00386323">
        <w:t>)</w:t>
      </w:r>
      <w:r w:rsidRPr="00F61213">
        <w:t xml:space="preserve">. </w:t>
      </w:r>
      <w:r w:rsidR="0097146D">
        <w:t xml:space="preserve">Nationally, </w:t>
      </w:r>
      <w:r w:rsidR="0097146D" w:rsidRPr="00F61213">
        <w:t xml:space="preserve">exposure </w:t>
      </w:r>
      <w:r w:rsidRPr="00F61213">
        <w:t xml:space="preserve">to smoke, fire and flames accounted for </w:t>
      </w:r>
      <w:r w:rsidR="0097146D">
        <w:t xml:space="preserve">the majority of </w:t>
      </w:r>
      <w:r w:rsidR="00675701">
        <w:t xml:space="preserve">fire </w:t>
      </w:r>
      <w:r w:rsidR="0097146D">
        <w:t>deaths in 201</w:t>
      </w:r>
      <w:r w:rsidR="008D78DA">
        <w:t>2</w:t>
      </w:r>
      <w:r w:rsidR="0097146D">
        <w:t xml:space="preserve"> (</w:t>
      </w:r>
      <w:r w:rsidR="00675701">
        <w:t>56</w:t>
      </w:r>
      <w:r w:rsidRPr="00F61213">
        <w:t xml:space="preserve"> deaths</w:t>
      </w:r>
      <w:r w:rsidR="0097146D">
        <w:t>)</w:t>
      </w:r>
      <w:r w:rsidRPr="00F61213">
        <w:t>. Intentional self</w:t>
      </w:r>
      <w:r w:rsidRPr="00F61213">
        <w:noBreakHyphen/>
        <w:t xml:space="preserve">harm by smoke, fire and flames accounted for </w:t>
      </w:r>
      <w:r w:rsidR="00675701">
        <w:t>28</w:t>
      </w:r>
      <w:r w:rsidRPr="00F61213">
        <w:t xml:space="preserve"> deaths and </w:t>
      </w:r>
      <w:r w:rsidR="00B2521B" w:rsidRPr="00B2521B">
        <w:rPr>
          <w:bCs/>
          <w:lang w:val="en-US"/>
        </w:rPr>
        <w:t>7</w:t>
      </w:r>
      <w:r w:rsidRPr="0054109B">
        <w:t xml:space="preserve"> death</w:t>
      </w:r>
      <w:r w:rsidR="00D6249F">
        <w:t>s</w:t>
      </w:r>
      <w:r w:rsidRPr="0054109B">
        <w:t xml:space="preserve"> w</w:t>
      </w:r>
      <w:r w:rsidR="00D6249F">
        <w:t>ere</w:t>
      </w:r>
      <w:r w:rsidRPr="0054109B">
        <w:t xml:space="preserve"> due to assault by smoke, fire and flames (table 9</w:t>
      </w:r>
      <w:r w:rsidR="00571DB1" w:rsidRPr="0054109B">
        <w:t>A.</w:t>
      </w:r>
      <w:r w:rsidR="00DB245F">
        <w:t>7</w:t>
      </w:r>
      <w:r w:rsidRPr="0054109B">
        <w:t xml:space="preserve">). </w:t>
      </w:r>
    </w:p>
    <w:p w:rsidR="0057215E" w:rsidRDefault="0057215E" w:rsidP="00D54DD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215E" w:rsidTr="00D54DD2">
        <w:tc>
          <w:tcPr>
            <w:tcW w:w="8771" w:type="dxa"/>
            <w:tcBorders>
              <w:top w:val="single" w:sz="6" w:space="0" w:color="78A22F"/>
              <w:left w:val="nil"/>
              <w:bottom w:val="nil"/>
              <w:right w:val="nil"/>
            </w:tcBorders>
            <w:shd w:val="clear" w:color="auto" w:fill="auto"/>
          </w:tcPr>
          <w:p w:rsidR="0057215E" w:rsidRPr="00176D3F" w:rsidRDefault="0057215E" w:rsidP="0057215E">
            <w:pPr>
              <w:pStyle w:val="FigureTitle"/>
            </w:pPr>
            <w:r w:rsidRPr="00784A05">
              <w:rPr>
                <w:b w:val="0"/>
              </w:rPr>
              <w:t xml:space="preserve">Figure </w:t>
            </w:r>
            <w:bookmarkStart w:id="46" w:name="OLE_LINK24"/>
            <w:r w:rsidR="00B2521B">
              <w:rPr>
                <w:b w:val="0"/>
              </w:rPr>
              <w:t>9.</w:t>
            </w:r>
            <w:r w:rsidR="00D52162">
              <w:rPr>
                <w:b w:val="0"/>
                <w:noProof/>
              </w:rPr>
              <w:t>15</w:t>
            </w:r>
            <w:bookmarkEnd w:id="46"/>
            <w:r>
              <w:tab/>
            </w:r>
            <w:r w:rsidRPr="00C7198A">
              <w:t>Annual fire death rate</w:t>
            </w:r>
            <w:r w:rsidR="00412FEE">
              <w:t>, 1983–2012</w:t>
            </w:r>
            <w:r w:rsidRPr="00C7198A">
              <w:rPr>
                <w:rStyle w:val="NoteLabel"/>
                <w:b/>
              </w:rPr>
              <w:t>a, b, c</w:t>
            </w:r>
            <w:r>
              <w:rPr>
                <w:rStyle w:val="NoteLabel"/>
                <w:b/>
              </w:rPr>
              <w:t>, d, e</w:t>
            </w:r>
            <w:r>
              <w:t xml:space="preserve"> </w:t>
            </w:r>
          </w:p>
        </w:tc>
      </w:tr>
      <w:tr w:rsidR="0057215E" w:rsidTr="00D54DD2">
        <w:tc>
          <w:tcPr>
            <w:tcW w:w="8771" w:type="dxa"/>
            <w:tcBorders>
              <w:top w:val="nil"/>
              <w:left w:val="nil"/>
              <w:bottom w:val="nil"/>
              <w:right w:val="nil"/>
            </w:tcBorders>
            <w:shd w:val="clear" w:color="auto" w:fill="auto"/>
            <w:tcMar>
              <w:top w:w="28" w:type="dxa"/>
              <w:bottom w:w="28" w:type="dxa"/>
            </w:tcMar>
          </w:tcPr>
          <w:tbl>
            <w:tblPr>
              <w:tblW w:w="8504"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7215E" w:rsidTr="0057215E">
              <w:tc>
                <w:tcPr>
                  <w:tcW w:w="5000" w:type="pct"/>
                  <w:tcBorders>
                    <w:top w:val="nil"/>
                    <w:bottom w:val="nil"/>
                  </w:tcBorders>
                </w:tcPr>
                <w:p w:rsidR="0057215E" w:rsidRDefault="00D30935" w:rsidP="0057215E">
                  <w:pPr>
                    <w:pStyle w:val="Figure"/>
                    <w:spacing w:before="60" w:after="60"/>
                  </w:pPr>
                  <w:r>
                    <w:rPr>
                      <w:b/>
                      <w:bCs/>
                      <w:noProof/>
                    </w:rPr>
                    <w:drawing>
                      <wp:inline distT="0" distB="0" distL="0" distR="0">
                        <wp:extent cx="5342890" cy="2527935"/>
                        <wp:effectExtent l="0" t="0" r="0" b="5715"/>
                        <wp:docPr id="20" name="Picture 20" descr="Figure 9.15 Annual fire death rate, 1983-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42890" cy="2527935"/>
                                </a:xfrm>
                                <a:prstGeom prst="rect">
                                  <a:avLst/>
                                </a:prstGeom>
                                <a:noFill/>
                                <a:ln>
                                  <a:noFill/>
                                </a:ln>
                              </pic:spPr>
                            </pic:pic>
                          </a:graphicData>
                        </a:graphic>
                      </wp:inline>
                    </w:drawing>
                  </w:r>
                  <w:r>
                    <w:rPr>
                      <w:noProof/>
                    </w:rPr>
                    <w:drawing>
                      <wp:inline distT="0" distB="0" distL="0" distR="0">
                        <wp:extent cx="5342890" cy="2527935"/>
                        <wp:effectExtent l="0" t="0" r="0" b="5715"/>
                        <wp:docPr id="21" name="Picture 21" descr="Figure 9.15 Annual fire death rate, 1983-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42890" cy="2527935"/>
                                </a:xfrm>
                                <a:prstGeom prst="rect">
                                  <a:avLst/>
                                </a:prstGeom>
                                <a:noFill/>
                                <a:ln>
                                  <a:noFill/>
                                </a:ln>
                              </pic:spPr>
                            </pic:pic>
                          </a:graphicData>
                        </a:graphic>
                      </wp:inline>
                    </w:drawing>
                  </w:r>
                </w:p>
              </w:tc>
            </w:tr>
          </w:tbl>
          <w:p w:rsidR="0057215E" w:rsidRDefault="0057215E" w:rsidP="00D54DD2">
            <w:pPr>
              <w:pStyle w:val="Figure"/>
            </w:pPr>
          </w:p>
        </w:tc>
      </w:tr>
      <w:tr w:rsidR="0057215E" w:rsidRPr="00176D3F" w:rsidTr="00D54DD2">
        <w:tc>
          <w:tcPr>
            <w:tcW w:w="8771" w:type="dxa"/>
            <w:tcBorders>
              <w:top w:val="nil"/>
              <w:left w:val="nil"/>
              <w:bottom w:val="nil"/>
              <w:right w:val="nil"/>
            </w:tcBorders>
            <w:shd w:val="clear" w:color="auto" w:fill="auto"/>
          </w:tcPr>
          <w:p w:rsidR="0057215E" w:rsidRPr="00176D3F" w:rsidRDefault="0057215E" w:rsidP="00612687">
            <w:pPr>
              <w:pStyle w:val="Note"/>
            </w:pPr>
            <w:r w:rsidRPr="002605A8">
              <w:rPr>
                <w:rStyle w:val="NoteLabel"/>
              </w:rPr>
              <w:t>a</w:t>
            </w:r>
            <w:r w:rsidRPr="002605A8">
              <w:t> Data for 2011</w:t>
            </w:r>
            <w:r w:rsidR="00BE28FE">
              <w:t xml:space="preserve"> and 2012</w:t>
            </w:r>
            <w:r w:rsidRPr="002605A8">
              <w:t xml:space="preserve"> are preliminary and subject to a revisions process. Data for 200</w:t>
            </w:r>
            <w:r w:rsidR="00BE28FE">
              <w:t>6–</w:t>
            </w:r>
            <w:r w:rsidRPr="002605A8">
              <w:t>2010 have been subject to revisions</w:t>
            </w:r>
            <w:r w:rsidR="00BA0625">
              <w:t xml:space="preserve"> and may differ from data published in earlier reports</w:t>
            </w:r>
            <w:r w:rsidRPr="002605A8">
              <w:t xml:space="preserve">. See </w:t>
            </w:r>
            <w:r w:rsidRPr="002605A8">
              <w:rPr>
                <w:i/>
              </w:rPr>
              <w:t>Causes of Death, Australia</w:t>
            </w:r>
            <w:r w:rsidRPr="002605A8">
              <w:t xml:space="preserve"> (cat. no. 3303.0). </w:t>
            </w:r>
            <w:r w:rsidRPr="002605A8">
              <w:rPr>
                <w:rStyle w:val="NoteLabel"/>
              </w:rPr>
              <w:t>b</w:t>
            </w:r>
            <w:r w:rsidRPr="002605A8">
              <w:t xml:space="preserve"> Fire deaths are coded according to the </w:t>
            </w:r>
            <w:r w:rsidR="00B63AA1" w:rsidRPr="0048257B">
              <w:t xml:space="preserve">International Classification of Diseases </w:t>
            </w:r>
            <w:r w:rsidR="00B63AA1">
              <w:t>(</w:t>
            </w:r>
            <w:r w:rsidR="00B63AA1" w:rsidRPr="002605A8">
              <w:t>ICD</w:t>
            </w:r>
            <w:r w:rsidR="00B63AA1">
              <w:t xml:space="preserve">) </w:t>
            </w:r>
            <w:r w:rsidRPr="002605A8">
              <w:t>and Related Health Problems Revision 10 (ICD</w:t>
            </w:r>
            <w:r>
              <w:noBreakHyphen/>
            </w:r>
            <w:r w:rsidRPr="002605A8">
              <w:t>10) and include ICD fire death codes X00</w:t>
            </w:r>
            <w:r>
              <w:noBreakHyphen/>
            </w:r>
            <w:r w:rsidRPr="002605A8">
              <w:t xml:space="preserve">X09 plus X76, X97 and Y26. </w:t>
            </w:r>
            <w:r>
              <w:rPr>
                <w:rStyle w:val="NoteLabel"/>
              </w:rPr>
              <w:t>c</w:t>
            </w:r>
            <w:r w:rsidRPr="002605A8">
              <w:t> </w:t>
            </w:r>
            <w:r w:rsidR="00451886" w:rsidRPr="00BE28FE">
              <w:t xml:space="preserve"> </w:t>
            </w:r>
            <w:r w:rsidR="00BE28FE" w:rsidRPr="00BE28FE">
              <w:t>Population data used to derive rates are as at 30 June. Estimated Resident Population (ERP) data for 2003 to 2011 are final, based on the 2011 Census of Population and Housing. Estimates for 201</w:t>
            </w:r>
            <w:r w:rsidR="00612687">
              <w:t>2</w:t>
            </w:r>
            <w:r w:rsidR="00BE28FE" w:rsidRPr="00BE28FE">
              <w:t xml:space="preserve"> onwards are preliminary. See chapter 2 (table 2A.1) for details.</w:t>
            </w:r>
            <w:r w:rsidRPr="002605A8">
              <w:t xml:space="preserve"> </w:t>
            </w:r>
            <w:r w:rsidR="00451886">
              <w:rPr>
                <w:rStyle w:val="NoteLabel"/>
              </w:rPr>
              <w:t>d</w:t>
            </w:r>
            <w:r w:rsidR="00451886" w:rsidRPr="002605A8">
              <w:t xml:space="preserve">  Australian totals includes Other Territories. </w:t>
            </w:r>
          </w:p>
        </w:tc>
      </w:tr>
      <w:tr w:rsidR="0057215E" w:rsidRPr="00176D3F" w:rsidTr="00D54DD2">
        <w:tc>
          <w:tcPr>
            <w:tcW w:w="8771" w:type="dxa"/>
            <w:tcBorders>
              <w:top w:val="nil"/>
              <w:left w:val="nil"/>
              <w:bottom w:val="nil"/>
              <w:right w:val="nil"/>
            </w:tcBorders>
            <w:shd w:val="clear" w:color="auto" w:fill="auto"/>
          </w:tcPr>
          <w:p w:rsidR="0057215E" w:rsidRPr="00176D3F" w:rsidRDefault="0057215E" w:rsidP="00BE28FE">
            <w:pPr>
              <w:pStyle w:val="Source"/>
            </w:pPr>
            <w:r w:rsidRPr="002605A8">
              <w:rPr>
                <w:i/>
              </w:rPr>
              <w:t>Source</w:t>
            </w:r>
            <w:r w:rsidRPr="002605A8">
              <w:t>: ABS (201</w:t>
            </w:r>
            <w:r w:rsidR="00BE28FE">
              <w:t>4</w:t>
            </w:r>
            <w:r w:rsidRPr="002605A8">
              <w:t xml:space="preserve">) </w:t>
            </w:r>
            <w:r w:rsidRPr="002605A8">
              <w:rPr>
                <w:i/>
              </w:rPr>
              <w:t>Causes of Death, Australia</w:t>
            </w:r>
            <w:r w:rsidRPr="002605A8">
              <w:t>, Cat. no. 3303.0; table 9A.6.</w:t>
            </w:r>
          </w:p>
        </w:tc>
      </w:tr>
      <w:tr w:rsidR="0057215E" w:rsidTr="00D54DD2">
        <w:tc>
          <w:tcPr>
            <w:tcW w:w="8771" w:type="dxa"/>
            <w:tcBorders>
              <w:top w:val="nil"/>
              <w:left w:val="nil"/>
              <w:bottom w:val="single" w:sz="6" w:space="0" w:color="78A22F"/>
              <w:right w:val="nil"/>
            </w:tcBorders>
            <w:shd w:val="clear" w:color="auto" w:fill="auto"/>
          </w:tcPr>
          <w:p w:rsidR="0057215E" w:rsidRDefault="0057215E" w:rsidP="00D54DD2">
            <w:pPr>
              <w:pStyle w:val="Figurespace"/>
            </w:pPr>
          </w:p>
        </w:tc>
      </w:tr>
      <w:tr w:rsidR="0057215E" w:rsidRPr="000863A5" w:rsidTr="00D54DD2">
        <w:tc>
          <w:tcPr>
            <w:tcW w:w="8771" w:type="dxa"/>
            <w:tcBorders>
              <w:top w:val="single" w:sz="6" w:space="0" w:color="78A22F"/>
              <w:left w:val="nil"/>
              <w:bottom w:val="nil"/>
              <w:right w:val="nil"/>
            </w:tcBorders>
          </w:tcPr>
          <w:p w:rsidR="0057215E" w:rsidRPr="00626D32" w:rsidRDefault="0057215E" w:rsidP="00D54DD2">
            <w:pPr>
              <w:pStyle w:val="BoxSpaceBelow"/>
            </w:pPr>
          </w:p>
        </w:tc>
      </w:tr>
    </w:tbl>
    <w:p w:rsidR="00DE067B" w:rsidRDefault="00DE067B" w:rsidP="00DE067B">
      <w:pPr>
        <w:pStyle w:val="BodyText"/>
      </w:pPr>
      <w:bookmarkStart w:id="47" w:name="_Toc343078117"/>
      <w:bookmarkStart w:id="48" w:name="_Toc343078570"/>
      <w:bookmarkStart w:id="49" w:name="_Toc343078614"/>
      <w:bookmarkStart w:id="50" w:name="_Toc343089205"/>
      <w:r w:rsidRPr="0054109B">
        <w:t>Annual fire death rates can be particularly volatile because of the small number of fire deaths and the influence of large irregular fire events (box</w:t>
      </w:r>
      <w:r w:rsidR="00C35EA2">
        <w:t> </w:t>
      </w:r>
      <w:r w:rsidR="00800D6F">
        <w:t>9.10</w:t>
      </w:r>
      <w:r w:rsidRPr="0054109B">
        <w:t xml:space="preserve">). </w:t>
      </w:r>
      <w:r w:rsidR="00D1132B" w:rsidRPr="00C7198A">
        <w:t>One method to overcome data volatility is to present fire death rates as three</w:t>
      </w:r>
      <w:r w:rsidR="00CC7814">
        <w:noBreakHyphen/>
      </w:r>
      <w:r w:rsidR="00D1132B" w:rsidRPr="00C7198A">
        <w:t>year averages (table 9A.</w:t>
      </w:r>
      <w:r w:rsidR="00D1132B">
        <w:t>6</w:t>
      </w:r>
      <w:r w:rsidR="00D1132B" w:rsidRPr="00C7198A">
        <w:t xml:space="preserve">). Alternatively, annual death rates can be viewed over a longer time series to help identify any underlying trends. </w:t>
      </w:r>
      <w:r w:rsidR="00D1132B">
        <w:t>Nationally, i</w:t>
      </w:r>
      <w:r w:rsidR="00D1132B" w:rsidRPr="00C7198A">
        <w:t>n the ten years from 198</w:t>
      </w:r>
      <w:r w:rsidR="008D78DA">
        <w:t>3</w:t>
      </w:r>
      <w:r w:rsidR="00D1132B" w:rsidRPr="00C7198A">
        <w:t>–9</w:t>
      </w:r>
      <w:r w:rsidR="008D78DA">
        <w:t>2</w:t>
      </w:r>
      <w:r w:rsidR="00D1132B" w:rsidRPr="00C7198A">
        <w:t xml:space="preserve"> the average deaths per </w:t>
      </w:r>
      <w:r w:rsidR="00D1132B" w:rsidRPr="00C7198A">
        <w:lastRenderedPageBreak/>
        <w:t>million people was 1</w:t>
      </w:r>
      <w:r w:rsidR="008D78DA">
        <w:t>0</w:t>
      </w:r>
      <w:r w:rsidR="00D1132B" w:rsidRPr="00C7198A">
        <w:t>.</w:t>
      </w:r>
      <w:r w:rsidR="008D78DA">
        <w:t>8</w:t>
      </w:r>
      <w:r w:rsidR="00D1132B" w:rsidRPr="00C7198A">
        <w:t>. In the most recent decade (200</w:t>
      </w:r>
      <w:r w:rsidR="008D78DA">
        <w:t>3</w:t>
      </w:r>
      <w:r w:rsidR="00D1132B" w:rsidRPr="00C7198A">
        <w:t>–1</w:t>
      </w:r>
      <w:r w:rsidR="008D78DA">
        <w:t>2</w:t>
      </w:r>
      <w:r w:rsidR="00D1132B" w:rsidRPr="00C7198A">
        <w:t>), the average deaths per million people was 6.</w:t>
      </w:r>
      <w:r w:rsidR="008D78DA">
        <w:t>3</w:t>
      </w:r>
      <w:r w:rsidR="00D1132B">
        <w:t xml:space="preserve"> (figure</w:t>
      </w:r>
      <w:r w:rsidR="00C35EA2">
        <w:t> </w:t>
      </w:r>
      <w:r w:rsidR="00800D6F">
        <w:t>9.15</w:t>
      </w:r>
      <w:r w:rsidR="00D1132B">
        <w:t>).</w:t>
      </w:r>
      <w:r w:rsidR="00D1132B" w:rsidRPr="00F61213">
        <w:t xml:space="preserve"> </w:t>
      </w:r>
    </w:p>
    <w:p w:rsidR="00F15C9E" w:rsidRDefault="00F15C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15C9E" w:rsidTr="00D54DD2">
        <w:tc>
          <w:tcPr>
            <w:tcW w:w="8771" w:type="dxa"/>
            <w:tcBorders>
              <w:top w:val="single" w:sz="6" w:space="0" w:color="78A22F"/>
              <w:left w:val="nil"/>
              <w:bottom w:val="nil"/>
              <w:right w:val="nil"/>
            </w:tcBorders>
            <w:shd w:val="clear" w:color="auto" w:fill="F2F2F2" w:themeFill="background1" w:themeFillShade="F2"/>
          </w:tcPr>
          <w:p w:rsidR="00F15C9E" w:rsidRDefault="00F15C9E" w:rsidP="00F15C9E">
            <w:pPr>
              <w:pStyle w:val="BoxTitle"/>
            </w:pPr>
            <w:r>
              <w:rPr>
                <w:b w:val="0"/>
              </w:rPr>
              <w:t xml:space="preserve">Box </w:t>
            </w:r>
            <w:bookmarkStart w:id="51" w:name="OLE_LINK25"/>
            <w:r w:rsidR="00B2521B">
              <w:rPr>
                <w:b w:val="0"/>
              </w:rPr>
              <w:t>9.</w:t>
            </w:r>
            <w:r w:rsidR="00D52162">
              <w:rPr>
                <w:b w:val="0"/>
                <w:noProof/>
              </w:rPr>
              <w:t>10</w:t>
            </w:r>
            <w:bookmarkEnd w:id="51"/>
            <w:r>
              <w:tab/>
            </w:r>
            <w:r w:rsidRPr="00C7198A">
              <w:t>Recent history of Australian bushfires</w:t>
            </w:r>
          </w:p>
        </w:tc>
      </w:tr>
      <w:tr w:rsidR="00F15C9E" w:rsidTr="00D54DD2">
        <w:trPr>
          <w:cantSplit/>
        </w:trPr>
        <w:tc>
          <w:tcPr>
            <w:tcW w:w="8771" w:type="dxa"/>
            <w:tcBorders>
              <w:top w:val="nil"/>
              <w:left w:val="nil"/>
              <w:bottom w:val="nil"/>
              <w:right w:val="nil"/>
            </w:tcBorders>
            <w:shd w:val="clear" w:color="auto" w:fill="F2F2F2" w:themeFill="background1" w:themeFillShade="F2"/>
          </w:tcPr>
          <w:p w:rsidR="00F15C9E" w:rsidRPr="002605A8" w:rsidRDefault="00F15C9E" w:rsidP="00D54DD2">
            <w:pPr>
              <w:pStyle w:val="Box"/>
              <w:keepNext w:val="0"/>
            </w:pPr>
            <w:r w:rsidRPr="002605A8">
              <w:t xml:space="preserve">Bushfire </w:t>
            </w:r>
            <w:r w:rsidR="005A30B9">
              <w:t xml:space="preserve">is </w:t>
            </w:r>
            <w:r w:rsidRPr="002605A8">
              <w:t xml:space="preserve">an environmental factor that has been a part of the Australian landscape for millions of years. </w:t>
            </w:r>
            <w:r>
              <w:t>T</w:t>
            </w:r>
            <w:r w:rsidRPr="002605A8">
              <w:t>he biodiversity of Australian fauna and flora have evolved with fire and come to depend on it for their survival (CSIRO 2012).</w:t>
            </w:r>
          </w:p>
          <w:p w:rsidR="00F15C9E" w:rsidRPr="002605A8" w:rsidRDefault="00F15C9E" w:rsidP="00D54DD2">
            <w:pPr>
              <w:pStyle w:val="Box"/>
              <w:keepNext w:val="0"/>
            </w:pPr>
            <w:r w:rsidRPr="002605A8">
              <w:t xml:space="preserve">Bushfires are most common over the </w:t>
            </w:r>
            <w:proofErr w:type="spellStart"/>
            <w:r w:rsidRPr="002605A8">
              <w:t>savannas</w:t>
            </w:r>
            <w:proofErr w:type="spellEnd"/>
            <w:r w:rsidRPr="002605A8">
              <w:t xml:space="preserve"> of tropical Australia, where some parts of the land burn annual</w:t>
            </w:r>
            <w:r w:rsidR="005A30B9">
              <w:t>ly</w:t>
            </w:r>
            <w:r w:rsidRPr="002605A8">
              <w:t xml:space="preserve">. </w:t>
            </w:r>
          </w:p>
          <w:p w:rsidR="00F15C9E" w:rsidRPr="002605A8" w:rsidRDefault="00F15C9E" w:rsidP="00D54DD2">
            <w:pPr>
              <w:pStyle w:val="Box"/>
              <w:keepNext w:val="0"/>
            </w:pPr>
            <w:r w:rsidRPr="002605A8">
              <w:t>The southern parts of Australia, where the majority of the population resides, are susceptible to large bushfires that threaten life and property. Recent examples include:</w:t>
            </w:r>
          </w:p>
          <w:p w:rsidR="00F15C9E" w:rsidRDefault="005A30B9" w:rsidP="00D54DD2">
            <w:pPr>
              <w:pStyle w:val="BoxListBullet"/>
            </w:pPr>
            <w:r>
              <w:t xml:space="preserve">Tasmanian Bushfires </w:t>
            </w:r>
            <w:r w:rsidR="00F15C9E" w:rsidRPr="002605A8">
              <w:t>— In January 2013, up to 40 fires were burning across Tasmania. One person died — a Victorian volunteer firefighter — and 203</w:t>
            </w:r>
            <w:r w:rsidR="00F15C9E">
              <w:t> </w:t>
            </w:r>
            <w:r w:rsidR="00F15C9E" w:rsidRPr="002605A8">
              <w:t xml:space="preserve">homes were destroyed. Thousands of locals and tourists were stranded, requiring evacuation (many by sea). The insured cost was $87 million. </w:t>
            </w:r>
          </w:p>
          <w:p w:rsidR="00F15C9E" w:rsidRPr="002605A8" w:rsidRDefault="00F15C9E" w:rsidP="00D54DD2">
            <w:pPr>
              <w:pStyle w:val="BoxListBullet"/>
            </w:pPr>
            <w:r w:rsidRPr="002605A8">
              <w:t>Perth Hill Bushfires (WA) — In February 2011, 71 homes were destroyed and an estimated 39 homes damaged by two major fires that affected metropolitan Perth. Approximately 1540 hectares were burned, 517 families were evacuated and at least 12 people were hospitalised. The insured cost was $35 million.</w:t>
            </w:r>
          </w:p>
        </w:tc>
      </w:tr>
      <w:tr w:rsidR="00F15C9E" w:rsidTr="00D54DD2">
        <w:trPr>
          <w:cantSplit/>
        </w:trPr>
        <w:tc>
          <w:tcPr>
            <w:tcW w:w="8771" w:type="dxa"/>
            <w:tcBorders>
              <w:top w:val="nil"/>
              <w:left w:val="nil"/>
              <w:bottom w:val="nil"/>
              <w:right w:val="nil"/>
            </w:tcBorders>
            <w:shd w:val="clear" w:color="auto" w:fill="F2F2F2" w:themeFill="background1" w:themeFillShade="F2"/>
          </w:tcPr>
          <w:p w:rsidR="00F15C9E" w:rsidRPr="002605A8" w:rsidRDefault="00F15C9E" w:rsidP="00D54DD2">
            <w:pPr>
              <w:pStyle w:val="BoxListBullet"/>
            </w:pPr>
            <w:r w:rsidRPr="002605A8">
              <w:t>Black Saturday Bushfires (Vic</w:t>
            </w:r>
            <w:r>
              <w:t>toria</w:t>
            </w:r>
            <w:r w:rsidRPr="002605A8">
              <w:t>) — In February 2009, the ‘Black Saturday’ fires caused 173 deaths and caused many injuries, burnt 430 000 hectares of land (including 51 towns, 78 communities) destroying homes, businesses, schools and kindergartens. The insured cost was greater than $1 billion.</w:t>
            </w:r>
          </w:p>
          <w:p w:rsidR="00F15C9E" w:rsidRPr="002605A8" w:rsidRDefault="00F15C9E" w:rsidP="00D54DD2">
            <w:pPr>
              <w:pStyle w:val="Box"/>
            </w:pPr>
            <w:r w:rsidRPr="002605A8">
              <w:t xml:space="preserve">Fire services across Australia strive to establish fire management regimes that take a systematic approach to risk management and identify the assets and potential consequences of wildfires, and possible impacts of mitigation and management options. </w:t>
            </w:r>
          </w:p>
        </w:tc>
      </w:tr>
      <w:tr w:rsidR="00F15C9E" w:rsidTr="00D54DD2">
        <w:trPr>
          <w:cantSplit/>
        </w:trPr>
        <w:tc>
          <w:tcPr>
            <w:tcW w:w="8771" w:type="dxa"/>
            <w:tcBorders>
              <w:top w:val="nil"/>
              <w:left w:val="nil"/>
              <w:bottom w:val="nil"/>
              <w:right w:val="nil"/>
            </w:tcBorders>
            <w:shd w:val="clear" w:color="auto" w:fill="F2F2F2" w:themeFill="background1" w:themeFillShade="F2"/>
          </w:tcPr>
          <w:p w:rsidR="00F15C9E" w:rsidRDefault="00F15C9E" w:rsidP="002E7D83">
            <w:pPr>
              <w:pStyle w:val="BoxSource"/>
            </w:pPr>
            <w:r w:rsidRPr="00C7198A">
              <w:rPr>
                <w:i/>
              </w:rPr>
              <w:t>Source</w:t>
            </w:r>
            <w:r w:rsidRPr="00C7198A">
              <w:t>: CSIRO (2012)</w:t>
            </w:r>
            <w:r>
              <w:t>;</w:t>
            </w:r>
            <w:r w:rsidRPr="00C7198A">
              <w:t xml:space="preserve"> A</w:t>
            </w:r>
            <w:r w:rsidR="002E7D83">
              <w:t>EM</w:t>
            </w:r>
            <w:r w:rsidRPr="00C7198A">
              <w:t xml:space="preserve"> (</w:t>
            </w:r>
            <w:r w:rsidRPr="00C7198A">
              <w:rPr>
                <w:spacing w:val="-6"/>
              </w:rPr>
              <w:t>201</w:t>
            </w:r>
            <w:r w:rsidR="002E7D83">
              <w:rPr>
                <w:spacing w:val="-6"/>
              </w:rPr>
              <w:t>4</w:t>
            </w:r>
            <w:r w:rsidRPr="00C7198A">
              <w:rPr>
                <w:spacing w:val="-6"/>
              </w:rPr>
              <w:t>)</w:t>
            </w:r>
            <w:r>
              <w:rPr>
                <w:spacing w:val="-6"/>
              </w:rPr>
              <w:t>;</w:t>
            </w:r>
            <w:r w:rsidRPr="00C7198A">
              <w:rPr>
                <w:spacing w:val="-6"/>
              </w:rPr>
              <w:t xml:space="preserve"> </w:t>
            </w:r>
            <w:r w:rsidRPr="00C7198A">
              <w:t>ABS (201</w:t>
            </w:r>
            <w:r w:rsidR="002E7D83">
              <w:t>4</w:t>
            </w:r>
            <w:r w:rsidRPr="00C7198A">
              <w:t>)</w:t>
            </w:r>
            <w:r>
              <w:t>.</w:t>
            </w:r>
          </w:p>
        </w:tc>
      </w:tr>
      <w:tr w:rsidR="00F15C9E" w:rsidTr="00D54DD2">
        <w:trPr>
          <w:cantSplit/>
        </w:trPr>
        <w:tc>
          <w:tcPr>
            <w:tcW w:w="8771" w:type="dxa"/>
            <w:tcBorders>
              <w:top w:val="nil"/>
              <w:left w:val="nil"/>
              <w:bottom w:val="single" w:sz="6" w:space="0" w:color="78A22F"/>
              <w:right w:val="nil"/>
            </w:tcBorders>
            <w:shd w:val="clear" w:color="auto" w:fill="F2F2F2" w:themeFill="background1" w:themeFillShade="F2"/>
          </w:tcPr>
          <w:p w:rsidR="00F15C9E" w:rsidRDefault="00F15C9E">
            <w:pPr>
              <w:pStyle w:val="Box"/>
              <w:spacing w:before="0" w:line="120" w:lineRule="exact"/>
            </w:pPr>
          </w:p>
        </w:tc>
      </w:tr>
      <w:tr w:rsidR="00F15C9E" w:rsidRPr="000863A5" w:rsidTr="00D54DD2">
        <w:tc>
          <w:tcPr>
            <w:tcW w:w="8771" w:type="dxa"/>
            <w:tcBorders>
              <w:top w:val="single" w:sz="6" w:space="0" w:color="78A22F"/>
              <w:left w:val="nil"/>
              <w:bottom w:val="nil"/>
              <w:right w:val="nil"/>
            </w:tcBorders>
          </w:tcPr>
          <w:p w:rsidR="00F15C9E" w:rsidRPr="00626D32" w:rsidRDefault="00F15C9E" w:rsidP="00D54DD2">
            <w:pPr>
              <w:pStyle w:val="BoxSpaceBelow"/>
            </w:pPr>
          </w:p>
        </w:tc>
      </w:tr>
    </w:tbl>
    <w:bookmarkEnd w:id="47"/>
    <w:bookmarkEnd w:id="48"/>
    <w:bookmarkEnd w:id="49"/>
    <w:bookmarkEnd w:id="50"/>
    <w:p w:rsidR="00647A72" w:rsidRPr="00AB73AD" w:rsidRDefault="007B1765" w:rsidP="00647A72">
      <w:pPr>
        <w:pStyle w:val="Heading5"/>
      </w:pPr>
      <w:r w:rsidRPr="00AB73AD">
        <w:t xml:space="preserve">Fire death rate — </w:t>
      </w:r>
      <w:r w:rsidR="00647A72" w:rsidRPr="00AB73AD">
        <w:t>Landscape fire death rate</w:t>
      </w:r>
    </w:p>
    <w:p w:rsidR="00647A72" w:rsidRDefault="00647A72" w:rsidP="00E04D8D">
      <w:pPr>
        <w:pStyle w:val="BodyText"/>
      </w:pPr>
      <w:r w:rsidRPr="00AB73AD">
        <w:t xml:space="preserve">Nationally, </w:t>
      </w:r>
      <w:r w:rsidR="00AB73AD" w:rsidRPr="00AB73AD">
        <w:t>comparat</w:t>
      </w:r>
      <w:r w:rsidRPr="00AB73AD">
        <w:t>ively few deaths are related to landscape fires annually (0.3</w:t>
      </w:r>
      <w:r w:rsidR="00AB73AD" w:rsidRPr="00AB73AD">
        <w:t> fire</w:t>
      </w:r>
      <w:r w:rsidR="005A30B9">
        <w:t> </w:t>
      </w:r>
      <w:r w:rsidRPr="00AB73AD">
        <w:t>deaths per million people</w:t>
      </w:r>
      <w:r w:rsidR="00AB73AD" w:rsidRPr="00AB73AD">
        <w:t xml:space="preserve"> in </w:t>
      </w:r>
      <w:r w:rsidR="00FA5D77">
        <w:t>2013</w:t>
      </w:r>
      <w:r w:rsidR="0026487F">
        <w:noBreakHyphen/>
      </w:r>
      <w:r w:rsidR="00FA5D77">
        <w:t>14</w:t>
      </w:r>
      <w:r w:rsidRPr="00AB73AD">
        <w:t>)</w:t>
      </w:r>
      <w:r w:rsidR="00A349F8">
        <w:t>, although</w:t>
      </w:r>
      <w:r w:rsidR="00AB73AD" w:rsidRPr="00AB73AD">
        <w:t xml:space="preserve"> </w:t>
      </w:r>
      <w:r w:rsidR="00A349F8">
        <w:t>t</w:t>
      </w:r>
      <w:r w:rsidR="00A349F8" w:rsidRPr="00AB73AD">
        <w:t>he landscape fire death rate is punctuated by large, irregular events (table</w:t>
      </w:r>
      <w:r w:rsidR="00C35EA2">
        <w:t> </w:t>
      </w:r>
      <w:r w:rsidR="00800D6F">
        <w:t>9.2</w:t>
      </w:r>
      <w:r w:rsidR="004723AA" w:rsidRPr="00A90E73">
        <w:t xml:space="preserve"> and 9A.8</w:t>
      </w:r>
      <w:r w:rsidR="00A349F8" w:rsidRPr="00AB73AD">
        <w:t xml:space="preserve">). </w:t>
      </w:r>
      <w:r w:rsidR="00A349F8">
        <w:t>P</w:t>
      </w:r>
      <w:r w:rsidR="00AB73AD" w:rsidRPr="00AB73AD">
        <w:t>arts of Australia are susceptible to large bushfires that threaten life and property</w:t>
      </w:r>
      <w:r w:rsidRPr="00AB73AD">
        <w:t xml:space="preserve"> (box</w:t>
      </w:r>
      <w:r w:rsidR="00C35EA2">
        <w:t> </w:t>
      </w:r>
      <w:r w:rsidR="00800D6F">
        <w:t>9.10</w:t>
      </w:r>
      <w:r w:rsidRPr="00AB73AD">
        <w:t xml:space="preserve">). </w:t>
      </w:r>
      <w:r w:rsidR="001E6903" w:rsidRPr="00AB73AD">
        <w:t xml:space="preserve">To assist </w:t>
      </w:r>
      <w:r w:rsidR="00602080" w:rsidRPr="00AB73AD">
        <w:t xml:space="preserve">in </w:t>
      </w:r>
      <w:r w:rsidR="001E6903" w:rsidRPr="00AB73AD">
        <w:t>identify</w:t>
      </w:r>
      <w:r w:rsidR="00602080" w:rsidRPr="00AB73AD">
        <w:t>ing</w:t>
      </w:r>
      <w:r w:rsidR="001E6903" w:rsidRPr="00AB73AD">
        <w:t xml:space="preserve"> underlying trends in the annual landscape fire death series, a 30 </w:t>
      </w:r>
      <w:r w:rsidR="008B7C96" w:rsidRPr="00AB73AD">
        <w:t>year time series</w:t>
      </w:r>
      <w:r w:rsidR="001E6903" w:rsidRPr="00AB73AD">
        <w:t xml:space="preserve"> is provided in table</w:t>
      </w:r>
      <w:r w:rsidR="00F513F3" w:rsidRPr="00AB73AD">
        <w:t> </w:t>
      </w:r>
      <w:r w:rsidR="001E6903" w:rsidRPr="00AB73AD">
        <w:t>9</w:t>
      </w:r>
      <w:r w:rsidR="00571DB1" w:rsidRPr="00AB73AD">
        <w:t>A.</w:t>
      </w:r>
      <w:r w:rsidR="00EE6D23">
        <w:t>8</w:t>
      </w:r>
      <w:r w:rsidR="001E6903" w:rsidRPr="00AB73AD">
        <w:t>.</w:t>
      </w:r>
    </w:p>
    <w:p w:rsidR="00F15C9E" w:rsidRDefault="00F15C9E" w:rsidP="00D54DD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F15C9E" w:rsidTr="00D54DD2">
        <w:tc>
          <w:tcPr>
            <w:tcW w:w="8771" w:type="dxa"/>
            <w:tcBorders>
              <w:top w:val="single" w:sz="6" w:space="0" w:color="78A22F" w:themeColor="accent1"/>
              <w:left w:val="nil"/>
              <w:bottom w:val="nil"/>
              <w:right w:val="nil"/>
            </w:tcBorders>
            <w:shd w:val="clear" w:color="auto" w:fill="auto"/>
          </w:tcPr>
          <w:p w:rsidR="00F15C9E" w:rsidRPr="00784A05" w:rsidRDefault="00F15C9E" w:rsidP="00DF3677">
            <w:pPr>
              <w:pStyle w:val="TableTitle"/>
            </w:pPr>
            <w:r>
              <w:rPr>
                <w:b w:val="0"/>
              </w:rPr>
              <w:t xml:space="preserve">Table </w:t>
            </w:r>
            <w:bookmarkStart w:id="52" w:name="OLE_LINK26"/>
            <w:r w:rsidR="00B2521B">
              <w:rPr>
                <w:b w:val="0"/>
              </w:rPr>
              <w:t>9.</w:t>
            </w:r>
            <w:r w:rsidR="00D52162">
              <w:rPr>
                <w:b w:val="0"/>
                <w:noProof/>
              </w:rPr>
              <w:t>2</w:t>
            </w:r>
            <w:bookmarkEnd w:id="52"/>
            <w:r>
              <w:tab/>
            </w:r>
            <w:r w:rsidR="00DF3677" w:rsidRPr="00DF3677">
              <w:t>Landscape fire death</w:t>
            </w:r>
            <w:r w:rsidR="00DF3677">
              <w:t>s</w:t>
            </w:r>
          </w:p>
        </w:tc>
      </w:tr>
      <w:tr w:rsidR="00F15C9E" w:rsidTr="00D54DD2">
        <w:trPr>
          <w:cantSplit/>
        </w:trPr>
        <w:tc>
          <w:tcPr>
            <w:tcW w:w="8771" w:type="dxa"/>
            <w:tcBorders>
              <w:top w:val="nil"/>
              <w:left w:val="nil"/>
              <w:bottom w:val="nil"/>
              <w:right w:val="nil"/>
            </w:tcBorders>
            <w:shd w:val="clear" w:color="auto" w:fill="auto"/>
          </w:tcPr>
          <w:tbl>
            <w:tblPr>
              <w:tblW w:w="8790" w:type="dxa"/>
              <w:tblBorders>
                <w:top w:val="single" w:sz="4" w:space="0" w:color="BFBFBF"/>
                <w:bottom w:val="single" w:sz="4" w:space="0" w:color="BFBFBF"/>
                <w:insideH w:val="single" w:sz="4" w:space="0" w:color="BFBFBF"/>
              </w:tblBorders>
              <w:tblCellMar>
                <w:left w:w="0" w:type="dxa"/>
                <w:right w:w="0" w:type="dxa"/>
              </w:tblCellMar>
              <w:tblLook w:val="0000" w:firstRow="0" w:lastRow="0" w:firstColumn="0" w:lastColumn="0" w:noHBand="0" w:noVBand="0"/>
            </w:tblPr>
            <w:tblGrid>
              <w:gridCol w:w="690"/>
              <w:gridCol w:w="960"/>
              <w:gridCol w:w="844"/>
              <w:gridCol w:w="866"/>
              <w:gridCol w:w="872"/>
              <w:gridCol w:w="838"/>
              <w:gridCol w:w="879"/>
              <w:gridCol w:w="919"/>
              <w:gridCol w:w="837"/>
              <w:gridCol w:w="920"/>
            </w:tblGrid>
            <w:tr w:rsidR="00F15C9E" w:rsidRPr="00AB73AD" w:rsidTr="00D54DD2">
              <w:tc>
                <w:tcPr>
                  <w:tcW w:w="993" w:type="dxa"/>
                  <w:shd w:val="clear" w:color="auto" w:fill="auto"/>
                </w:tcPr>
                <w:p w:rsidR="00F15C9E" w:rsidRPr="00AB73AD" w:rsidRDefault="00F15C9E" w:rsidP="00D54DD2">
                  <w:pPr>
                    <w:pStyle w:val="TableColumnHeading"/>
                    <w:jc w:val="left"/>
                  </w:pPr>
                </w:p>
              </w:tc>
              <w:tc>
                <w:tcPr>
                  <w:tcW w:w="866" w:type="dxa"/>
                  <w:shd w:val="clear" w:color="auto" w:fill="auto"/>
                </w:tcPr>
                <w:p w:rsidR="00F15C9E" w:rsidRPr="00AB73AD" w:rsidRDefault="00F15C9E" w:rsidP="00D54DD2">
                  <w:pPr>
                    <w:pStyle w:val="TableColumnHeading"/>
                    <w:outlineLvl w:val="4"/>
                  </w:pPr>
                  <w:r w:rsidRPr="00AB73AD">
                    <w:t>NSW</w:t>
                  </w:r>
                </w:p>
              </w:tc>
              <w:tc>
                <w:tcPr>
                  <w:tcW w:w="866" w:type="dxa"/>
                  <w:shd w:val="clear" w:color="auto" w:fill="auto"/>
                </w:tcPr>
                <w:p w:rsidR="00F15C9E" w:rsidRPr="00AB73AD" w:rsidRDefault="00F15C9E" w:rsidP="00D54DD2">
                  <w:pPr>
                    <w:pStyle w:val="TableColumnHeading"/>
                    <w:outlineLvl w:val="4"/>
                  </w:pPr>
                  <w:r w:rsidRPr="00AB73AD">
                    <w:t>Vic</w:t>
                  </w:r>
                </w:p>
              </w:tc>
              <w:tc>
                <w:tcPr>
                  <w:tcW w:w="867" w:type="dxa"/>
                  <w:shd w:val="clear" w:color="auto" w:fill="auto"/>
                </w:tcPr>
                <w:p w:rsidR="00F15C9E" w:rsidRPr="00AB73AD" w:rsidRDefault="00F15C9E" w:rsidP="00D54DD2">
                  <w:pPr>
                    <w:pStyle w:val="TableColumnHeading"/>
                    <w:outlineLvl w:val="4"/>
                  </w:pPr>
                  <w:r w:rsidRPr="00AB73AD">
                    <w:t>Qld</w:t>
                  </w:r>
                </w:p>
              </w:tc>
              <w:tc>
                <w:tcPr>
                  <w:tcW w:w="866" w:type="dxa"/>
                  <w:shd w:val="clear" w:color="auto" w:fill="auto"/>
                </w:tcPr>
                <w:p w:rsidR="00F15C9E" w:rsidRPr="00AB73AD" w:rsidRDefault="00F15C9E" w:rsidP="00D54DD2">
                  <w:pPr>
                    <w:pStyle w:val="TableColumnHeading"/>
                    <w:outlineLvl w:val="4"/>
                  </w:pPr>
                  <w:r w:rsidRPr="00AB73AD">
                    <w:t>WA</w:t>
                  </w:r>
                </w:p>
              </w:tc>
              <w:tc>
                <w:tcPr>
                  <w:tcW w:w="866" w:type="dxa"/>
                  <w:shd w:val="clear" w:color="auto" w:fill="auto"/>
                </w:tcPr>
                <w:p w:rsidR="00F15C9E" w:rsidRPr="00AB73AD" w:rsidRDefault="00F15C9E" w:rsidP="00D54DD2">
                  <w:pPr>
                    <w:pStyle w:val="TableColumnHeading"/>
                    <w:outlineLvl w:val="4"/>
                    <w:rPr>
                      <w:b/>
                      <w:i w:val="0"/>
                      <w:position w:val="6"/>
                    </w:rPr>
                  </w:pPr>
                  <w:r w:rsidRPr="00AB73AD">
                    <w:t>SA</w:t>
                  </w:r>
                </w:p>
              </w:tc>
              <w:tc>
                <w:tcPr>
                  <w:tcW w:w="867" w:type="dxa"/>
                  <w:shd w:val="clear" w:color="auto" w:fill="auto"/>
                </w:tcPr>
                <w:p w:rsidR="00F15C9E" w:rsidRPr="00AB73AD" w:rsidRDefault="00F15C9E" w:rsidP="00D54DD2">
                  <w:pPr>
                    <w:pStyle w:val="TableColumnHeading"/>
                    <w:outlineLvl w:val="4"/>
                  </w:pPr>
                  <w:r w:rsidRPr="00AB73AD">
                    <w:t>Tas</w:t>
                  </w:r>
                </w:p>
              </w:tc>
              <w:tc>
                <w:tcPr>
                  <w:tcW w:w="866" w:type="dxa"/>
                  <w:shd w:val="clear" w:color="auto" w:fill="auto"/>
                </w:tcPr>
                <w:p w:rsidR="00F15C9E" w:rsidRPr="00AB73AD" w:rsidRDefault="00F15C9E" w:rsidP="00D54DD2">
                  <w:pPr>
                    <w:pStyle w:val="TableColumnHeading"/>
                    <w:outlineLvl w:val="4"/>
                    <w:rPr>
                      <w:rStyle w:val="NoteLabel"/>
                      <w:i w:val="0"/>
                    </w:rPr>
                  </w:pPr>
                  <w:r w:rsidRPr="00AB73AD">
                    <w:t>ACT</w:t>
                  </w:r>
                </w:p>
              </w:tc>
              <w:tc>
                <w:tcPr>
                  <w:tcW w:w="866" w:type="dxa"/>
                  <w:shd w:val="clear" w:color="auto" w:fill="auto"/>
                </w:tcPr>
                <w:p w:rsidR="00F15C9E" w:rsidRPr="00AB73AD" w:rsidRDefault="00F15C9E" w:rsidP="00D54DD2">
                  <w:pPr>
                    <w:pStyle w:val="TableColumnHeading"/>
                    <w:outlineLvl w:val="4"/>
                  </w:pPr>
                  <w:r w:rsidRPr="00AB73AD">
                    <w:t>NT</w:t>
                  </w:r>
                </w:p>
              </w:tc>
              <w:tc>
                <w:tcPr>
                  <w:tcW w:w="867" w:type="dxa"/>
                  <w:shd w:val="clear" w:color="auto" w:fill="auto"/>
                </w:tcPr>
                <w:p w:rsidR="00F15C9E" w:rsidRPr="00AB73AD" w:rsidRDefault="00F15C9E" w:rsidP="00D54DD2">
                  <w:pPr>
                    <w:pStyle w:val="TableColumnHeading"/>
                    <w:outlineLvl w:val="4"/>
                  </w:pPr>
                  <w:r w:rsidRPr="00AB73AD">
                    <w:t>Aust</w:t>
                  </w:r>
                </w:p>
              </w:tc>
            </w:tr>
            <w:tr w:rsidR="00F15C9E" w:rsidRPr="00AB73AD" w:rsidTr="00D54DD2">
              <w:trPr>
                <w:trHeight w:val="57"/>
              </w:trPr>
              <w:tc>
                <w:tcPr>
                  <w:tcW w:w="8790" w:type="dxa"/>
                  <w:gridSpan w:val="10"/>
                  <w:shd w:val="clear" w:color="auto" w:fill="auto"/>
                </w:tcPr>
                <w:p w:rsidR="00B2521B" w:rsidRPr="00B2521B" w:rsidRDefault="00B2521B" w:rsidP="00B2521B">
                  <w:pPr>
                    <w:pStyle w:val="HeaderEnd"/>
                  </w:pPr>
                  <w:bookmarkStart w:id="53" w:name="RANGE!A6:J10"/>
                </w:p>
                <w:tbl>
                  <w:tblPr>
                    <w:tblW w:w="8789" w:type="dxa"/>
                    <w:tblCellMar>
                      <w:left w:w="0" w:type="dxa"/>
                      <w:right w:w="28" w:type="dxa"/>
                    </w:tblCellMar>
                    <w:tblLook w:val="04A0" w:firstRow="1" w:lastRow="0" w:firstColumn="1" w:lastColumn="0" w:noHBand="0" w:noVBand="1"/>
                  </w:tblPr>
                  <w:tblGrid>
                    <w:gridCol w:w="973"/>
                    <w:gridCol w:w="850"/>
                    <w:gridCol w:w="850"/>
                    <w:gridCol w:w="850"/>
                    <w:gridCol w:w="850"/>
                    <w:gridCol w:w="851"/>
                    <w:gridCol w:w="850"/>
                    <w:gridCol w:w="850"/>
                    <w:gridCol w:w="850"/>
                    <w:gridCol w:w="851"/>
                  </w:tblGrid>
                  <w:tr w:rsidR="00B2521B" w:rsidRPr="00B2521B" w:rsidTr="00B2521B">
                    <w:trPr>
                      <w:divId w:val="290481767"/>
                      <w:trHeight w:val="270"/>
                    </w:trPr>
                    <w:tc>
                      <w:tcPr>
                        <w:tcW w:w="993"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2009-10</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sz w:val="20"/>
                          </w:rPr>
                        </w:pPr>
                        <w:r w:rsidRPr="00B2521B">
                          <w:rPr>
                            <w:rFonts w:cs="Arial"/>
                          </w:rPr>
                          <w:t xml:space="preserve"> 1</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 xml:space="preserve"> 1</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7"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7"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 xml:space="preserve"> 2</w:t>
                        </w:r>
                      </w:p>
                    </w:tc>
                  </w:tr>
                  <w:tr w:rsidR="00B2521B" w:rsidRPr="00B2521B" w:rsidTr="00B2521B">
                    <w:trPr>
                      <w:divId w:val="290481767"/>
                      <w:trHeight w:val="330"/>
                    </w:trPr>
                    <w:tc>
                      <w:tcPr>
                        <w:tcW w:w="993"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2010-11</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 xml:space="preserve"> 2</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sz w:val="20"/>
                          </w:rPr>
                        </w:pPr>
                        <w:r w:rsidRPr="00B2521B">
                          <w:rPr>
                            <w:rFonts w:cs="Arial"/>
                          </w:rPr>
                          <w:t xml:space="preserve"> 1</w:t>
                        </w:r>
                      </w:p>
                    </w:tc>
                    <w:tc>
                      <w:tcPr>
                        <w:tcW w:w="867"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7"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 xml:space="preserve"> 3</w:t>
                        </w:r>
                      </w:p>
                    </w:tc>
                  </w:tr>
                  <w:tr w:rsidR="00B2521B" w:rsidRPr="00B2521B" w:rsidTr="00B2521B">
                    <w:trPr>
                      <w:divId w:val="290481767"/>
                      <w:trHeight w:val="330"/>
                    </w:trPr>
                    <w:tc>
                      <w:tcPr>
                        <w:tcW w:w="993"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2011-12</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sz w:val="20"/>
                          </w:rPr>
                        </w:pPr>
                        <w:r w:rsidRPr="00B2521B">
                          <w:rPr>
                            <w:rFonts w:cs="Arial"/>
                          </w:rPr>
                          <w:t xml:space="preserve"> 1</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sz w:val="20"/>
                          </w:rPr>
                        </w:pPr>
                        <w:r w:rsidRPr="00B2521B">
                          <w:rPr>
                            <w:rFonts w:cs="Arial"/>
                          </w:rPr>
                          <w:t xml:space="preserve"> 1</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7"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7"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 xml:space="preserve"> 2</w:t>
                        </w:r>
                      </w:p>
                    </w:tc>
                  </w:tr>
                  <w:tr w:rsidR="00B2521B" w:rsidRPr="00B2521B" w:rsidTr="00B2521B">
                    <w:trPr>
                      <w:divId w:val="290481767"/>
                      <w:trHeight w:val="330"/>
                    </w:trPr>
                    <w:tc>
                      <w:tcPr>
                        <w:tcW w:w="993"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2012-13</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sz w:val="20"/>
                          </w:rPr>
                        </w:pPr>
                        <w:r w:rsidRPr="00B2521B">
                          <w:rPr>
                            <w:rFonts w:cs="Arial"/>
                          </w:rPr>
                          <w:t xml:space="preserve"> 5</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sz w:val="20"/>
                          </w:rPr>
                        </w:pPr>
                        <w:r w:rsidRPr="00B2521B">
                          <w:rPr>
                            <w:rFonts w:cs="Arial"/>
                          </w:rPr>
                          <w:t xml:space="preserve"> 3</w:t>
                        </w:r>
                      </w:p>
                    </w:tc>
                    <w:tc>
                      <w:tcPr>
                        <w:tcW w:w="867"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sz w:val="20"/>
                          </w:rPr>
                        </w:pPr>
                        <w:r w:rsidRPr="00B2521B">
                          <w:rPr>
                            <w:rFonts w:cs="Arial"/>
                          </w:rPr>
                          <w:t xml:space="preserve"> 1</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7"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 xml:space="preserve"> 9</w:t>
                        </w:r>
                      </w:p>
                    </w:tc>
                  </w:tr>
                  <w:tr w:rsidR="00B2521B" w:rsidRPr="00B2521B" w:rsidTr="00B2521B">
                    <w:trPr>
                      <w:divId w:val="290481767"/>
                      <w:trHeight w:val="330"/>
                    </w:trPr>
                    <w:tc>
                      <w:tcPr>
                        <w:tcW w:w="993"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2013-14</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sz w:val="20"/>
                          </w:rPr>
                        </w:pPr>
                        <w:r w:rsidRPr="00B2521B">
                          <w:rPr>
                            <w:rFonts w:cs="Arial"/>
                          </w:rPr>
                          <w:t xml:space="preserve"> 2</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 xml:space="preserve"> 1</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sz w:val="20"/>
                          </w:rPr>
                        </w:pPr>
                        <w:r w:rsidRPr="00B2521B">
                          <w:rPr>
                            <w:rFonts w:cs="Arial"/>
                          </w:rPr>
                          <w:t xml:space="preserve"> 1</w:t>
                        </w:r>
                      </w:p>
                    </w:tc>
                    <w:tc>
                      <w:tcPr>
                        <w:tcW w:w="867"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6"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w:t>
                        </w:r>
                      </w:p>
                    </w:tc>
                    <w:tc>
                      <w:tcPr>
                        <w:tcW w:w="867" w:type="dxa"/>
                        <w:tcBorders>
                          <w:top w:val="nil"/>
                          <w:left w:val="nil"/>
                          <w:bottom w:val="nil"/>
                          <w:right w:val="nil"/>
                        </w:tcBorders>
                        <w:shd w:val="clear" w:color="auto" w:fill="auto"/>
                        <w:noWrap/>
                        <w:vAlign w:val="center"/>
                        <w:hideMark/>
                      </w:tcPr>
                      <w:p w:rsidR="00B2521B" w:rsidRPr="00B2521B" w:rsidRDefault="00B2521B" w:rsidP="00B2521B">
                        <w:pPr>
                          <w:pStyle w:val="TableBodyText"/>
                          <w:rPr>
                            <w:rFonts w:cs="Arial"/>
                          </w:rPr>
                        </w:pPr>
                        <w:r w:rsidRPr="00B2521B">
                          <w:rPr>
                            <w:rFonts w:cs="Arial"/>
                          </w:rPr>
                          <w:t xml:space="preserve"> 4</w:t>
                        </w:r>
                      </w:p>
                    </w:tc>
                  </w:tr>
                  <w:bookmarkEnd w:id="53"/>
                </w:tbl>
                <w:p w:rsidR="00F15C9E" w:rsidRPr="00AB73AD" w:rsidRDefault="00F15C9E" w:rsidP="00D54DD2">
                  <w:pPr>
                    <w:pStyle w:val="FooterEnd"/>
                    <w:keepNext/>
                  </w:pPr>
                </w:p>
              </w:tc>
            </w:tr>
          </w:tbl>
          <w:p w:rsidR="00F15C9E" w:rsidRDefault="00F15C9E" w:rsidP="00D54DD2">
            <w:pPr>
              <w:pStyle w:val="Box"/>
            </w:pPr>
          </w:p>
        </w:tc>
      </w:tr>
      <w:tr w:rsidR="00F15C9E" w:rsidTr="00D54DD2">
        <w:trPr>
          <w:cantSplit/>
        </w:trPr>
        <w:tc>
          <w:tcPr>
            <w:tcW w:w="8771" w:type="dxa"/>
            <w:tcBorders>
              <w:top w:val="nil"/>
              <w:left w:val="nil"/>
              <w:bottom w:val="nil"/>
              <w:right w:val="nil"/>
            </w:tcBorders>
            <w:shd w:val="clear" w:color="auto" w:fill="auto"/>
          </w:tcPr>
          <w:p w:rsidR="00F15C9E" w:rsidRDefault="00F15C9E" w:rsidP="00F15C9E">
            <w:pPr>
              <w:pStyle w:val="Note"/>
              <w:rPr>
                <w:i/>
              </w:rPr>
            </w:pPr>
            <w:r w:rsidRPr="002605A8">
              <w:rPr>
                <w:rStyle w:val="NoteLabel"/>
              </w:rPr>
              <w:t>a</w:t>
            </w:r>
            <w:r w:rsidRPr="002605A8">
              <w:t> </w:t>
            </w:r>
            <w:r w:rsidRPr="00386323">
              <w:t>Data may be subject to a revision process as new or amended information is made available.</w:t>
            </w:r>
            <w:r w:rsidRPr="002605A8">
              <w:t xml:space="preserve"> – Nil or rounded to zero.</w:t>
            </w:r>
          </w:p>
        </w:tc>
      </w:tr>
      <w:tr w:rsidR="00F15C9E" w:rsidTr="00D54DD2">
        <w:trPr>
          <w:cantSplit/>
        </w:trPr>
        <w:tc>
          <w:tcPr>
            <w:tcW w:w="8771" w:type="dxa"/>
            <w:tcBorders>
              <w:top w:val="nil"/>
              <w:left w:val="nil"/>
              <w:bottom w:val="nil"/>
              <w:right w:val="nil"/>
            </w:tcBorders>
            <w:shd w:val="clear" w:color="auto" w:fill="auto"/>
          </w:tcPr>
          <w:p w:rsidR="00F15C9E" w:rsidRDefault="00F15C9E" w:rsidP="00D54DD2">
            <w:pPr>
              <w:pStyle w:val="Source"/>
            </w:pPr>
            <w:r w:rsidRPr="002605A8">
              <w:rPr>
                <w:i/>
              </w:rPr>
              <w:t>Source</w:t>
            </w:r>
            <w:r w:rsidRPr="002605A8">
              <w:t>: Australasian Fire and Emergency Service Authorities Council (unpublished); table 9A.8.</w:t>
            </w:r>
          </w:p>
        </w:tc>
      </w:tr>
      <w:tr w:rsidR="00F15C9E" w:rsidTr="00D54DD2">
        <w:trPr>
          <w:cantSplit/>
        </w:trPr>
        <w:tc>
          <w:tcPr>
            <w:tcW w:w="8771" w:type="dxa"/>
            <w:tcBorders>
              <w:top w:val="nil"/>
              <w:left w:val="nil"/>
              <w:bottom w:val="single" w:sz="6" w:space="0" w:color="78A22F" w:themeColor="accent1"/>
              <w:right w:val="nil"/>
            </w:tcBorders>
            <w:shd w:val="clear" w:color="auto" w:fill="auto"/>
          </w:tcPr>
          <w:p w:rsidR="00F15C9E" w:rsidRDefault="00F15C9E" w:rsidP="00D54DD2">
            <w:pPr>
              <w:pStyle w:val="Box"/>
              <w:spacing w:before="0" w:line="120" w:lineRule="exact"/>
            </w:pPr>
          </w:p>
        </w:tc>
      </w:tr>
      <w:tr w:rsidR="00F15C9E" w:rsidRPr="000863A5" w:rsidTr="00D54DD2">
        <w:tc>
          <w:tcPr>
            <w:tcW w:w="8771" w:type="dxa"/>
            <w:tcBorders>
              <w:top w:val="single" w:sz="6" w:space="0" w:color="78A22F" w:themeColor="accent1"/>
              <w:left w:val="nil"/>
              <w:bottom w:val="nil"/>
              <w:right w:val="nil"/>
            </w:tcBorders>
          </w:tcPr>
          <w:p w:rsidR="00F15C9E" w:rsidRPr="00626D32" w:rsidRDefault="00F15C9E" w:rsidP="00D54DD2">
            <w:pPr>
              <w:pStyle w:val="BoxSpaceBelow"/>
            </w:pPr>
          </w:p>
        </w:tc>
      </w:tr>
    </w:tbl>
    <w:p w:rsidR="00986A8B" w:rsidRPr="00916BFB" w:rsidRDefault="00986A8B" w:rsidP="005A30B9">
      <w:pPr>
        <w:pStyle w:val="Heading5"/>
      </w:pPr>
      <w:r w:rsidRPr="00916BFB">
        <w:t>Fire injury rate</w:t>
      </w:r>
    </w:p>
    <w:p w:rsidR="00986A8B" w:rsidRDefault="00986A8B" w:rsidP="00BA16E1">
      <w:pPr>
        <w:pStyle w:val="BodyText"/>
      </w:pPr>
      <w:r w:rsidRPr="0097146D">
        <w:t>‘Fire injury rate’ is an indicator of governments’ objective to minimise the adverse effects of fire events on the community and enhance public safety and is measured by the annual fire hospitalisation rate (box</w:t>
      </w:r>
      <w:r w:rsidR="00C35EA2">
        <w:t> </w:t>
      </w:r>
      <w:r w:rsidR="00800D6F">
        <w:t>9.11</w:t>
      </w:r>
      <w:r w:rsidRPr="0097146D">
        <w:t xml:space="preserve">). </w:t>
      </w:r>
    </w:p>
    <w:p w:rsidR="00F15C9E" w:rsidRDefault="00F15C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15C9E" w:rsidTr="00D54DD2">
        <w:tc>
          <w:tcPr>
            <w:tcW w:w="8771" w:type="dxa"/>
            <w:tcBorders>
              <w:top w:val="single" w:sz="6" w:space="0" w:color="78A22F"/>
              <w:left w:val="nil"/>
              <w:bottom w:val="nil"/>
              <w:right w:val="nil"/>
            </w:tcBorders>
            <w:shd w:val="clear" w:color="auto" w:fill="F2F2F2" w:themeFill="background1" w:themeFillShade="F2"/>
          </w:tcPr>
          <w:p w:rsidR="00F15C9E" w:rsidRDefault="00F15C9E" w:rsidP="00F15C9E">
            <w:pPr>
              <w:pStyle w:val="BoxTitle"/>
            </w:pPr>
            <w:r>
              <w:rPr>
                <w:b w:val="0"/>
              </w:rPr>
              <w:t xml:space="preserve">Box </w:t>
            </w:r>
            <w:bookmarkStart w:id="54" w:name="OLE_LINK27"/>
            <w:r w:rsidR="00B2521B">
              <w:rPr>
                <w:b w:val="0"/>
              </w:rPr>
              <w:t>9.</w:t>
            </w:r>
            <w:r w:rsidR="00D52162">
              <w:rPr>
                <w:b w:val="0"/>
                <w:noProof/>
              </w:rPr>
              <w:t>11</w:t>
            </w:r>
            <w:bookmarkEnd w:id="54"/>
            <w:r>
              <w:tab/>
              <w:t>F</w:t>
            </w:r>
            <w:r w:rsidRPr="00A9590D">
              <w:t>ire injury rate</w:t>
            </w:r>
          </w:p>
        </w:tc>
      </w:tr>
      <w:tr w:rsidR="00F15C9E" w:rsidTr="00D54DD2">
        <w:trPr>
          <w:cantSplit/>
        </w:trPr>
        <w:tc>
          <w:tcPr>
            <w:tcW w:w="8771" w:type="dxa"/>
            <w:tcBorders>
              <w:top w:val="nil"/>
              <w:left w:val="nil"/>
              <w:bottom w:val="nil"/>
              <w:right w:val="nil"/>
            </w:tcBorders>
            <w:shd w:val="clear" w:color="auto" w:fill="F2F2F2" w:themeFill="background1" w:themeFillShade="F2"/>
          </w:tcPr>
          <w:p w:rsidR="00F15C9E" w:rsidRPr="00A9590D" w:rsidRDefault="00F15C9E" w:rsidP="00D54DD2">
            <w:pPr>
              <w:pStyle w:val="Box"/>
            </w:pPr>
            <w:r w:rsidRPr="00A9590D">
              <w:t>‘</w:t>
            </w:r>
            <w:r>
              <w:t>F</w:t>
            </w:r>
            <w:r w:rsidRPr="00A9590D">
              <w:t xml:space="preserve">ire injury rate’ is defined as the number of fire injuries per 100 000 people. </w:t>
            </w:r>
          </w:p>
          <w:p w:rsidR="00F15C9E" w:rsidRPr="00A9590D" w:rsidRDefault="00F15C9E" w:rsidP="00D54DD2">
            <w:pPr>
              <w:pStyle w:val="Box"/>
            </w:pPr>
            <w:r w:rsidRPr="00A9590D">
              <w:t>A lower fire injury rate represents a better outcome.</w:t>
            </w:r>
          </w:p>
          <w:p w:rsidR="00F15C9E" w:rsidRPr="00A9590D" w:rsidRDefault="00F15C9E" w:rsidP="00D54DD2">
            <w:pPr>
              <w:pStyle w:val="Box"/>
            </w:pPr>
            <w:r w:rsidRPr="00A9590D">
              <w:t>Fire injuries are represented by hospital admissions (excluding emergency department non</w:t>
            </w:r>
            <w:r w:rsidRPr="00A9590D">
              <w:noBreakHyphen/>
              <w:t>admitted casualties) and are reported by the State or Territory where the admission occurs. A person injured by fire may be treated more than once, and in more than one State or Territory. Deaths from fire injuries after hospitalisation have been removed from the fire injuries data for the time series because these are counted in the fire death rate.</w:t>
            </w:r>
          </w:p>
          <w:p w:rsidR="00F15C9E" w:rsidRPr="00A9590D" w:rsidRDefault="00F15C9E" w:rsidP="00D54DD2">
            <w:pPr>
              <w:pStyle w:val="Box"/>
              <w:keepNext w:val="0"/>
              <w:ind w:right="-138"/>
            </w:pPr>
            <w:r w:rsidRPr="00A9590D">
              <w:t>Data for this measure are:</w:t>
            </w:r>
          </w:p>
          <w:p w:rsidR="00F15C9E" w:rsidRPr="00A9590D" w:rsidRDefault="00F15C9E" w:rsidP="00D54DD2">
            <w:pPr>
              <w:pStyle w:val="BoxListBullet"/>
            </w:pPr>
            <w:r w:rsidRPr="00A9590D">
              <w:t>comparable (subject to caveats) across jurisdictions and over time</w:t>
            </w:r>
          </w:p>
          <w:p w:rsidR="00F15C9E" w:rsidRPr="00A9590D" w:rsidRDefault="00F15C9E" w:rsidP="00D54DD2">
            <w:pPr>
              <w:pStyle w:val="BoxListBullet"/>
            </w:pPr>
            <w:r>
              <w:t>complete (subject to caveats) for the current reporting period</w:t>
            </w:r>
            <w:r w:rsidRPr="00A9590D">
              <w:t xml:space="preserve">. All required </w:t>
            </w:r>
            <w:r w:rsidR="00FA5D77">
              <w:t>201</w:t>
            </w:r>
            <w:r w:rsidR="00A73035">
              <w:t>2</w:t>
            </w:r>
            <w:r w:rsidR="0026487F">
              <w:noBreakHyphen/>
            </w:r>
            <w:r w:rsidR="00FA5D77">
              <w:t>1</w:t>
            </w:r>
            <w:r w:rsidR="00A73035">
              <w:t>3</w:t>
            </w:r>
            <w:r w:rsidRPr="00A9590D">
              <w:t xml:space="preserve"> data are available for all jurisdictions.</w:t>
            </w:r>
          </w:p>
          <w:p w:rsidR="00F15C9E" w:rsidRPr="00A9590D" w:rsidRDefault="00F15C9E" w:rsidP="00D54DD2">
            <w:pPr>
              <w:pStyle w:val="Box"/>
            </w:pPr>
            <w:r w:rsidRPr="00A9590D">
              <w:t>Data quality information for this indicator</w:t>
            </w:r>
            <w:r w:rsidR="00DA507A">
              <w:t xml:space="preserve"> is at www.pc.gov.au</w:t>
            </w:r>
            <w:r w:rsidR="00992CC1">
              <w:t>/rogs/2015</w:t>
            </w:r>
            <w:r w:rsidRPr="00A9590D">
              <w:t>.</w:t>
            </w:r>
          </w:p>
        </w:tc>
      </w:tr>
      <w:tr w:rsidR="00F15C9E" w:rsidTr="00D54DD2">
        <w:trPr>
          <w:cantSplit/>
        </w:trPr>
        <w:tc>
          <w:tcPr>
            <w:tcW w:w="8771" w:type="dxa"/>
            <w:tcBorders>
              <w:top w:val="nil"/>
              <w:left w:val="nil"/>
              <w:bottom w:val="single" w:sz="6" w:space="0" w:color="78A22F"/>
              <w:right w:val="nil"/>
            </w:tcBorders>
            <w:shd w:val="clear" w:color="auto" w:fill="F2F2F2" w:themeFill="background1" w:themeFillShade="F2"/>
          </w:tcPr>
          <w:p w:rsidR="00F15C9E" w:rsidRDefault="00F15C9E">
            <w:pPr>
              <w:pStyle w:val="Box"/>
              <w:spacing w:before="0" w:line="120" w:lineRule="exact"/>
            </w:pPr>
          </w:p>
        </w:tc>
      </w:tr>
      <w:tr w:rsidR="00F15C9E" w:rsidRPr="000863A5" w:rsidTr="00D54DD2">
        <w:tc>
          <w:tcPr>
            <w:tcW w:w="8771" w:type="dxa"/>
            <w:tcBorders>
              <w:top w:val="single" w:sz="6" w:space="0" w:color="78A22F"/>
              <w:left w:val="nil"/>
              <w:bottom w:val="nil"/>
              <w:right w:val="nil"/>
            </w:tcBorders>
          </w:tcPr>
          <w:p w:rsidR="00F15C9E" w:rsidRPr="00626D32" w:rsidRDefault="00F15C9E" w:rsidP="00D54DD2">
            <w:pPr>
              <w:pStyle w:val="BoxSpaceBelow"/>
            </w:pPr>
          </w:p>
        </w:tc>
      </w:tr>
    </w:tbl>
    <w:p w:rsidR="00986A8B" w:rsidRDefault="00986A8B" w:rsidP="00916BFB">
      <w:pPr>
        <w:pStyle w:val="BodyText"/>
      </w:pPr>
      <w:r w:rsidRPr="0054109B">
        <w:t>Nationally in 20</w:t>
      </w:r>
      <w:r w:rsidR="00865984" w:rsidRPr="0054109B">
        <w:t>1</w:t>
      </w:r>
      <w:r w:rsidR="00412FEE">
        <w:t>2</w:t>
      </w:r>
      <w:r w:rsidRPr="0054109B">
        <w:noBreakHyphen/>
        <w:t>1</w:t>
      </w:r>
      <w:r w:rsidR="00412FEE">
        <w:t>3</w:t>
      </w:r>
      <w:r w:rsidRPr="0054109B">
        <w:t xml:space="preserve">, there were </w:t>
      </w:r>
      <w:r w:rsidR="006D2CDF">
        <w:t>4</w:t>
      </w:r>
      <w:r w:rsidR="00DF3677">
        <w:t>114</w:t>
      </w:r>
      <w:r w:rsidRPr="0054109B">
        <w:t xml:space="preserve"> hospital admissions due to fire injury (table 9</w:t>
      </w:r>
      <w:r w:rsidR="00571DB1" w:rsidRPr="0054109B">
        <w:t>A.</w:t>
      </w:r>
      <w:r w:rsidR="00EE6D23">
        <w:t>9</w:t>
      </w:r>
      <w:r w:rsidRPr="0054109B">
        <w:t xml:space="preserve">) and the rate per 100 000 people was </w:t>
      </w:r>
      <w:r w:rsidR="00865984" w:rsidRPr="0054109B">
        <w:t>1</w:t>
      </w:r>
      <w:r w:rsidR="00AB092B">
        <w:t>8.0</w:t>
      </w:r>
      <w:r w:rsidRPr="0054109B">
        <w:t xml:space="preserve"> (figure</w:t>
      </w:r>
      <w:r w:rsidR="00C35EA2">
        <w:t> </w:t>
      </w:r>
      <w:r w:rsidR="00800D6F">
        <w:t>9.16</w:t>
      </w:r>
      <w:r w:rsidRPr="0054109B">
        <w:t xml:space="preserve">). </w:t>
      </w:r>
    </w:p>
    <w:p w:rsidR="00F15C9E" w:rsidRDefault="00F15C9E" w:rsidP="00D54DD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15C9E" w:rsidTr="00D54DD2">
        <w:tc>
          <w:tcPr>
            <w:tcW w:w="8771" w:type="dxa"/>
            <w:tcBorders>
              <w:top w:val="single" w:sz="6" w:space="0" w:color="78A22F"/>
              <w:left w:val="nil"/>
              <w:bottom w:val="nil"/>
              <w:right w:val="nil"/>
            </w:tcBorders>
            <w:shd w:val="clear" w:color="auto" w:fill="auto"/>
          </w:tcPr>
          <w:p w:rsidR="00F15C9E" w:rsidRPr="00176D3F" w:rsidRDefault="00F15C9E" w:rsidP="00F15C9E">
            <w:pPr>
              <w:pStyle w:val="FigureTitle"/>
            </w:pPr>
            <w:r w:rsidRPr="00784A05">
              <w:rPr>
                <w:b w:val="0"/>
              </w:rPr>
              <w:t xml:space="preserve">Figure </w:t>
            </w:r>
            <w:bookmarkStart w:id="55" w:name="OLE_LINK28"/>
            <w:r w:rsidR="00B2521B">
              <w:rPr>
                <w:b w:val="0"/>
              </w:rPr>
              <w:t>9.</w:t>
            </w:r>
            <w:r w:rsidR="00D52162">
              <w:rPr>
                <w:b w:val="0"/>
                <w:noProof/>
              </w:rPr>
              <w:t>16</w:t>
            </w:r>
            <w:bookmarkEnd w:id="55"/>
            <w:r>
              <w:tab/>
            </w:r>
            <w:r w:rsidRPr="00964C77">
              <w:t>Annual fire hospitalisation rate</w:t>
            </w:r>
            <w:r w:rsidRPr="00964C77">
              <w:rPr>
                <w:rStyle w:val="NoteLabel"/>
                <w:b/>
              </w:rPr>
              <w:t>a, b</w:t>
            </w:r>
            <w:r w:rsidRPr="00446594">
              <w:rPr>
                <w:rStyle w:val="NoteLabel"/>
                <w:b/>
              </w:rPr>
              <w:t>, c</w:t>
            </w:r>
            <w:r w:rsidR="009033C3">
              <w:rPr>
                <w:rStyle w:val="NoteLabel"/>
                <w:b/>
              </w:rPr>
              <w:t>, d</w:t>
            </w:r>
          </w:p>
        </w:tc>
      </w:tr>
      <w:tr w:rsidR="00F15C9E" w:rsidTr="00D54DD2">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F15C9E" w:rsidTr="00677D4D">
              <w:tc>
                <w:tcPr>
                  <w:tcW w:w="5000" w:type="pct"/>
                  <w:tcBorders>
                    <w:top w:val="nil"/>
                    <w:bottom w:val="nil"/>
                  </w:tcBorders>
                </w:tcPr>
                <w:p w:rsidR="00F15C9E" w:rsidRDefault="00D30935" w:rsidP="00D54DD2">
                  <w:pPr>
                    <w:pStyle w:val="Figure"/>
                    <w:spacing w:before="60" w:after="60"/>
                  </w:pPr>
                  <w:r>
                    <w:rPr>
                      <w:noProof/>
                    </w:rPr>
                    <w:drawing>
                      <wp:inline distT="0" distB="0" distL="0" distR="0">
                        <wp:extent cx="5405755" cy="2707640"/>
                        <wp:effectExtent l="0" t="0" r="4445" b="0"/>
                        <wp:docPr id="22" name="Picture 22" descr="Figure 9.16 Annual fire hospitalisation rat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F15C9E" w:rsidRDefault="00F15C9E" w:rsidP="00D54DD2">
            <w:pPr>
              <w:pStyle w:val="Figure"/>
            </w:pPr>
          </w:p>
        </w:tc>
      </w:tr>
      <w:tr w:rsidR="00F15C9E" w:rsidRPr="00176D3F" w:rsidTr="00D54DD2">
        <w:tc>
          <w:tcPr>
            <w:tcW w:w="8771" w:type="dxa"/>
            <w:tcBorders>
              <w:top w:val="nil"/>
              <w:left w:val="nil"/>
              <w:bottom w:val="nil"/>
              <w:right w:val="nil"/>
            </w:tcBorders>
            <w:shd w:val="clear" w:color="auto" w:fill="auto"/>
          </w:tcPr>
          <w:p w:rsidR="00F15C9E" w:rsidRPr="00176D3F" w:rsidRDefault="00F15C9E" w:rsidP="009033C3">
            <w:pPr>
              <w:pStyle w:val="Note"/>
              <w:widowControl w:val="0"/>
            </w:pPr>
            <w:r w:rsidRPr="002605A8">
              <w:rPr>
                <w:rStyle w:val="NoteLabel"/>
              </w:rPr>
              <w:t>a</w:t>
            </w:r>
            <w:r w:rsidRPr="002605A8">
              <w:t> </w:t>
            </w:r>
            <w:r w:rsidR="00451886" w:rsidRPr="00451886">
              <w:t>Fire injuries are represented by hospital admissions and are reported by the State or Territory where the injury is treated.</w:t>
            </w:r>
            <w:r w:rsidR="00451886" w:rsidRPr="002605A8">
              <w:rPr>
                <w:rStyle w:val="NoteLabel"/>
              </w:rPr>
              <w:t xml:space="preserve"> b</w:t>
            </w:r>
            <w:r w:rsidR="00451886" w:rsidRPr="002605A8">
              <w:t> </w:t>
            </w:r>
            <w:r w:rsidR="00451886" w:rsidRPr="00451886">
              <w:t>Fire injuries are coded according to the ICD and Related Health Problems Revision 10 (ICD</w:t>
            </w:r>
            <w:r w:rsidR="0026487F">
              <w:noBreakHyphen/>
            </w:r>
            <w:r w:rsidR="00451886" w:rsidRPr="00451886">
              <w:t>10) and include ICD fire injury codes X00</w:t>
            </w:r>
            <w:r w:rsidR="0026487F">
              <w:noBreakHyphen/>
            </w:r>
            <w:r w:rsidR="00451886" w:rsidRPr="00451886">
              <w:t>X09 plus X76, X97 and Y26.</w:t>
            </w:r>
            <w:r w:rsidRPr="002605A8">
              <w:t xml:space="preserve"> </w:t>
            </w:r>
            <w:r w:rsidR="00451886" w:rsidRPr="00446594">
              <w:rPr>
                <w:rStyle w:val="NoteLabel"/>
              </w:rPr>
              <w:t>c</w:t>
            </w:r>
            <w:r w:rsidR="009033C3" w:rsidRPr="00446594">
              <w:rPr>
                <w:rStyle w:val="NoteLabel"/>
              </w:rPr>
              <w:t> </w:t>
            </w:r>
            <w:r w:rsidR="009033C3" w:rsidRPr="00446594">
              <w:t>The reference period for these data is 2008</w:t>
            </w:r>
            <w:r w:rsidR="009033C3" w:rsidRPr="00446594">
              <w:noBreakHyphen/>
              <w:t>09 to 2012</w:t>
            </w:r>
            <w:r w:rsidR="009033C3" w:rsidRPr="00446594">
              <w:noBreakHyphen/>
              <w:t>13. Data are not available for 2013</w:t>
            </w:r>
            <w:r w:rsidR="009033C3" w:rsidRPr="00446594">
              <w:noBreakHyphen/>
              <w:t>14.</w:t>
            </w:r>
            <w:r w:rsidR="009033C3">
              <w:rPr>
                <w:rStyle w:val="NoteLabel"/>
              </w:rPr>
              <w:t xml:space="preserve"> d </w:t>
            </w:r>
            <w:r w:rsidRPr="002605A8">
              <w:t> </w:t>
            </w:r>
            <w:r w:rsidR="00451886" w:rsidRPr="00451886">
              <w:t xml:space="preserve">Population data used to derive rates are as at </w:t>
            </w:r>
            <w:r w:rsidR="00F33424">
              <w:t xml:space="preserve">31 December. Estimated Resident Population (ERP) data for </w:t>
            </w:r>
            <w:r w:rsidR="00D32E9E">
              <w:t>2009 to 2010</w:t>
            </w:r>
            <w:r w:rsidR="00F33424">
              <w:t xml:space="preserve"> </w:t>
            </w:r>
            <w:r w:rsidR="00451886" w:rsidRPr="00451886">
              <w:t>are final, based on the 2011 Census of Population and Housing. Estimates for 2011 onwards are preliminary. See chapter 2 (table 2A.2) for details.</w:t>
            </w:r>
          </w:p>
        </w:tc>
      </w:tr>
      <w:tr w:rsidR="00F15C9E" w:rsidRPr="00176D3F" w:rsidTr="00D54DD2">
        <w:tc>
          <w:tcPr>
            <w:tcW w:w="8771" w:type="dxa"/>
            <w:tcBorders>
              <w:top w:val="nil"/>
              <w:left w:val="nil"/>
              <w:bottom w:val="nil"/>
              <w:right w:val="nil"/>
            </w:tcBorders>
            <w:shd w:val="clear" w:color="auto" w:fill="auto"/>
          </w:tcPr>
          <w:p w:rsidR="00F15C9E" w:rsidRPr="00176D3F" w:rsidRDefault="00F15C9E" w:rsidP="00D54DD2">
            <w:pPr>
              <w:pStyle w:val="Source"/>
            </w:pPr>
            <w:r w:rsidRPr="002605A8">
              <w:rPr>
                <w:i/>
              </w:rPr>
              <w:t>Source</w:t>
            </w:r>
            <w:r w:rsidRPr="002605A8">
              <w:t xml:space="preserve">: Australian Institute of Health and Welfare (AIHW), </w:t>
            </w:r>
            <w:r w:rsidRPr="002605A8">
              <w:rPr>
                <w:i/>
              </w:rPr>
              <w:t>National Hospital Morbidity Database</w:t>
            </w:r>
            <w:r w:rsidRPr="002605A8">
              <w:t xml:space="preserve"> (unpublished); table 9A.9.</w:t>
            </w:r>
          </w:p>
        </w:tc>
      </w:tr>
      <w:tr w:rsidR="00F15C9E" w:rsidTr="00D54DD2">
        <w:tc>
          <w:tcPr>
            <w:tcW w:w="8771" w:type="dxa"/>
            <w:tcBorders>
              <w:top w:val="nil"/>
              <w:left w:val="nil"/>
              <w:bottom w:val="single" w:sz="6" w:space="0" w:color="78A22F"/>
              <w:right w:val="nil"/>
            </w:tcBorders>
            <w:shd w:val="clear" w:color="auto" w:fill="auto"/>
          </w:tcPr>
          <w:p w:rsidR="00F15C9E" w:rsidRDefault="00F15C9E" w:rsidP="00D54DD2">
            <w:pPr>
              <w:pStyle w:val="Figurespace"/>
            </w:pPr>
          </w:p>
        </w:tc>
      </w:tr>
      <w:tr w:rsidR="00F15C9E" w:rsidRPr="000863A5" w:rsidTr="00D54DD2">
        <w:tc>
          <w:tcPr>
            <w:tcW w:w="8771" w:type="dxa"/>
            <w:tcBorders>
              <w:top w:val="single" w:sz="6" w:space="0" w:color="78A22F"/>
              <w:left w:val="nil"/>
              <w:bottom w:val="nil"/>
              <w:right w:val="nil"/>
            </w:tcBorders>
          </w:tcPr>
          <w:p w:rsidR="00F15C9E" w:rsidRPr="00626D32" w:rsidRDefault="00F15C9E" w:rsidP="00D54DD2">
            <w:pPr>
              <w:pStyle w:val="BoxSpaceBelow"/>
            </w:pPr>
          </w:p>
        </w:tc>
      </w:tr>
    </w:tbl>
    <w:p w:rsidR="00B9312F" w:rsidRPr="002605A8" w:rsidRDefault="00B9312F" w:rsidP="00B9312F">
      <w:pPr>
        <w:pStyle w:val="BodyText"/>
      </w:pPr>
      <w:r w:rsidRPr="002605A8">
        <w:t>Fire hospitalisation rates need to be interpreted with caution because of the small number of fire injuries. There is also strong anecdotal evidence that reliance on hospital separation data may result in a significant underestimation of the number of people affected by burn injuries (Australian Government 2012). One method to overcome data volatility is to present fire hospitalisation rates as three</w:t>
      </w:r>
      <w:r w:rsidRPr="002605A8">
        <w:noBreakHyphen/>
        <w:t>year averages, which are reported in the attachment tables (table 9A.9).</w:t>
      </w:r>
    </w:p>
    <w:p w:rsidR="00D1132B" w:rsidRPr="00BF30C7" w:rsidRDefault="00B9312F" w:rsidP="00D26F6C">
      <w:pPr>
        <w:pStyle w:val="BodyText"/>
      </w:pPr>
      <w:r>
        <w:t xml:space="preserve">The </w:t>
      </w:r>
      <w:r w:rsidR="00D31DF1">
        <w:t xml:space="preserve">Australian Institute of Health and Welfare (AIHW) </w:t>
      </w:r>
      <w:r>
        <w:t>has provided a</w:t>
      </w:r>
      <w:r w:rsidR="00D1132B">
        <w:t>nalysis of the t</w:t>
      </w:r>
      <w:r w:rsidR="00D1132B" w:rsidRPr="009C3451">
        <w:t xml:space="preserve">rends in hospitalised </w:t>
      </w:r>
      <w:r w:rsidR="00D1132B">
        <w:t xml:space="preserve">accidental burn </w:t>
      </w:r>
      <w:r w:rsidR="00D1132B" w:rsidRPr="009C3451">
        <w:t>injury</w:t>
      </w:r>
      <w:r w:rsidR="00D1132B">
        <w:t xml:space="preserve"> from the years 2001</w:t>
      </w:r>
      <w:r w:rsidR="00CC7814">
        <w:noBreakHyphen/>
      </w:r>
      <w:r w:rsidR="00D1132B">
        <w:t>02 to 2010</w:t>
      </w:r>
      <w:r w:rsidR="00D1132B">
        <w:noBreakHyphen/>
        <w:t>11</w:t>
      </w:r>
      <w:r>
        <w:t xml:space="preserve"> (which includes burn injuries related to </w:t>
      </w:r>
      <w:r w:rsidR="00D26F6C">
        <w:t>c</w:t>
      </w:r>
      <w:r w:rsidRPr="00B9312F">
        <w:t>ontact with heat and hot substances</w:t>
      </w:r>
      <w:r w:rsidR="00D26F6C">
        <w:t>). It shows that</w:t>
      </w:r>
      <w:r w:rsidR="00D1132B">
        <w:t xml:space="preserve"> the following v</w:t>
      </w:r>
      <w:r w:rsidR="00D1132B" w:rsidRPr="00E4703B">
        <w:t xml:space="preserve">ulnerable groups </w:t>
      </w:r>
      <w:r w:rsidR="00D1132B">
        <w:t xml:space="preserve">were at risk of </w:t>
      </w:r>
      <w:r w:rsidR="00D1132B" w:rsidRPr="00220189">
        <w:t>suffering</w:t>
      </w:r>
      <w:r w:rsidR="00D1132B">
        <w:t xml:space="preserve"> </w:t>
      </w:r>
      <w:r w:rsidR="00D1132B" w:rsidRPr="00BF30C7">
        <w:t>accidental burns injuries (AIHW 2013).</w:t>
      </w:r>
    </w:p>
    <w:p w:rsidR="00D1132B" w:rsidRDefault="00D1132B" w:rsidP="00D1132B">
      <w:pPr>
        <w:pStyle w:val="ListBullet"/>
      </w:pPr>
      <w:r w:rsidRPr="009C3451">
        <w:rPr>
          <w:i/>
        </w:rPr>
        <w:t>Young children</w:t>
      </w:r>
      <w:r>
        <w:t xml:space="preserve"> — Burn injury rates are highest for young children aged 0–4. The national incidence rate is higher for boys than girls aged 0–4. </w:t>
      </w:r>
    </w:p>
    <w:p w:rsidR="00D1132B" w:rsidRDefault="00D1132B" w:rsidP="00D1132B">
      <w:pPr>
        <w:pStyle w:val="ListBullet"/>
      </w:pPr>
      <w:r w:rsidRPr="00F53712">
        <w:rPr>
          <w:i/>
        </w:rPr>
        <w:t>Adolescent/young adult males</w:t>
      </w:r>
      <w:r>
        <w:t xml:space="preserve"> — Young adult males show consistently higher burn injury rates, with higher proportions of burn injuries from </w:t>
      </w:r>
      <w:r w:rsidR="005A30B9">
        <w:t xml:space="preserve">exposure </w:t>
      </w:r>
      <w:r>
        <w:t xml:space="preserve">to ignition of highly flammable material (such as petrol) and </w:t>
      </w:r>
      <w:r w:rsidR="005A30B9">
        <w:t xml:space="preserve">exposure </w:t>
      </w:r>
      <w:r>
        <w:t>to controlled fire, not in building or structure (such as campfire).</w:t>
      </w:r>
    </w:p>
    <w:p w:rsidR="00D1132B" w:rsidRDefault="00D1132B" w:rsidP="00D1132B">
      <w:pPr>
        <w:pStyle w:val="ListBullet"/>
      </w:pPr>
      <w:r w:rsidRPr="009C3451">
        <w:rPr>
          <w:i/>
        </w:rPr>
        <w:lastRenderedPageBreak/>
        <w:t>Remoteness of usual residence</w:t>
      </w:r>
      <w:r>
        <w:t xml:space="preserve"> — Burn injuries </w:t>
      </w:r>
      <w:r w:rsidRPr="00FF2781">
        <w:t xml:space="preserve">increased with remoteness. </w:t>
      </w:r>
      <w:r>
        <w:t>I</w:t>
      </w:r>
      <w:r w:rsidRPr="00FF2781">
        <w:t>n</w:t>
      </w:r>
      <w:r>
        <w:t xml:space="preserve"> </w:t>
      </w:r>
      <w:r w:rsidRPr="00FF2781">
        <w:t>2010</w:t>
      </w:r>
      <w:r>
        <w:noBreakHyphen/>
      </w:r>
      <w:r w:rsidRPr="00FF2781">
        <w:t>11</w:t>
      </w:r>
      <w:r>
        <w:t>, t</w:t>
      </w:r>
      <w:r w:rsidRPr="00FF2781">
        <w:t xml:space="preserve">he lowest </w:t>
      </w:r>
      <w:r>
        <w:t xml:space="preserve">national </w:t>
      </w:r>
      <w:r w:rsidRPr="00FF2781">
        <w:t xml:space="preserve">rate was in </w:t>
      </w:r>
      <w:r w:rsidRPr="00F53712">
        <w:rPr>
          <w:iCs/>
        </w:rPr>
        <w:t xml:space="preserve">Major cities </w:t>
      </w:r>
      <w:r w:rsidRPr="00F53712">
        <w:t xml:space="preserve">(22 per 100 000 </w:t>
      </w:r>
      <w:r w:rsidR="005407F5">
        <w:t xml:space="preserve">people in the </w:t>
      </w:r>
      <w:r w:rsidRPr="00F53712">
        <w:t xml:space="preserve">population) and the highest in </w:t>
      </w:r>
      <w:r w:rsidRPr="00F53712">
        <w:rPr>
          <w:iCs/>
        </w:rPr>
        <w:t xml:space="preserve">Very remote </w:t>
      </w:r>
      <w:r w:rsidRPr="00FF2781">
        <w:t>areas (97</w:t>
      </w:r>
      <w:r w:rsidR="005407F5" w:rsidRPr="00F53712">
        <w:t xml:space="preserve"> per 100 000 </w:t>
      </w:r>
      <w:r w:rsidR="005407F5">
        <w:t>people</w:t>
      </w:r>
      <w:r w:rsidRPr="00FF2781">
        <w:t>).</w:t>
      </w:r>
    </w:p>
    <w:p w:rsidR="00D1132B" w:rsidRPr="002605A8" w:rsidRDefault="00DE5343" w:rsidP="00D1132B">
      <w:pPr>
        <w:pStyle w:val="ListBullet"/>
      </w:pPr>
      <w:r>
        <w:rPr>
          <w:i/>
        </w:rPr>
        <w:t>Aboriginal and Torres Strait Islander</w:t>
      </w:r>
      <w:r w:rsidR="00D26F6C">
        <w:rPr>
          <w:i/>
        </w:rPr>
        <w:t xml:space="preserve"> people</w:t>
      </w:r>
      <w:r>
        <w:rPr>
          <w:i/>
        </w:rPr>
        <w:t xml:space="preserve"> </w:t>
      </w:r>
      <w:r w:rsidR="00D1132B" w:rsidRPr="002605A8">
        <w:t>— The age</w:t>
      </w:r>
      <w:r w:rsidR="00CC7814">
        <w:noBreakHyphen/>
      </w:r>
      <w:r w:rsidR="00D1132B" w:rsidRPr="002605A8">
        <w:t xml:space="preserve">standardised burn injury rates among </w:t>
      </w:r>
      <w:r>
        <w:t>Aborig</w:t>
      </w:r>
      <w:r w:rsidR="00D26F6C">
        <w:t>inal and Torres Strait Islander people</w:t>
      </w:r>
      <w:r>
        <w:t xml:space="preserve"> </w:t>
      </w:r>
      <w:r w:rsidR="00D1132B" w:rsidRPr="002605A8">
        <w:t>are more than twice that of non</w:t>
      </w:r>
      <w:r w:rsidR="00D1132B" w:rsidRPr="002605A8">
        <w:noBreakHyphen/>
        <w:t xml:space="preserve">Indigenous people. </w:t>
      </w:r>
      <w:r>
        <w:t>Aboriginal and Torres Strait Islander</w:t>
      </w:r>
      <w:r w:rsidR="00D26F6C">
        <w:t xml:space="preserve"> people</w:t>
      </w:r>
      <w:r>
        <w:t xml:space="preserve"> </w:t>
      </w:r>
      <w:r w:rsidR="00D1132B" w:rsidRPr="002605A8">
        <w:t>are also more likely to sustain severe burns injuries (APH 2010).</w:t>
      </w:r>
    </w:p>
    <w:p w:rsidR="00986A8B" w:rsidRPr="0007767E" w:rsidRDefault="00986A8B" w:rsidP="00DB5B58">
      <w:pPr>
        <w:pStyle w:val="Heading5"/>
      </w:pPr>
      <w:r w:rsidRPr="0007767E">
        <w:t>Confinement to room/object of origin</w:t>
      </w:r>
    </w:p>
    <w:p w:rsidR="00986A8B" w:rsidRDefault="00986A8B" w:rsidP="0007767E">
      <w:pPr>
        <w:pStyle w:val="BodyText"/>
      </w:pPr>
      <w:r w:rsidRPr="0054109B">
        <w:t xml:space="preserve">‘Confinement to room/object of origin’ is an indicator of governments’ objective to reduce the adverse </w:t>
      </w:r>
      <w:r w:rsidRPr="0007767E">
        <w:t>effects</w:t>
      </w:r>
      <w:r w:rsidRPr="0054109B">
        <w:t xml:space="preserve"> of fire emergency events on the community through a combination of its prevention/mitigation, preparedness, and response (box</w:t>
      </w:r>
      <w:r w:rsidR="00C35EA2">
        <w:t> </w:t>
      </w:r>
      <w:r w:rsidR="00800D6F">
        <w:t>9.12</w:t>
      </w:r>
      <w:r w:rsidRPr="0054109B">
        <w:t>).</w:t>
      </w:r>
    </w:p>
    <w:p w:rsidR="00F15C9E" w:rsidRDefault="00F15C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15C9E" w:rsidTr="00D54DD2">
        <w:tc>
          <w:tcPr>
            <w:tcW w:w="8771" w:type="dxa"/>
            <w:tcBorders>
              <w:top w:val="single" w:sz="6" w:space="0" w:color="78A22F"/>
              <w:left w:val="nil"/>
              <w:bottom w:val="nil"/>
              <w:right w:val="nil"/>
            </w:tcBorders>
            <w:shd w:val="clear" w:color="auto" w:fill="F2F2F2" w:themeFill="background1" w:themeFillShade="F2"/>
          </w:tcPr>
          <w:p w:rsidR="00F15C9E" w:rsidRDefault="00F15C9E">
            <w:pPr>
              <w:pStyle w:val="BoxTitle"/>
            </w:pPr>
            <w:r>
              <w:rPr>
                <w:b w:val="0"/>
              </w:rPr>
              <w:t xml:space="preserve">Box </w:t>
            </w:r>
            <w:bookmarkStart w:id="56" w:name="OLE_LINK29"/>
            <w:r w:rsidR="00B2521B">
              <w:rPr>
                <w:b w:val="0"/>
              </w:rPr>
              <w:t>9.</w:t>
            </w:r>
            <w:r w:rsidR="00D52162">
              <w:rPr>
                <w:b w:val="0"/>
                <w:noProof/>
              </w:rPr>
              <w:t>12</w:t>
            </w:r>
            <w:bookmarkEnd w:id="56"/>
            <w:r>
              <w:tab/>
            </w:r>
            <w:r w:rsidRPr="0007767E">
              <w:t>Confinement to room/object of origin</w:t>
            </w:r>
          </w:p>
        </w:tc>
      </w:tr>
      <w:tr w:rsidR="00F15C9E" w:rsidTr="00D54DD2">
        <w:trPr>
          <w:cantSplit/>
        </w:trPr>
        <w:tc>
          <w:tcPr>
            <w:tcW w:w="8771" w:type="dxa"/>
            <w:tcBorders>
              <w:top w:val="nil"/>
              <w:left w:val="nil"/>
              <w:bottom w:val="nil"/>
              <w:right w:val="nil"/>
            </w:tcBorders>
            <w:shd w:val="clear" w:color="auto" w:fill="F2F2F2" w:themeFill="background1" w:themeFillShade="F2"/>
          </w:tcPr>
          <w:p w:rsidR="00F15C9E" w:rsidRPr="0007767E" w:rsidRDefault="00F15C9E" w:rsidP="00D54DD2">
            <w:pPr>
              <w:pStyle w:val="Box"/>
              <w:keepNext w:val="0"/>
            </w:pPr>
            <w:r w:rsidRPr="0007767E">
              <w:t xml:space="preserve">‘Confinement to room/object of origin’ </w:t>
            </w:r>
            <w:r>
              <w:t>is defined by two measures.</w:t>
            </w:r>
          </w:p>
          <w:p w:rsidR="00F15C9E" w:rsidRPr="0007767E" w:rsidRDefault="00F15C9E" w:rsidP="00D54DD2">
            <w:pPr>
              <w:pStyle w:val="BoxListBullet"/>
            </w:pPr>
            <w:r w:rsidRPr="00D7354C">
              <w:t>Proportion of building fires confined to room of origin</w:t>
            </w:r>
            <w:r w:rsidRPr="0007767E">
              <w:t xml:space="preserve"> — </w:t>
            </w:r>
            <w:r>
              <w:t>A</w:t>
            </w:r>
            <w:r w:rsidRPr="0007767E">
              <w:t xml:space="preserve"> building fire is a fire that has caused some damage to a building structure (such as a house). Confinement of building fires to room of origin is a measure of the proportion of building fires confined to the room in which the fire originated.</w:t>
            </w:r>
          </w:p>
          <w:p w:rsidR="00F15C9E" w:rsidRPr="0007767E" w:rsidRDefault="00F15C9E" w:rsidP="00D54DD2">
            <w:pPr>
              <w:pStyle w:val="BoxListBullet"/>
            </w:pPr>
            <w:r w:rsidRPr="00D7354C">
              <w:t xml:space="preserve">Proportion of building and other structure fires confined to room/object of origin </w:t>
            </w:r>
            <w:r w:rsidRPr="0007767E">
              <w:t xml:space="preserve">— </w:t>
            </w:r>
            <w:r>
              <w:t>O</w:t>
            </w:r>
            <w:r w:rsidRPr="0007767E">
              <w:t>ther structure fires are fires within a building structure (such as fires confined to rubbish bins, burnt foodstuffs and fires confined to</w:t>
            </w:r>
            <w:r>
              <w:t xml:space="preserve"> cooking equipment)</w:t>
            </w:r>
            <w:r w:rsidRPr="0007767E">
              <w:t>. Confinement of building and other structure fires to object, part room and room of origin is a measure of both the proportion of building fires and</w:t>
            </w:r>
            <w:r w:rsidRPr="0007767E">
              <w:rPr>
                <w:b/>
              </w:rPr>
              <w:t xml:space="preserve"> </w:t>
            </w:r>
            <w:r w:rsidRPr="0007767E">
              <w:t>other structure fires confined to the room and/or object from which the fire originated.</w:t>
            </w:r>
          </w:p>
          <w:p w:rsidR="00F15C9E" w:rsidRPr="0007767E" w:rsidRDefault="00F15C9E" w:rsidP="00D54DD2">
            <w:pPr>
              <w:pStyle w:val="Box"/>
            </w:pPr>
            <w:r w:rsidRPr="0007767E">
              <w:t>A high or increasing proportion of structure fires confined to the object or room of origin is desirable.</w:t>
            </w:r>
          </w:p>
          <w:p w:rsidR="00F15C9E" w:rsidRPr="0007767E" w:rsidRDefault="00F15C9E" w:rsidP="00D54DD2">
            <w:pPr>
              <w:pStyle w:val="Box"/>
            </w:pPr>
            <w:r w:rsidRPr="0007767E">
              <w:t>Data reported for this measure are:</w:t>
            </w:r>
          </w:p>
          <w:p w:rsidR="00F15C9E" w:rsidRPr="0007767E" w:rsidRDefault="00F15C9E" w:rsidP="00D54DD2">
            <w:pPr>
              <w:pStyle w:val="BoxListBullet"/>
            </w:pPr>
            <w:r w:rsidRPr="0007767E">
              <w:t>comparable (subject to caveats) within jurisdictions over time but are not comparable across jurisdictions</w:t>
            </w:r>
          </w:p>
          <w:p w:rsidR="00F15C9E" w:rsidRPr="0007767E" w:rsidRDefault="00F15C9E" w:rsidP="00D54DD2">
            <w:pPr>
              <w:pStyle w:val="BoxListBullet"/>
            </w:pPr>
            <w:r>
              <w:t>complete (subject to caveats) for the current reporting period</w:t>
            </w:r>
            <w:r w:rsidRPr="0007767E">
              <w:t xml:space="preserve">. All required </w:t>
            </w:r>
            <w:r w:rsidR="00FA5D77">
              <w:t>2013</w:t>
            </w:r>
            <w:r w:rsidR="0026487F">
              <w:noBreakHyphen/>
            </w:r>
            <w:r w:rsidR="00FA5D77">
              <w:t>14</w:t>
            </w:r>
            <w:r w:rsidRPr="0007767E">
              <w:t xml:space="preserve"> data are available for all jurisdictions.</w:t>
            </w:r>
          </w:p>
          <w:p w:rsidR="00F15C9E" w:rsidRPr="0007767E" w:rsidRDefault="00F15C9E" w:rsidP="00D54DD2">
            <w:pPr>
              <w:pStyle w:val="Box"/>
              <w:keepNext w:val="0"/>
              <w:ind w:right="-138"/>
            </w:pPr>
            <w:r w:rsidRPr="0007767E">
              <w:t>Data quality information for this indicator</w:t>
            </w:r>
            <w:r w:rsidR="00DA507A">
              <w:t xml:space="preserve"> is at www.pc.gov.au</w:t>
            </w:r>
            <w:r w:rsidR="00992CC1">
              <w:t>/rogs/2015</w:t>
            </w:r>
            <w:r w:rsidRPr="0007767E">
              <w:t>.</w:t>
            </w:r>
          </w:p>
        </w:tc>
      </w:tr>
      <w:tr w:rsidR="00F15C9E" w:rsidTr="00D54DD2">
        <w:trPr>
          <w:cantSplit/>
        </w:trPr>
        <w:tc>
          <w:tcPr>
            <w:tcW w:w="8771" w:type="dxa"/>
            <w:tcBorders>
              <w:top w:val="nil"/>
              <w:left w:val="nil"/>
              <w:bottom w:val="single" w:sz="6" w:space="0" w:color="78A22F"/>
              <w:right w:val="nil"/>
            </w:tcBorders>
            <w:shd w:val="clear" w:color="auto" w:fill="F2F2F2" w:themeFill="background1" w:themeFillShade="F2"/>
          </w:tcPr>
          <w:p w:rsidR="00F15C9E" w:rsidRDefault="00F15C9E">
            <w:pPr>
              <w:pStyle w:val="Box"/>
              <w:spacing w:before="0" w:line="120" w:lineRule="exact"/>
            </w:pPr>
          </w:p>
        </w:tc>
      </w:tr>
      <w:tr w:rsidR="00F15C9E" w:rsidRPr="000863A5" w:rsidTr="00D54DD2">
        <w:tc>
          <w:tcPr>
            <w:tcW w:w="8771" w:type="dxa"/>
            <w:tcBorders>
              <w:top w:val="single" w:sz="6" w:space="0" w:color="78A22F"/>
              <w:left w:val="nil"/>
              <w:bottom w:val="nil"/>
              <w:right w:val="nil"/>
            </w:tcBorders>
          </w:tcPr>
          <w:p w:rsidR="00F15C9E" w:rsidRPr="00626D32" w:rsidRDefault="00F15C9E" w:rsidP="00D54DD2">
            <w:pPr>
              <w:pStyle w:val="BoxSpaceBelow"/>
            </w:pPr>
          </w:p>
        </w:tc>
      </w:tr>
    </w:tbl>
    <w:p w:rsidR="000952E2" w:rsidRDefault="000952E2" w:rsidP="000952E2">
      <w:pPr>
        <w:pStyle w:val="Heading5"/>
      </w:pPr>
      <w:r w:rsidRPr="0007767E">
        <w:t>Confinement to room/object of origin</w:t>
      </w:r>
      <w:r w:rsidRPr="000952E2">
        <w:t xml:space="preserve"> </w:t>
      </w:r>
      <w:r>
        <w:t xml:space="preserve">— </w:t>
      </w:r>
      <w:r w:rsidRPr="000952E2">
        <w:t>Proportion of building fires confined to room of origin</w:t>
      </w:r>
    </w:p>
    <w:p w:rsidR="00986A8B" w:rsidRDefault="00986A8B" w:rsidP="0007767E">
      <w:pPr>
        <w:pStyle w:val="BodyText"/>
      </w:pPr>
      <w:r w:rsidRPr="0054109B">
        <w:t xml:space="preserve">The proportion of fires, from all ignition types, confined to room of origin varies </w:t>
      </w:r>
      <w:r w:rsidR="00B91162" w:rsidRPr="0054109B">
        <w:t>across</w:t>
      </w:r>
      <w:r w:rsidRPr="0054109B">
        <w:t xml:space="preserve"> jurisdictions, and within </w:t>
      </w:r>
      <w:r w:rsidRPr="0007767E">
        <w:t>jurisdictions</w:t>
      </w:r>
      <w:r w:rsidRPr="0054109B">
        <w:t xml:space="preserve"> over time (figure</w:t>
      </w:r>
      <w:r w:rsidR="00C35EA2">
        <w:t> </w:t>
      </w:r>
      <w:r w:rsidR="00800D6F">
        <w:t>9.17</w:t>
      </w:r>
      <w:r w:rsidRPr="0054109B">
        <w:t xml:space="preserve">). </w:t>
      </w:r>
      <w:r w:rsidR="006666FB" w:rsidRPr="006666FB">
        <w:t xml:space="preserve">Confinement of building </w:t>
      </w:r>
      <w:r w:rsidR="006666FB" w:rsidRPr="006666FB">
        <w:lastRenderedPageBreak/>
        <w:t>fires to room of origin reflect</w:t>
      </w:r>
      <w:r w:rsidR="00DB5B58">
        <w:t>s</w:t>
      </w:r>
      <w:r w:rsidR="006666FB" w:rsidRPr="006666FB">
        <w:t xml:space="preserve"> the response strategies of the fire services to extinguish structure fires before they cause extensive building damage. It also reflects the community’s overall mitigation and preparedness strategies</w:t>
      </w:r>
      <w:r w:rsidR="00D26F6C">
        <w:t>,</w:t>
      </w:r>
      <w:r w:rsidR="006666FB" w:rsidRPr="006666FB">
        <w:t xml:space="preserve"> such as constructing bu</w:t>
      </w:r>
      <w:r w:rsidR="00D26F6C">
        <w:t>ildings that are fire resistant</w:t>
      </w:r>
      <w:r w:rsidR="006666FB" w:rsidRPr="006666FB">
        <w:t xml:space="preserve"> </w:t>
      </w:r>
      <w:r w:rsidR="00D26F6C">
        <w:t xml:space="preserve">or </w:t>
      </w:r>
      <w:r w:rsidR="006666FB" w:rsidRPr="00A90E73">
        <w:t>install</w:t>
      </w:r>
      <w:r w:rsidR="00D32F89">
        <w:t>ing and maintaining</w:t>
      </w:r>
      <w:r w:rsidR="004579EC" w:rsidRPr="00A90E73">
        <w:t xml:space="preserve"> </w:t>
      </w:r>
      <w:r w:rsidR="006666FB" w:rsidRPr="006666FB">
        <w:t>smoke alarms.</w:t>
      </w:r>
    </w:p>
    <w:p w:rsidR="00F15C9E" w:rsidRDefault="00F15C9E" w:rsidP="00D54DD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15C9E" w:rsidTr="00D54DD2">
        <w:tc>
          <w:tcPr>
            <w:tcW w:w="8771" w:type="dxa"/>
            <w:tcBorders>
              <w:top w:val="single" w:sz="6" w:space="0" w:color="78A22F"/>
              <w:left w:val="nil"/>
              <w:bottom w:val="nil"/>
              <w:right w:val="nil"/>
            </w:tcBorders>
            <w:shd w:val="clear" w:color="auto" w:fill="auto"/>
          </w:tcPr>
          <w:p w:rsidR="00F15C9E" w:rsidRPr="00176D3F" w:rsidRDefault="00F15C9E" w:rsidP="00DB5B58">
            <w:pPr>
              <w:pStyle w:val="FigureTitle"/>
            </w:pPr>
            <w:r w:rsidRPr="00784A05">
              <w:rPr>
                <w:b w:val="0"/>
              </w:rPr>
              <w:t xml:space="preserve">Figure </w:t>
            </w:r>
            <w:bookmarkStart w:id="57" w:name="OLE_LINK30"/>
            <w:r w:rsidR="00B2521B">
              <w:rPr>
                <w:b w:val="0"/>
              </w:rPr>
              <w:t>9.</w:t>
            </w:r>
            <w:r w:rsidR="00D52162">
              <w:rPr>
                <w:b w:val="0"/>
                <w:noProof/>
              </w:rPr>
              <w:t>17</w:t>
            </w:r>
            <w:bookmarkEnd w:id="57"/>
            <w:r>
              <w:tab/>
            </w:r>
            <w:r w:rsidRPr="002605A8">
              <w:t>Proportion of building fires confined to room of origin, all ignition types</w:t>
            </w:r>
            <w:r w:rsidRPr="002605A8">
              <w:rPr>
                <w:rStyle w:val="NoteLabel"/>
                <w:b/>
              </w:rPr>
              <w:t>a, b, c, d, e</w:t>
            </w:r>
          </w:p>
        </w:tc>
      </w:tr>
      <w:tr w:rsidR="00F15C9E" w:rsidTr="00D54DD2">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F15C9E" w:rsidTr="00677D4D">
              <w:tc>
                <w:tcPr>
                  <w:tcW w:w="5000" w:type="pct"/>
                  <w:tcBorders>
                    <w:top w:val="nil"/>
                    <w:bottom w:val="nil"/>
                  </w:tcBorders>
                </w:tcPr>
                <w:p w:rsidR="00F15C9E" w:rsidRDefault="004B4E03" w:rsidP="00B101E9">
                  <w:pPr>
                    <w:pStyle w:val="Figure"/>
                    <w:spacing w:before="60" w:after="60"/>
                  </w:pPr>
                  <w:r>
                    <w:rPr>
                      <w:noProof/>
                    </w:rPr>
                    <w:drawing>
                      <wp:inline distT="0" distB="0" distL="0" distR="0">
                        <wp:extent cx="5405755" cy="2707640"/>
                        <wp:effectExtent l="0" t="0" r="4445" b="0"/>
                        <wp:docPr id="23" name="Picture 23" descr="Figure 9.17 Proportion of building fires confined to room of origin, all ignition typ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F15C9E" w:rsidRDefault="00F15C9E" w:rsidP="00D54DD2">
            <w:pPr>
              <w:pStyle w:val="Figure"/>
            </w:pPr>
          </w:p>
        </w:tc>
      </w:tr>
      <w:tr w:rsidR="00F15C9E" w:rsidRPr="00176D3F" w:rsidTr="00D54DD2">
        <w:tc>
          <w:tcPr>
            <w:tcW w:w="8771" w:type="dxa"/>
            <w:tcBorders>
              <w:top w:val="nil"/>
              <w:left w:val="nil"/>
              <w:bottom w:val="nil"/>
              <w:right w:val="nil"/>
            </w:tcBorders>
            <w:shd w:val="clear" w:color="auto" w:fill="auto"/>
          </w:tcPr>
          <w:p w:rsidR="00F15C9E" w:rsidRPr="00176D3F" w:rsidRDefault="00B101E9" w:rsidP="008C23A8">
            <w:pPr>
              <w:pStyle w:val="Note"/>
            </w:pPr>
            <w:r w:rsidRPr="002605A8">
              <w:rPr>
                <w:rStyle w:val="NoteLabel"/>
              </w:rPr>
              <w:t>a</w:t>
            </w:r>
            <w:r w:rsidRPr="002605A8">
              <w:t> Financial and activity data are affected by the reporting scope of each jurisdiction’s ‘fire service organisation’. See table</w:t>
            </w:r>
            <w:r>
              <w:t> </w:t>
            </w:r>
            <w:r w:rsidRPr="002605A8">
              <w:t xml:space="preserve">9A.3 for details for the scope of agencies’ reporting. </w:t>
            </w:r>
            <w:r w:rsidRPr="002605A8">
              <w:rPr>
                <w:rStyle w:val="NoteLabel"/>
              </w:rPr>
              <w:t>b</w:t>
            </w:r>
            <w:r w:rsidRPr="002605A8">
              <w:t> </w:t>
            </w:r>
            <w:r w:rsidR="00D24BFF">
              <w:t>J</w:t>
            </w:r>
            <w:r w:rsidR="00D24BFF" w:rsidRPr="00D24BFF">
              <w:t>urisdictions provide data for both urban and rural services and for both career and volunteer services, other than Q</w:t>
            </w:r>
            <w:r w:rsidR="00E771FA">
              <w:t>ueens</w:t>
            </w:r>
            <w:r w:rsidR="00D24BFF" w:rsidRPr="00D24BFF">
              <w:t>l</w:t>
            </w:r>
            <w:r w:rsidR="00E771FA">
              <w:t>an</w:t>
            </w:r>
            <w:r w:rsidR="00D24BFF">
              <w:t xml:space="preserve">d </w:t>
            </w:r>
            <w:r w:rsidR="00D24BFF" w:rsidRPr="002605A8">
              <w:t xml:space="preserve">(see note </w:t>
            </w:r>
            <w:r w:rsidR="00D24BFF" w:rsidRPr="00A90E73">
              <w:t>c</w:t>
            </w:r>
            <w:r w:rsidR="00D24BFF" w:rsidRPr="002605A8">
              <w:t>)</w:t>
            </w:r>
            <w:r w:rsidR="00D24BFF" w:rsidRPr="00D24BFF">
              <w:t xml:space="preserve"> and the NT</w:t>
            </w:r>
            <w:r w:rsidR="00D24BFF">
              <w:t>.</w:t>
            </w:r>
            <w:r w:rsidR="00D24BFF" w:rsidRPr="00D24BFF">
              <w:t xml:space="preserve"> </w:t>
            </w:r>
            <w:r w:rsidRPr="002605A8">
              <w:rPr>
                <w:rStyle w:val="NoteLabel"/>
              </w:rPr>
              <w:t>c</w:t>
            </w:r>
            <w:r w:rsidRPr="002605A8">
              <w:t xml:space="preserve"> Qld: Structure fires within the </w:t>
            </w:r>
            <w:r w:rsidR="00E4164D" w:rsidRPr="00446594">
              <w:t>Urban Service Administrative Areas</w:t>
            </w:r>
            <w:r w:rsidR="00E4164D" w:rsidRPr="00E4164D">
              <w:t xml:space="preserve"> </w:t>
            </w:r>
            <w:r w:rsidRPr="002605A8">
              <w:t xml:space="preserve">are included. </w:t>
            </w:r>
            <w:r w:rsidR="00DB5B58" w:rsidRPr="002605A8">
              <w:t>Non</w:t>
            </w:r>
            <w:r>
              <w:noBreakHyphen/>
            </w:r>
            <w:r w:rsidRPr="002605A8">
              <w:t>emergency calls and those where</w:t>
            </w:r>
            <w:r w:rsidR="008C23A8">
              <w:t xml:space="preserve"> QFES</w:t>
            </w:r>
            <w:r w:rsidRPr="002605A8">
              <w:t xml:space="preserve"> experienced delays due to either extreme weather conditions or where the initial response was by another agency or brigade</w:t>
            </w:r>
            <w:r w:rsidR="00DB5B58">
              <w:t xml:space="preserve"> are excluded</w:t>
            </w:r>
            <w:r w:rsidRPr="002605A8">
              <w:t xml:space="preserve">. </w:t>
            </w:r>
            <w:r w:rsidRPr="00A90E73">
              <w:rPr>
                <w:rStyle w:val="NoteLabel"/>
              </w:rPr>
              <w:t>d</w:t>
            </w:r>
            <w:r w:rsidRPr="002605A8">
              <w:t> WA: Total confinement percentages include fires confined but not classified as either accidental or suspicious.</w:t>
            </w:r>
            <w:r w:rsidR="00D24BFF">
              <w:t xml:space="preserve"> </w:t>
            </w:r>
            <w:r w:rsidR="00DB5B58">
              <w:t>Data exclude</w:t>
            </w:r>
            <w:r w:rsidR="00D24BFF" w:rsidRPr="00D24BFF">
              <w:t xml:space="preserve"> incidents where containment codes are not completed.</w:t>
            </w:r>
            <w:r w:rsidRPr="002605A8">
              <w:t xml:space="preserve"> </w:t>
            </w:r>
            <w:r w:rsidRPr="00A90E73">
              <w:rPr>
                <w:rStyle w:val="NoteLabel"/>
              </w:rPr>
              <w:t>e</w:t>
            </w:r>
            <w:r w:rsidRPr="002605A8">
              <w:t xml:space="preserve"> SA: </w:t>
            </w:r>
            <w:r w:rsidR="00D24BFF" w:rsidRPr="00D24BFF">
              <w:t>Total confinement percentages include fires confined but not classified as ei</w:t>
            </w:r>
            <w:r w:rsidR="00D24BFF">
              <w:t xml:space="preserve">ther accidental or suspicious. </w:t>
            </w:r>
            <w:r w:rsidRPr="002605A8">
              <w:t xml:space="preserve"> </w:t>
            </w:r>
          </w:p>
        </w:tc>
      </w:tr>
      <w:tr w:rsidR="00F15C9E" w:rsidRPr="00176D3F" w:rsidTr="00D54DD2">
        <w:tc>
          <w:tcPr>
            <w:tcW w:w="8771" w:type="dxa"/>
            <w:tcBorders>
              <w:top w:val="nil"/>
              <w:left w:val="nil"/>
              <w:bottom w:val="nil"/>
              <w:right w:val="nil"/>
            </w:tcBorders>
            <w:shd w:val="clear" w:color="auto" w:fill="auto"/>
          </w:tcPr>
          <w:p w:rsidR="00F15C9E" w:rsidRPr="00176D3F" w:rsidRDefault="00B101E9" w:rsidP="00D54DD2">
            <w:pPr>
              <w:pStyle w:val="Source"/>
            </w:pPr>
            <w:r w:rsidRPr="002605A8">
              <w:rPr>
                <w:i/>
              </w:rPr>
              <w:t>Source</w:t>
            </w:r>
            <w:r w:rsidRPr="002605A8">
              <w:t>: State and Territory governments (unpublished); tables 9A.10.</w:t>
            </w:r>
          </w:p>
        </w:tc>
      </w:tr>
      <w:tr w:rsidR="00F15C9E" w:rsidTr="00D54DD2">
        <w:tc>
          <w:tcPr>
            <w:tcW w:w="8771" w:type="dxa"/>
            <w:tcBorders>
              <w:top w:val="nil"/>
              <w:left w:val="nil"/>
              <w:bottom w:val="single" w:sz="6" w:space="0" w:color="78A22F"/>
              <w:right w:val="nil"/>
            </w:tcBorders>
            <w:shd w:val="clear" w:color="auto" w:fill="auto"/>
          </w:tcPr>
          <w:p w:rsidR="00F15C9E" w:rsidRDefault="00F15C9E" w:rsidP="00D54DD2">
            <w:pPr>
              <w:pStyle w:val="Figurespace"/>
            </w:pPr>
          </w:p>
        </w:tc>
      </w:tr>
      <w:tr w:rsidR="00F15C9E" w:rsidRPr="000863A5" w:rsidTr="00D54DD2">
        <w:tc>
          <w:tcPr>
            <w:tcW w:w="8771" w:type="dxa"/>
            <w:tcBorders>
              <w:top w:val="single" w:sz="6" w:space="0" w:color="78A22F"/>
              <w:left w:val="nil"/>
              <w:bottom w:val="nil"/>
              <w:right w:val="nil"/>
            </w:tcBorders>
          </w:tcPr>
          <w:p w:rsidR="00F15C9E" w:rsidRPr="00626D32" w:rsidRDefault="00F15C9E" w:rsidP="00D54DD2">
            <w:pPr>
              <w:pStyle w:val="BoxSpaceBelow"/>
            </w:pPr>
          </w:p>
        </w:tc>
      </w:tr>
    </w:tbl>
    <w:p w:rsidR="000952E2" w:rsidRDefault="000952E2" w:rsidP="000952E2">
      <w:pPr>
        <w:pStyle w:val="Heading5"/>
      </w:pPr>
      <w:r w:rsidRPr="0007767E">
        <w:t>Confinement to room/object of origin</w:t>
      </w:r>
      <w:r w:rsidRPr="000952E2">
        <w:t xml:space="preserve"> </w:t>
      </w:r>
      <w:r>
        <w:t xml:space="preserve">— </w:t>
      </w:r>
      <w:r w:rsidRPr="000952E2">
        <w:t xml:space="preserve">Proportion of building </w:t>
      </w:r>
      <w:r>
        <w:t xml:space="preserve">and other structure </w:t>
      </w:r>
      <w:r w:rsidRPr="000952E2">
        <w:t>fires confined to room</w:t>
      </w:r>
      <w:r>
        <w:t>/object</w:t>
      </w:r>
      <w:r w:rsidRPr="000952E2">
        <w:t xml:space="preserve"> of origin</w:t>
      </w:r>
    </w:p>
    <w:p w:rsidR="006666FB" w:rsidRPr="0054109B" w:rsidRDefault="006666FB" w:rsidP="0007767E">
      <w:pPr>
        <w:pStyle w:val="BodyText"/>
      </w:pPr>
      <w:r w:rsidRPr="0054109B">
        <w:t xml:space="preserve">The proportion of </w:t>
      </w:r>
      <w:r w:rsidR="005E7D83" w:rsidRPr="005E7D83">
        <w:t xml:space="preserve">building and other structure fires confined to room/object of origin </w:t>
      </w:r>
      <w:r w:rsidR="005E7D83">
        <w:t xml:space="preserve">is generally greater than </w:t>
      </w:r>
      <w:r w:rsidR="00772F61">
        <w:t xml:space="preserve">for building fires confined to room of origin </w:t>
      </w:r>
      <w:r w:rsidRPr="0054109B">
        <w:t>(</w:t>
      </w:r>
      <w:r w:rsidR="00DB5B58" w:rsidRPr="0054109B">
        <w:t>figure</w:t>
      </w:r>
      <w:r w:rsidR="00DB5B58">
        <w:t> </w:t>
      </w:r>
      <w:r w:rsidR="00800D6F">
        <w:t>9.17</w:t>
      </w:r>
      <w:r w:rsidR="00DB5B58">
        <w:t xml:space="preserve"> and </w:t>
      </w:r>
      <w:r w:rsidRPr="0054109B">
        <w:t>figure</w:t>
      </w:r>
      <w:r w:rsidR="00C35EA2">
        <w:t> </w:t>
      </w:r>
      <w:r w:rsidR="00800D6F">
        <w:t>9.18</w:t>
      </w:r>
      <w:r w:rsidRPr="0054109B">
        <w:t xml:space="preserve">). </w:t>
      </w:r>
      <w:r w:rsidR="000952E2">
        <w:t>The measure</w:t>
      </w:r>
      <w:r w:rsidR="005E7D83" w:rsidRPr="0054109B">
        <w:t xml:space="preserve"> </w:t>
      </w:r>
      <w:r w:rsidR="0007767E">
        <w:t xml:space="preserve">incorporates </w:t>
      </w:r>
      <w:r w:rsidR="005E7D83">
        <w:t xml:space="preserve">object fires that do not spread to the building. </w:t>
      </w:r>
      <w:r w:rsidRPr="0054109B">
        <w:t>Other structure fires confined to object of origin reflect</w:t>
      </w:r>
      <w:r w:rsidR="00DB5B58">
        <w:t>s</w:t>
      </w:r>
      <w:r w:rsidRPr="0054109B">
        <w:t xml:space="preserve"> the community’s overall mitigation and preparedness strategies such as constructing ‘objects’ (electronic appliances, cooking equipment, chimneys) that are fire resistant. It </w:t>
      </w:r>
      <w:r w:rsidR="00DB5B58">
        <w:t>also reflects</w:t>
      </w:r>
      <w:r w:rsidRPr="0054109B">
        <w:t xml:space="preserve"> the community’s response abilities to contain a fire by having working fire alarms, fire extinguishers and/or fire blankets.</w:t>
      </w:r>
    </w:p>
    <w:p w:rsidR="00B101E9" w:rsidRDefault="00B101E9" w:rsidP="00D54DD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101E9" w:rsidTr="00D54DD2">
        <w:tc>
          <w:tcPr>
            <w:tcW w:w="8771" w:type="dxa"/>
            <w:tcBorders>
              <w:top w:val="single" w:sz="6" w:space="0" w:color="78A22F"/>
              <w:left w:val="nil"/>
              <w:bottom w:val="nil"/>
              <w:right w:val="nil"/>
            </w:tcBorders>
            <w:shd w:val="clear" w:color="auto" w:fill="auto"/>
          </w:tcPr>
          <w:p w:rsidR="00B101E9" w:rsidRPr="00176D3F" w:rsidRDefault="00B101E9" w:rsidP="00B101E9">
            <w:pPr>
              <w:pStyle w:val="FigureTitle"/>
            </w:pPr>
            <w:r w:rsidRPr="00784A05">
              <w:rPr>
                <w:b w:val="0"/>
              </w:rPr>
              <w:t xml:space="preserve">Figure </w:t>
            </w:r>
            <w:bookmarkStart w:id="58" w:name="OLE_LINK31"/>
            <w:r w:rsidR="00B2521B">
              <w:rPr>
                <w:b w:val="0"/>
              </w:rPr>
              <w:t>9.</w:t>
            </w:r>
            <w:r w:rsidR="00D52162">
              <w:rPr>
                <w:b w:val="0"/>
                <w:noProof/>
              </w:rPr>
              <w:t>18</w:t>
            </w:r>
            <w:bookmarkEnd w:id="58"/>
            <w:r>
              <w:tab/>
            </w:r>
            <w:r w:rsidRPr="002605A8">
              <w:t>Proportion of building and other structure fires confined to room/object of origin, all ignition types</w:t>
            </w:r>
            <w:r w:rsidRPr="002605A8">
              <w:rPr>
                <w:rStyle w:val="NoteLabel"/>
                <w:b/>
              </w:rPr>
              <w:t>a, b, c, d, e</w:t>
            </w:r>
            <w:r>
              <w:rPr>
                <w:rStyle w:val="NoteLabel"/>
                <w:b/>
              </w:rPr>
              <w:t>, f, g</w:t>
            </w:r>
            <w:r>
              <w:t xml:space="preserve"> </w:t>
            </w:r>
          </w:p>
        </w:tc>
      </w:tr>
      <w:tr w:rsidR="00B101E9" w:rsidTr="00D54DD2">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B101E9" w:rsidTr="00677D4D">
              <w:tc>
                <w:tcPr>
                  <w:tcW w:w="5000" w:type="pct"/>
                  <w:tcBorders>
                    <w:top w:val="nil"/>
                    <w:bottom w:val="nil"/>
                  </w:tcBorders>
                </w:tcPr>
                <w:p w:rsidR="00B101E9" w:rsidRDefault="004B4E03" w:rsidP="005407F5">
                  <w:pPr>
                    <w:pStyle w:val="Figure"/>
                    <w:spacing w:before="60" w:after="60"/>
                  </w:pPr>
                  <w:r>
                    <w:rPr>
                      <w:noProof/>
                    </w:rPr>
                    <w:drawing>
                      <wp:inline distT="0" distB="0" distL="0" distR="0">
                        <wp:extent cx="5405755" cy="2707640"/>
                        <wp:effectExtent l="0" t="0" r="4445" b="0"/>
                        <wp:docPr id="24" name="Picture 24" descr="Figure 9.18 Proportion of building and other structure fires confined to room/object of origin, all ignition typ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B101E9" w:rsidRDefault="00B101E9" w:rsidP="00D54DD2">
            <w:pPr>
              <w:pStyle w:val="Figure"/>
            </w:pPr>
          </w:p>
        </w:tc>
      </w:tr>
      <w:tr w:rsidR="00B101E9" w:rsidRPr="00176D3F" w:rsidTr="00D54DD2">
        <w:tc>
          <w:tcPr>
            <w:tcW w:w="8771" w:type="dxa"/>
            <w:tcBorders>
              <w:top w:val="nil"/>
              <w:left w:val="nil"/>
              <w:bottom w:val="nil"/>
              <w:right w:val="nil"/>
            </w:tcBorders>
            <w:shd w:val="clear" w:color="auto" w:fill="auto"/>
          </w:tcPr>
          <w:p w:rsidR="00B101E9" w:rsidRPr="00176D3F" w:rsidRDefault="00D24BFF" w:rsidP="00973D36">
            <w:pPr>
              <w:pStyle w:val="Note"/>
            </w:pPr>
            <w:r w:rsidRPr="002605A8">
              <w:rPr>
                <w:rStyle w:val="NoteLabel"/>
              </w:rPr>
              <w:t>a</w:t>
            </w:r>
            <w:r w:rsidRPr="002605A8">
              <w:t> Financial and activity data are affected by the reporting scope of each jurisdiction’s ‘fire service organisation’. See table</w:t>
            </w:r>
            <w:r>
              <w:t> </w:t>
            </w:r>
            <w:r w:rsidRPr="002605A8">
              <w:t xml:space="preserve">9A.3 for details for the scope of agencies’ reporting. </w:t>
            </w:r>
            <w:r w:rsidRPr="002605A8">
              <w:rPr>
                <w:rStyle w:val="NoteLabel"/>
              </w:rPr>
              <w:t>b</w:t>
            </w:r>
            <w:r w:rsidRPr="002605A8">
              <w:t> </w:t>
            </w:r>
            <w:r>
              <w:t>J</w:t>
            </w:r>
            <w:r w:rsidRPr="00D24BFF">
              <w:t>urisdictions provide data for both urban and rural services and for both career and volunteer services, other than Q</w:t>
            </w:r>
            <w:r w:rsidR="00E771FA">
              <w:t>ueens</w:t>
            </w:r>
            <w:r w:rsidRPr="00D24BFF">
              <w:t>l</w:t>
            </w:r>
            <w:r w:rsidR="00E771FA">
              <w:t>an</w:t>
            </w:r>
            <w:r>
              <w:t xml:space="preserve">d </w:t>
            </w:r>
            <w:r w:rsidRPr="002605A8">
              <w:t xml:space="preserve">(see note </w:t>
            </w:r>
            <w:r w:rsidRPr="00A90E73">
              <w:t>c</w:t>
            </w:r>
            <w:r w:rsidRPr="002605A8">
              <w:t>)</w:t>
            </w:r>
            <w:r w:rsidRPr="00D24BFF">
              <w:t xml:space="preserve"> and the NT</w:t>
            </w:r>
            <w:r>
              <w:t>.</w:t>
            </w:r>
            <w:r w:rsidRPr="00D24BFF">
              <w:t xml:space="preserve"> </w:t>
            </w:r>
            <w:r w:rsidRPr="002605A8">
              <w:rPr>
                <w:rStyle w:val="NoteLabel"/>
              </w:rPr>
              <w:t>c</w:t>
            </w:r>
            <w:r w:rsidRPr="002605A8">
              <w:t xml:space="preserve"> Qld: Structure fires within the </w:t>
            </w:r>
            <w:r w:rsidR="00E4164D" w:rsidRPr="00446594">
              <w:t>Urban Service Administrative Areas</w:t>
            </w:r>
            <w:r w:rsidR="00E4164D" w:rsidRPr="00E4164D">
              <w:t xml:space="preserve"> </w:t>
            </w:r>
            <w:r w:rsidRPr="002605A8">
              <w:t xml:space="preserve">are included. </w:t>
            </w:r>
            <w:r w:rsidR="00DB5B58">
              <w:t>N</w:t>
            </w:r>
            <w:r w:rsidRPr="002605A8">
              <w:t>on</w:t>
            </w:r>
            <w:r>
              <w:noBreakHyphen/>
            </w:r>
            <w:r w:rsidRPr="002605A8">
              <w:t xml:space="preserve">emergency calls and those where </w:t>
            </w:r>
            <w:r w:rsidR="00E4164D" w:rsidRPr="00446594">
              <w:t>QFES</w:t>
            </w:r>
            <w:r w:rsidR="00E4164D" w:rsidRPr="002605A8">
              <w:t xml:space="preserve"> </w:t>
            </w:r>
            <w:r w:rsidRPr="002605A8">
              <w:t>experienced delays due to either extreme weather conditions or where the initial response was by another agency or brigade</w:t>
            </w:r>
            <w:r w:rsidR="00DB5B58">
              <w:t xml:space="preserve"> </w:t>
            </w:r>
            <w:r w:rsidR="00DB5B58" w:rsidRPr="002605A8">
              <w:t>are excluded</w:t>
            </w:r>
            <w:r w:rsidRPr="002605A8">
              <w:t xml:space="preserve">. </w:t>
            </w:r>
            <w:r w:rsidRPr="00A90E73">
              <w:rPr>
                <w:rStyle w:val="NoteLabel"/>
              </w:rPr>
              <w:t>d</w:t>
            </w:r>
            <w:r w:rsidRPr="002605A8">
              <w:t> WA: Total confinement percentages include fires confined but not classified as either accidental or suspicious.</w:t>
            </w:r>
            <w:r>
              <w:t xml:space="preserve"> </w:t>
            </w:r>
            <w:r w:rsidRPr="00D24BFF">
              <w:t>Data exclude incidents where containment codes are not completed.</w:t>
            </w:r>
            <w:r w:rsidR="00B101E9" w:rsidRPr="002605A8">
              <w:t xml:space="preserve"> </w:t>
            </w:r>
            <w:r w:rsidR="00B101E9" w:rsidRPr="00A90E73">
              <w:rPr>
                <w:rStyle w:val="NoteLabel"/>
              </w:rPr>
              <w:t>f</w:t>
            </w:r>
            <w:r w:rsidR="00B101E9" w:rsidRPr="002605A8">
              <w:t xml:space="preserve"> SA: </w:t>
            </w:r>
            <w:r w:rsidRPr="00D24BFF">
              <w:t xml:space="preserve">Data include </w:t>
            </w:r>
            <w:r w:rsidR="00E14B35">
              <w:t xml:space="preserve">the SA </w:t>
            </w:r>
            <w:r w:rsidR="00E14B35" w:rsidRPr="0048257B">
              <w:t>Metropolitan Fire Service</w:t>
            </w:r>
            <w:r w:rsidR="00E14B35" w:rsidRPr="00D24BFF">
              <w:t xml:space="preserve">, but exclude the </w:t>
            </w:r>
            <w:r w:rsidR="00E14B35">
              <w:t xml:space="preserve">SA Country Fire  Service </w:t>
            </w:r>
            <w:r w:rsidRPr="00D24BFF">
              <w:t>as they do not routinely collect the source data.</w:t>
            </w:r>
            <w:r w:rsidR="00B101E9" w:rsidRPr="002605A8">
              <w:t xml:space="preserve"> </w:t>
            </w:r>
          </w:p>
        </w:tc>
      </w:tr>
      <w:tr w:rsidR="00B101E9" w:rsidRPr="00176D3F" w:rsidTr="00D54DD2">
        <w:tc>
          <w:tcPr>
            <w:tcW w:w="8771" w:type="dxa"/>
            <w:tcBorders>
              <w:top w:val="nil"/>
              <w:left w:val="nil"/>
              <w:bottom w:val="nil"/>
              <w:right w:val="nil"/>
            </w:tcBorders>
            <w:shd w:val="clear" w:color="auto" w:fill="auto"/>
          </w:tcPr>
          <w:p w:rsidR="00B101E9" w:rsidRPr="00176D3F" w:rsidRDefault="00B101E9" w:rsidP="00D54DD2">
            <w:pPr>
              <w:pStyle w:val="Source"/>
            </w:pPr>
            <w:r w:rsidRPr="002605A8">
              <w:rPr>
                <w:i/>
              </w:rPr>
              <w:t>Source</w:t>
            </w:r>
            <w:r w:rsidRPr="002605A8">
              <w:t>: State and Territory governments (unpublished); tables 9A.11.</w:t>
            </w:r>
          </w:p>
        </w:tc>
      </w:tr>
      <w:tr w:rsidR="00B101E9" w:rsidTr="00D54DD2">
        <w:tc>
          <w:tcPr>
            <w:tcW w:w="8771" w:type="dxa"/>
            <w:tcBorders>
              <w:top w:val="nil"/>
              <w:left w:val="nil"/>
              <w:bottom w:val="single" w:sz="6" w:space="0" w:color="78A22F"/>
              <w:right w:val="nil"/>
            </w:tcBorders>
            <w:shd w:val="clear" w:color="auto" w:fill="auto"/>
          </w:tcPr>
          <w:p w:rsidR="00B101E9" w:rsidRDefault="00B101E9" w:rsidP="00D54DD2">
            <w:pPr>
              <w:pStyle w:val="Figurespace"/>
            </w:pPr>
          </w:p>
        </w:tc>
      </w:tr>
      <w:tr w:rsidR="00B101E9" w:rsidRPr="000863A5" w:rsidTr="00D54DD2">
        <w:tc>
          <w:tcPr>
            <w:tcW w:w="8771" w:type="dxa"/>
            <w:tcBorders>
              <w:top w:val="single" w:sz="6" w:space="0" w:color="78A22F"/>
              <w:left w:val="nil"/>
              <w:bottom w:val="nil"/>
              <w:right w:val="nil"/>
            </w:tcBorders>
          </w:tcPr>
          <w:p w:rsidR="00B101E9" w:rsidRPr="00626D32" w:rsidRDefault="00B101E9" w:rsidP="00D54DD2">
            <w:pPr>
              <w:pStyle w:val="BoxSpaceBelow"/>
            </w:pPr>
          </w:p>
        </w:tc>
      </w:tr>
    </w:tbl>
    <w:p w:rsidR="00D26F6C" w:rsidRPr="00D26F6C" w:rsidRDefault="00D26F6C" w:rsidP="00D26F6C">
      <w:pPr>
        <w:pStyle w:val="BodyText"/>
      </w:pPr>
      <w:r>
        <w:t>I</w:t>
      </w:r>
      <w:r w:rsidRPr="00D26F6C">
        <w:t xml:space="preserve">ncendiary and suspicious structure fires </w:t>
      </w:r>
      <w:r>
        <w:t xml:space="preserve">(those that are, or suspected of being, deliberately lit) are less likely to be </w:t>
      </w:r>
      <w:r w:rsidRPr="00D26F6C">
        <w:t>confined to the object or room of origin than for accidental structure fires</w:t>
      </w:r>
      <w:r>
        <w:t xml:space="preserve"> </w:t>
      </w:r>
      <w:r w:rsidRPr="00D26F6C">
        <w:t>(tables 9A.10</w:t>
      </w:r>
      <w:r w:rsidRPr="00D26F6C">
        <w:noBreakHyphen/>
        <w:t>11).</w:t>
      </w:r>
    </w:p>
    <w:p w:rsidR="00986A8B" w:rsidRPr="00247731" w:rsidRDefault="00247731" w:rsidP="00A50089">
      <w:pPr>
        <w:pStyle w:val="Heading5"/>
      </w:pPr>
      <w:r w:rsidRPr="00247731">
        <w:t xml:space="preserve">Value of asset losses from fire events </w:t>
      </w:r>
    </w:p>
    <w:p w:rsidR="00986A8B" w:rsidRDefault="00986A8B" w:rsidP="00247731">
      <w:pPr>
        <w:pStyle w:val="BodyText"/>
      </w:pPr>
      <w:r w:rsidRPr="0054109B">
        <w:t>‘Value of asset losses from fire</w:t>
      </w:r>
      <w:r w:rsidR="00247731">
        <w:t xml:space="preserve"> events</w:t>
      </w:r>
      <w:r w:rsidRPr="0054109B">
        <w:t>’ (box</w:t>
      </w:r>
      <w:r w:rsidR="00C35EA2">
        <w:t> </w:t>
      </w:r>
      <w:r w:rsidR="00800D6F">
        <w:t>9.13</w:t>
      </w:r>
      <w:r w:rsidRPr="0054109B">
        <w:t xml:space="preserve">) is an indicator of the effect of fire on property. </w:t>
      </w:r>
    </w:p>
    <w:p w:rsidR="00B101E9" w:rsidRDefault="00B101E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101E9" w:rsidTr="00D54DD2">
        <w:tc>
          <w:tcPr>
            <w:tcW w:w="8771" w:type="dxa"/>
            <w:tcBorders>
              <w:top w:val="single" w:sz="6" w:space="0" w:color="78A22F"/>
              <w:left w:val="nil"/>
              <w:bottom w:val="nil"/>
              <w:right w:val="nil"/>
            </w:tcBorders>
            <w:shd w:val="clear" w:color="auto" w:fill="F2F2F2" w:themeFill="background1" w:themeFillShade="F2"/>
          </w:tcPr>
          <w:p w:rsidR="00B101E9" w:rsidRDefault="00B101E9" w:rsidP="00B101E9">
            <w:pPr>
              <w:pStyle w:val="BoxTitle"/>
            </w:pPr>
            <w:r>
              <w:rPr>
                <w:b w:val="0"/>
              </w:rPr>
              <w:t xml:space="preserve">Box </w:t>
            </w:r>
            <w:bookmarkStart w:id="59" w:name="OLE_LINK32"/>
            <w:r w:rsidR="00B2521B">
              <w:rPr>
                <w:b w:val="0"/>
              </w:rPr>
              <w:t>9.</w:t>
            </w:r>
            <w:r w:rsidR="00D52162">
              <w:rPr>
                <w:b w:val="0"/>
                <w:noProof/>
              </w:rPr>
              <w:t>13</w:t>
            </w:r>
            <w:bookmarkEnd w:id="59"/>
            <w:r>
              <w:tab/>
            </w:r>
            <w:r w:rsidRPr="00247731">
              <w:t>Value of asset losses from structure fire</w:t>
            </w:r>
          </w:p>
        </w:tc>
      </w:tr>
      <w:tr w:rsidR="00B101E9" w:rsidTr="00D54DD2">
        <w:trPr>
          <w:cantSplit/>
        </w:trPr>
        <w:tc>
          <w:tcPr>
            <w:tcW w:w="8771" w:type="dxa"/>
            <w:tcBorders>
              <w:top w:val="nil"/>
              <w:left w:val="nil"/>
              <w:bottom w:val="nil"/>
              <w:right w:val="nil"/>
            </w:tcBorders>
            <w:shd w:val="clear" w:color="auto" w:fill="F2F2F2" w:themeFill="background1" w:themeFillShade="F2"/>
          </w:tcPr>
          <w:p w:rsidR="00B101E9" w:rsidRDefault="00B101E9" w:rsidP="00B101E9">
            <w:pPr>
              <w:pStyle w:val="Box"/>
            </w:pPr>
            <w:r w:rsidRPr="00247731">
              <w:t>Value of asset losses from fire events is defined as the estimated monetary value of the damage to property and contents caused by the fire and fire</w:t>
            </w:r>
            <w:r>
              <w:noBreakHyphen/>
            </w:r>
            <w:r w:rsidRPr="00247731">
              <w:t>fighting operations</w:t>
            </w:r>
            <w:r w:rsidR="00422B7B">
              <w:t xml:space="preserve"> based on insurance claims</w:t>
            </w:r>
            <w:r w:rsidRPr="00247731">
              <w:t xml:space="preserve">. It does not include land value. </w:t>
            </w:r>
          </w:p>
          <w:p w:rsidR="00B649B9" w:rsidRPr="001132CF" w:rsidRDefault="00422B7B" w:rsidP="00422B7B">
            <w:pPr>
              <w:pStyle w:val="Box"/>
            </w:pPr>
            <w:r w:rsidRPr="00422B7B">
              <w:t xml:space="preserve">The value </w:t>
            </w:r>
            <w:r w:rsidR="00B649B9" w:rsidRPr="00422B7B">
              <w:t xml:space="preserve">of insurance claims from fire events </w:t>
            </w:r>
            <w:r w:rsidR="00B649B9" w:rsidRPr="001132CF">
              <w:t xml:space="preserve">is the sum of the incurred claims on insurance companies related to fires and explosions </w:t>
            </w:r>
            <w:r w:rsidR="00B649B9" w:rsidRPr="00A90E73">
              <w:t>reported</w:t>
            </w:r>
            <w:r w:rsidR="00B649B9" w:rsidRPr="001132CF">
              <w:t xml:space="preserve"> to Insurance Statistics Australia (ISA). </w:t>
            </w:r>
            <w:r w:rsidR="002E4D98">
              <w:t>Data are</w:t>
            </w:r>
            <w:r w:rsidR="00B649B9" w:rsidRPr="001132CF">
              <w:t xml:space="preserve"> presented as: average domestic insurance claim from fire events; total domestic insurance claims from fire events per person; </w:t>
            </w:r>
            <w:r w:rsidR="00D26F6C">
              <w:t xml:space="preserve">and </w:t>
            </w:r>
            <w:r w:rsidR="00B649B9" w:rsidRPr="001132CF">
              <w:t>total commercial insurance claims from fire events per person.</w:t>
            </w:r>
          </w:p>
          <w:p w:rsidR="00A50089" w:rsidRDefault="00A50089" w:rsidP="00A50089">
            <w:pPr>
              <w:pStyle w:val="Box"/>
            </w:pPr>
            <w:r>
              <w:t>From this edition, firefighter assessed property losses from structure fire is no longer reported as a</w:t>
            </w:r>
            <w:r w:rsidR="005571D4">
              <w:t xml:space="preserve"> measure of </w:t>
            </w:r>
            <w:r>
              <w:t xml:space="preserve">value of asset losses from fire events. </w:t>
            </w:r>
          </w:p>
          <w:p w:rsidR="00B649B9" w:rsidRPr="001132CF" w:rsidRDefault="00B649B9" w:rsidP="00A50089">
            <w:pPr>
              <w:pStyle w:val="Box"/>
            </w:pPr>
            <w:r w:rsidRPr="001132CF">
              <w:t>Data reported for this measure are:</w:t>
            </w:r>
          </w:p>
          <w:p w:rsidR="00B649B9" w:rsidRPr="001132CF" w:rsidRDefault="00B649B9" w:rsidP="002E4D98">
            <w:pPr>
              <w:pStyle w:val="BoxListBullet"/>
            </w:pPr>
            <w:r w:rsidRPr="001132CF">
              <w:t>comparable (subject to caveats) across jurisdictions and over time</w:t>
            </w:r>
          </w:p>
          <w:p w:rsidR="00B649B9" w:rsidRPr="001132CF" w:rsidRDefault="00B649B9" w:rsidP="002E4D98">
            <w:pPr>
              <w:pStyle w:val="BoxListBullet"/>
            </w:pPr>
            <w:r w:rsidRPr="001132CF">
              <w:t xml:space="preserve">incomplete for the current reporting period. ISA estimate that their data cover approximately 69 per cent of the potential domestic insurance market </w:t>
            </w:r>
            <w:r w:rsidRPr="00A90E73">
              <w:t xml:space="preserve">(including uninsured dwellings) </w:t>
            </w:r>
            <w:r w:rsidRPr="001132CF">
              <w:t>and 60 per cent of the commercial property market (table </w:t>
            </w:r>
            <w:r w:rsidR="004029AC">
              <w:t>9A.12</w:t>
            </w:r>
            <w:r w:rsidRPr="001132CF">
              <w:t>).</w:t>
            </w:r>
          </w:p>
          <w:p w:rsidR="00B649B9" w:rsidRPr="001132CF" w:rsidRDefault="00B649B9" w:rsidP="00B649B9">
            <w:pPr>
              <w:pStyle w:val="Box"/>
              <w:keepNext w:val="0"/>
            </w:pPr>
            <w:r w:rsidRPr="001132CF">
              <w:t>Lower or decreasing asset losses from fire events represent a better outcome.</w:t>
            </w:r>
          </w:p>
          <w:p w:rsidR="00B649B9" w:rsidRPr="00247731" w:rsidRDefault="00B649B9" w:rsidP="00B649B9">
            <w:pPr>
              <w:pStyle w:val="Box"/>
            </w:pPr>
            <w:r w:rsidRPr="001132CF">
              <w:t>Data quality information for this indicator</w:t>
            </w:r>
            <w:r w:rsidR="00DA507A">
              <w:t xml:space="preserve"> is at www.pc.gov.au</w:t>
            </w:r>
            <w:r>
              <w:t>/rogs/2015</w:t>
            </w:r>
            <w:r w:rsidR="005407F5">
              <w:t>.</w:t>
            </w:r>
          </w:p>
        </w:tc>
      </w:tr>
      <w:tr w:rsidR="00B101E9" w:rsidTr="00D54DD2">
        <w:trPr>
          <w:cantSplit/>
        </w:trPr>
        <w:tc>
          <w:tcPr>
            <w:tcW w:w="8771" w:type="dxa"/>
            <w:tcBorders>
              <w:top w:val="nil"/>
              <w:left w:val="nil"/>
              <w:bottom w:val="single" w:sz="6" w:space="0" w:color="78A22F"/>
              <w:right w:val="nil"/>
            </w:tcBorders>
            <w:shd w:val="clear" w:color="auto" w:fill="F2F2F2" w:themeFill="background1" w:themeFillShade="F2"/>
          </w:tcPr>
          <w:p w:rsidR="00B101E9" w:rsidRDefault="00B101E9">
            <w:pPr>
              <w:pStyle w:val="Box"/>
              <w:spacing w:before="0" w:line="120" w:lineRule="exact"/>
            </w:pPr>
          </w:p>
        </w:tc>
      </w:tr>
      <w:tr w:rsidR="00B101E9" w:rsidRPr="000863A5" w:rsidTr="00D54DD2">
        <w:tc>
          <w:tcPr>
            <w:tcW w:w="8771" w:type="dxa"/>
            <w:tcBorders>
              <w:top w:val="single" w:sz="6" w:space="0" w:color="78A22F"/>
              <w:left w:val="nil"/>
              <w:bottom w:val="nil"/>
              <w:right w:val="nil"/>
            </w:tcBorders>
          </w:tcPr>
          <w:p w:rsidR="00B101E9" w:rsidRPr="00626D32" w:rsidRDefault="00B101E9" w:rsidP="00D54DD2">
            <w:pPr>
              <w:pStyle w:val="BoxSpaceBelow"/>
            </w:pPr>
          </w:p>
        </w:tc>
      </w:tr>
    </w:tbl>
    <w:p w:rsidR="00F9128F" w:rsidRPr="00F265C4" w:rsidRDefault="008C23A8" w:rsidP="00A90E73">
      <w:pPr>
        <w:pStyle w:val="BodyText"/>
        <w:rPr>
          <w:b/>
        </w:rPr>
      </w:pPr>
      <w:r>
        <w:t xml:space="preserve">The value of insurance claims from fire events is the </w:t>
      </w:r>
      <w:r w:rsidR="00652A2F" w:rsidRPr="00EC69D9">
        <w:t>cost to insurers</w:t>
      </w:r>
      <w:r w:rsidR="00652A2F">
        <w:t xml:space="preserve"> related to fire event claims</w:t>
      </w:r>
      <w:r w:rsidR="00652A2F" w:rsidRPr="00EC69D9">
        <w:t xml:space="preserve">. </w:t>
      </w:r>
      <w:r w:rsidR="00B10B8E">
        <w:t xml:space="preserve">Nationally in </w:t>
      </w:r>
      <w:r w:rsidR="00FA5D77">
        <w:t>2013</w:t>
      </w:r>
      <w:r w:rsidR="0026487F">
        <w:noBreakHyphen/>
      </w:r>
      <w:r w:rsidR="00FA5D77">
        <w:t>14</w:t>
      </w:r>
      <w:r w:rsidR="00B10B8E">
        <w:t>, household and commercial property insurance claims in relation to fire events (excluding major events</w:t>
      </w:r>
      <w:r w:rsidR="00B10B8E" w:rsidRPr="00446594">
        <w:t>) totalled $</w:t>
      </w:r>
      <w:r w:rsidR="00F265C4" w:rsidRPr="00446594">
        <w:t>720.9</w:t>
      </w:r>
      <w:r w:rsidR="00B10B8E" w:rsidRPr="00446594">
        <w:t> million</w:t>
      </w:r>
      <w:r w:rsidR="00F17379" w:rsidRPr="00446594">
        <w:t xml:space="preserve"> (table 9A.12)</w:t>
      </w:r>
      <w:r w:rsidR="00B10B8E">
        <w:t>.</w:t>
      </w:r>
      <w:r w:rsidR="00132AE7">
        <w:t xml:space="preserve"> </w:t>
      </w:r>
    </w:p>
    <w:p w:rsidR="00F9128F" w:rsidRDefault="00B10B8E" w:rsidP="00A90E73">
      <w:pPr>
        <w:pStyle w:val="BodyText"/>
      </w:pPr>
      <w:r>
        <w:t>Nationally</w:t>
      </w:r>
      <w:r w:rsidR="00D26518">
        <w:t xml:space="preserve"> </w:t>
      </w:r>
      <w:r w:rsidR="002E4D98">
        <w:t>from 2009</w:t>
      </w:r>
      <w:r w:rsidR="0026487F">
        <w:noBreakHyphen/>
      </w:r>
      <w:r w:rsidR="002E4D98">
        <w:t xml:space="preserve">10 to </w:t>
      </w:r>
      <w:r w:rsidR="00FA5D77">
        <w:t>2013</w:t>
      </w:r>
      <w:r w:rsidR="0026487F">
        <w:noBreakHyphen/>
      </w:r>
      <w:r w:rsidR="00FA5D77">
        <w:t>14</w:t>
      </w:r>
      <w:r w:rsidR="00D26518">
        <w:t xml:space="preserve">, </w:t>
      </w:r>
      <w:r w:rsidR="00F9128F">
        <w:t xml:space="preserve">domestic insurance </w:t>
      </w:r>
      <w:r>
        <w:t>fire event claims</w:t>
      </w:r>
      <w:r w:rsidR="003E7F4A">
        <w:t xml:space="preserve"> increased</w:t>
      </w:r>
      <w:r w:rsidR="00BC0737">
        <w:t xml:space="preserve"> </w:t>
      </w:r>
      <w:r w:rsidR="00227F53">
        <w:t>for</w:t>
      </w:r>
      <w:r w:rsidR="004776F0">
        <w:t>:</w:t>
      </w:r>
    </w:p>
    <w:p w:rsidR="00F9128F" w:rsidRDefault="004776F0" w:rsidP="00044CC2">
      <w:pPr>
        <w:pStyle w:val="ListBullet"/>
      </w:pPr>
      <w:r>
        <w:t>average claim</w:t>
      </w:r>
      <w:r w:rsidR="00227F53">
        <w:t>s</w:t>
      </w:r>
      <w:r>
        <w:t xml:space="preserve"> — </w:t>
      </w:r>
      <w:r w:rsidR="00BE42D6" w:rsidRPr="00A90E73">
        <w:t>a</w:t>
      </w:r>
      <w:r w:rsidR="00BE42D6">
        <w:t xml:space="preserve"> </w:t>
      </w:r>
      <w:r w:rsidR="00F265C4">
        <w:t>33.0</w:t>
      </w:r>
      <w:r w:rsidR="00F9128F">
        <w:t xml:space="preserve"> per cent </w:t>
      </w:r>
      <w:r w:rsidR="00BE42D6" w:rsidRPr="00A90E73">
        <w:t xml:space="preserve">increase </w:t>
      </w:r>
      <w:r w:rsidR="00D26518">
        <w:t xml:space="preserve">in real terms from </w:t>
      </w:r>
      <w:r>
        <w:t xml:space="preserve">an average claim of </w:t>
      </w:r>
      <w:r w:rsidR="00D26518">
        <w:t>$</w:t>
      </w:r>
      <w:r w:rsidR="00F265C4">
        <w:t>33 619</w:t>
      </w:r>
      <w:r w:rsidR="00D26518">
        <w:t xml:space="preserve"> in </w:t>
      </w:r>
      <w:r w:rsidR="003576F3">
        <w:t>2009</w:t>
      </w:r>
      <w:r w:rsidR="0026487F">
        <w:noBreakHyphen/>
      </w:r>
      <w:r w:rsidR="003576F3">
        <w:t>10</w:t>
      </w:r>
      <w:r w:rsidR="00D26518" w:rsidRPr="00643F78">
        <w:t xml:space="preserve"> </w:t>
      </w:r>
      <w:r w:rsidR="00E577BE">
        <w:t xml:space="preserve">to </w:t>
      </w:r>
      <w:r>
        <w:t xml:space="preserve">an average claim of </w:t>
      </w:r>
      <w:r w:rsidR="00E577BE">
        <w:t>$</w:t>
      </w:r>
      <w:r w:rsidR="00F265C4">
        <w:t>44 714</w:t>
      </w:r>
      <w:r>
        <w:t xml:space="preserve"> in </w:t>
      </w:r>
      <w:r w:rsidR="00FA5D77">
        <w:t>2013</w:t>
      </w:r>
      <w:r w:rsidR="0026487F">
        <w:noBreakHyphen/>
      </w:r>
      <w:r w:rsidR="00FA5D77">
        <w:t>14</w:t>
      </w:r>
    </w:p>
    <w:p w:rsidR="00485A18" w:rsidRDefault="004776F0" w:rsidP="00044CC2">
      <w:pPr>
        <w:pStyle w:val="ListBullet"/>
      </w:pPr>
      <w:r>
        <w:t>claim per person —</w:t>
      </w:r>
      <w:r w:rsidR="00BE42D6">
        <w:t xml:space="preserve"> </w:t>
      </w:r>
      <w:r w:rsidR="00BE42D6" w:rsidRPr="00A90E73">
        <w:t>a</w:t>
      </w:r>
      <w:r w:rsidR="00BE42D6">
        <w:t xml:space="preserve"> </w:t>
      </w:r>
      <w:r w:rsidR="00F265C4">
        <w:t>10.2</w:t>
      </w:r>
      <w:r w:rsidR="00F9128F">
        <w:t xml:space="preserve"> per cent </w:t>
      </w:r>
      <w:r w:rsidR="00BE42D6" w:rsidRPr="00A90E73">
        <w:t xml:space="preserve">increase </w:t>
      </w:r>
      <w:r w:rsidR="00BC0737">
        <w:t xml:space="preserve">in real terms </w:t>
      </w:r>
      <w:r w:rsidR="004579EC">
        <w:t>from $</w:t>
      </w:r>
      <w:r w:rsidR="00F265C4">
        <w:t>16.99</w:t>
      </w:r>
      <w:r w:rsidR="004579EC">
        <w:t xml:space="preserve"> per person in the population in </w:t>
      </w:r>
      <w:r w:rsidR="003576F3">
        <w:t>2009</w:t>
      </w:r>
      <w:r w:rsidR="0026487F">
        <w:noBreakHyphen/>
      </w:r>
      <w:r w:rsidR="003576F3">
        <w:t>10</w:t>
      </w:r>
      <w:r w:rsidR="004579EC">
        <w:t xml:space="preserve"> </w:t>
      </w:r>
      <w:r w:rsidR="00F9128F">
        <w:t>to $</w:t>
      </w:r>
      <w:r w:rsidR="00F265C4">
        <w:t>18.74</w:t>
      </w:r>
      <w:r w:rsidR="00F9128F">
        <w:t xml:space="preserve"> </w:t>
      </w:r>
      <w:r w:rsidR="00BC0737">
        <w:t xml:space="preserve">per person in the population </w:t>
      </w:r>
      <w:r w:rsidR="00F9128F">
        <w:t xml:space="preserve">in </w:t>
      </w:r>
      <w:r w:rsidR="00FA5D77">
        <w:t>2013</w:t>
      </w:r>
      <w:r w:rsidR="0026487F">
        <w:noBreakHyphen/>
      </w:r>
      <w:r w:rsidR="00FA5D77">
        <w:t>14</w:t>
      </w:r>
      <w:r w:rsidR="00F9128F">
        <w:t xml:space="preserve"> </w:t>
      </w:r>
      <w:r w:rsidR="00044CC2" w:rsidRPr="00643F78">
        <w:t>(</w:t>
      </w:r>
      <w:r>
        <w:t>table </w:t>
      </w:r>
      <w:r w:rsidR="004029AC">
        <w:t>9A.12</w:t>
      </w:r>
      <w:r>
        <w:t xml:space="preserve"> and </w:t>
      </w:r>
      <w:r w:rsidR="00044CC2" w:rsidRPr="00643F78">
        <w:t>figure</w:t>
      </w:r>
      <w:r w:rsidR="00270120">
        <w:t> </w:t>
      </w:r>
      <w:r w:rsidR="00970353">
        <w:t>9.19</w:t>
      </w:r>
      <w:r w:rsidR="00044CC2" w:rsidRPr="00643F78">
        <w:t>).</w:t>
      </w:r>
      <w:r w:rsidR="00044CC2">
        <w:t xml:space="preserve"> </w:t>
      </w:r>
    </w:p>
    <w:p w:rsidR="003E7F4A" w:rsidRDefault="003E7F4A" w:rsidP="003E7F4A">
      <w:pPr>
        <w:pStyle w:val="BodyText"/>
      </w:pPr>
      <w:r>
        <w:t xml:space="preserve">However, there was a reduction in the number of claims </w:t>
      </w:r>
      <w:r w:rsidR="002E4D98">
        <w:t xml:space="preserve">nationally </w:t>
      </w:r>
      <w:r>
        <w:t xml:space="preserve">— from </w:t>
      </w:r>
      <w:r w:rsidR="00F265C4">
        <w:t>11 053</w:t>
      </w:r>
      <w:r>
        <w:t xml:space="preserve"> claims in 2009</w:t>
      </w:r>
      <w:r w:rsidR="0026487F">
        <w:noBreakHyphen/>
      </w:r>
      <w:r>
        <w:t xml:space="preserve">10 to </w:t>
      </w:r>
      <w:r w:rsidR="00F265C4">
        <w:t>9771</w:t>
      </w:r>
      <w:r>
        <w:t xml:space="preserve"> claims in 2013</w:t>
      </w:r>
      <w:r w:rsidR="0026487F">
        <w:noBreakHyphen/>
      </w:r>
      <w:r>
        <w:t>14</w:t>
      </w:r>
      <w:r w:rsidR="00227F53">
        <w:t xml:space="preserve"> (table 9A.12)</w:t>
      </w:r>
      <w:r w:rsidR="00D26F6C">
        <w:t>.</w:t>
      </w:r>
      <w:r>
        <w:t xml:space="preserve"> </w:t>
      </w:r>
    </w:p>
    <w:p w:rsidR="00B101E9" w:rsidRDefault="00B101E9" w:rsidP="00D54DD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101E9" w:rsidTr="00D54DD2">
        <w:tc>
          <w:tcPr>
            <w:tcW w:w="8771" w:type="dxa"/>
            <w:tcBorders>
              <w:top w:val="single" w:sz="6" w:space="0" w:color="78A22F"/>
              <w:left w:val="nil"/>
              <w:bottom w:val="nil"/>
              <w:right w:val="nil"/>
            </w:tcBorders>
            <w:shd w:val="clear" w:color="auto" w:fill="auto"/>
          </w:tcPr>
          <w:p w:rsidR="00B101E9" w:rsidRPr="00176D3F" w:rsidRDefault="00B101E9" w:rsidP="008F2E46">
            <w:pPr>
              <w:pStyle w:val="FigureTitle"/>
            </w:pPr>
            <w:r w:rsidRPr="00784A05">
              <w:rPr>
                <w:b w:val="0"/>
              </w:rPr>
              <w:t xml:space="preserve">Figure </w:t>
            </w:r>
            <w:bookmarkStart w:id="60" w:name="OLE_LINK34"/>
            <w:r w:rsidR="00B2521B">
              <w:rPr>
                <w:b w:val="0"/>
              </w:rPr>
              <w:t>9.</w:t>
            </w:r>
            <w:r w:rsidR="00D52162">
              <w:rPr>
                <w:b w:val="0"/>
                <w:noProof/>
              </w:rPr>
              <w:t>19</w:t>
            </w:r>
            <w:bookmarkEnd w:id="60"/>
            <w:r>
              <w:tab/>
              <w:t>T</w:t>
            </w:r>
            <w:r w:rsidRPr="00563777">
              <w:t>otal value of fire event insurance claims</w:t>
            </w:r>
            <w:r w:rsidRPr="00481FAC">
              <w:t xml:space="preserve"> </w:t>
            </w:r>
            <w:r>
              <w:t>(</w:t>
            </w:r>
            <w:r w:rsidR="00FA5D77">
              <w:t>2013</w:t>
            </w:r>
            <w:r w:rsidR="00FB4964">
              <w:noBreakHyphen/>
            </w:r>
            <w:r w:rsidR="00FA5D77">
              <w:t>14</w:t>
            </w:r>
            <w:r>
              <w:t> dollars)</w:t>
            </w:r>
            <w:r>
              <w:rPr>
                <w:vertAlign w:val="superscript"/>
              </w:rPr>
              <w:t>a,</w:t>
            </w:r>
            <w:r w:rsidR="00FB4964">
              <w:rPr>
                <w:vertAlign w:val="superscript"/>
              </w:rPr>
              <w:t> </w:t>
            </w:r>
            <w:r>
              <w:rPr>
                <w:vertAlign w:val="superscript"/>
              </w:rPr>
              <w:t>b,</w:t>
            </w:r>
            <w:r w:rsidR="00FB4964">
              <w:rPr>
                <w:vertAlign w:val="superscript"/>
              </w:rPr>
              <w:t> </w:t>
            </w:r>
            <w:r>
              <w:rPr>
                <w:vertAlign w:val="superscript"/>
              </w:rPr>
              <w:t>c</w:t>
            </w:r>
            <w:r w:rsidR="008F2E46">
              <w:rPr>
                <w:vertAlign w:val="superscript"/>
              </w:rPr>
              <w:t>,</w:t>
            </w:r>
            <w:r w:rsidR="00FB4964">
              <w:rPr>
                <w:vertAlign w:val="superscript"/>
              </w:rPr>
              <w:t xml:space="preserve"> d, e</w:t>
            </w:r>
            <w:r w:rsidR="008C2147">
              <w:rPr>
                <w:vertAlign w:val="superscript"/>
              </w:rPr>
              <w:t>, f, g</w:t>
            </w:r>
          </w:p>
        </w:tc>
      </w:tr>
      <w:tr w:rsidR="00B101E9" w:rsidTr="00446594">
        <w:tc>
          <w:tcPr>
            <w:tcW w:w="8771" w:type="dxa"/>
            <w:tcBorders>
              <w:top w:val="nil"/>
              <w:left w:val="nil"/>
              <w:bottom w:val="nil"/>
              <w:right w:val="nil"/>
            </w:tcBorders>
            <w:shd w:val="clear" w:color="auto" w:fill="auto"/>
            <w:tcMar>
              <w:top w:w="28" w:type="dxa"/>
              <w:bottom w:w="28" w:type="dxa"/>
            </w:tcMar>
          </w:tcPr>
          <w:tbl>
            <w:tblPr>
              <w:tblW w:w="8561"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B101E9" w:rsidTr="00446594">
              <w:tc>
                <w:tcPr>
                  <w:tcW w:w="5000" w:type="pct"/>
                  <w:tcBorders>
                    <w:top w:val="nil"/>
                    <w:bottom w:val="nil"/>
                  </w:tcBorders>
                  <w:shd w:val="clear" w:color="auto" w:fill="auto"/>
                </w:tcPr>
                <w:p w:rsidR="00B101E9" w:rsidRDefault="004B4E03" w:rsidP="00D54DD2">
                  <w:pPr>
                    <w:pStyle w:val="Figure"/>
                    <w:spacing w:before="60" w:after="60"/>
                  </w:pPr>
                  <w:r>
                    <w:rPr>
                      <w:noProof/>
                    </w:rPr>
                    <w:drawing>
                      <wp:inline distT="0" distB="0" distL="0" distR="0">
                        <wp:extent cx="5387975" cy="2877820"/>
                        <wp:effectExtent l="0" t="0" r="3175" b="0"/>
                        <wp:docPr id="25" name="Picture 25" descr="Figure 9.19 Total value of fire event insurance claims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87975" cy="2877820"/>
                                </a:xfrm>
                                <a:prstGeom prst="rect">
                                  <a:avLst/>
                                </a:prstGeom>
                                <a:noFill/>
                                <a:ln>
                                  <a:noFill/>
                                </a:ln>
                              </pic:spPr>
                            </pic:pic>
                          </a:graphicData>
                        </a:graphic>
                      </wp:inline>
                    </w:drawing>
                  </w:r>
                </w:p>
              </w:tc>
            </w:tr>
          </w:tbl>
          <w:p w:rsidR="00B101E9" w:rsidRDefault="00B101E9" w:rsidP="00D54DD2">
            <w:pPr>
              <w:pStyle w:val="Figure"/>
            </w:pPr>
          </w:p>
        </w:tc>
      </w:tr>
      <w:tr w:rsidR="00B101E9" w:rsidRPr="00176D3F" w:rsidTr="00D54DD2">
        <w:tc>
          <w:tcPr>
            <w:tcW w:w="8771" w:type="dxa"/>
            <w:tcBorders>
              <w:top w:val="nil"/>
              <w:left w:val="nil"/>
              <w:bottom w:val="nil"/>
              <w:right w:val="nil"/>
            </w:tcBorders>
            <w:shd w:val="clear" w:color="auto" w:fill="auto"/>
          </w:tcPr>
          <w:p w:rsidR="00B101E9" w:rsidRPr="00176D3F" w:rsidRDefault="00B101E9" w:rsidP="00F17379">
            <w:pPr>
              <w:pStyle w:val="Note"/>
            </w:pPr>
            <w:r w:rsidRPr="00446594">
              <w:rPr>
                <w:rStyle w:val="NoteLabel"/>
              </w:rPr>
              <w:t>a</w:t>
            </w:r>
            <w:r w:rsidRPr="00446594">
              <w:t xml:space="preserve"> </w:t>
            </w:r>
            <w:r w:rsidR="00FB4964" w:rsidRPr="00446594">
              <w:t>Time series financial data are adjusted to 2013</w:t>
            </w:r>
            <w:r w:rsidR="0026487F" w:rsidRPr="00446594">
              <w:noBreakHyphen/>
            </w:r>
            <w:r w:rsidR="00FB4964" w:rsidRPr="00446594">
              <w:t>14 dollars using the Domestic Final Demand (DFD) deflator (2013</w:t>
            </w:r>
            <w:r w:rsidR="0026487F" w:rsidRPr="00446594">
              <w:noBreakHyphen/>
            </w:r>
            <w:r w:rsidR="00FB4964" w:rsidRPr="00446594">
              <w:t>14 = 100). The DFD deflator is preferred to the General Government Final Consumption Expenditure deflator for th</w:t>
            </w:r>
            <w:r w:rsidR="00F17379" w:rsidRPr="00446594">
              <w:t>ese</w:t>
            </w:r>
            <w:r w:rsidR="00FB4964" w:rsidRPr="00446594">
              <w:t xml:space="preserve"> </w:t>
            </w:r>
            <w:r w:rsidR="00F17379" w:rsidRPr="00446594">
              <w:t>data</w:t>
            </w:r>
            <w:r w:rsidR="00FB4964" w:rsidRPr="00446594">
              <w:t>, as asset losses are more closely aligned to the range of consumption and capital goods represented in the DFD than general government consumption.</w:t>
            </w:r>
            <w:r w:rsidR="00FB4964" w:rsidRPr="00446594">
              <w:rPr>
                <w:rStyle w:val="NoteLabel"/>
              </w:rPr>
              <w:t xml:space="preserve"> b</w:t>
            </w:r>
            <w:r w:rsidR="008C2147" w:rsidRPr="00446594">
              <w:rPr>
                <w:rStyle w:val="NoteLabel"/>
              </w:rPr>
              <w:t xml:space="preserve"> </w:t>
            </w:r>
            <w:r w:rsidR="008C2147" w:rsidRPr="00446594">
              <w:rPr>
                <w:rStyle w:val="NoteLabel"/>
                <w:b w:val="0"/>
                <w:position w:val="0"/>
              </w:rPr>
              <w:t xml:space="preserve">Population data used to derive rates are as at 31 December. Estimated Resident Population (ERP) data for 2009 to 2010 are final, based on the 2011 Census of Population and Housing. Estimates for 2012 onwards are preliminary. See chapter 2 (table 2A.2) for details. </w:t>
            </w:r>
            <w:r w:rsidR="008C2147" w:rsidRPr="00446594">
              <w:rPr>
                <w:rStyle w:val="NoteLabel"/>
              </w:rPr>
              <w:t>c</w:t>
            </w:r>
            <w:r w:rsidR="008C2147" w:rsidRPr="00446594">
              <w:rPr>
                <w:rStyle w:val="NoteLabel"/>
                <w:b w:val="0"/>
                <w:position w:val="0"/>
              </w:rPr>
              <w:t xml:space="preserve"> Building and content insurance data are subject to revisions.</w:t>
            </w:r>
            <w:r w:rsidR="008C2147">
              <w:rPr>
                <w:rStyle w:val="NoteLabel"/>
              </w:rPr>
              <w:t xml:space="preserve"> d </w:t>
            </w:r>
            <w:r>
              <w:t xml:space="preserve">Not to be reproduced, published or used without the permission of Insurance Statistics Australia Limited. Please include acknowledgements of Insurance Statistics Australia Ltd as the source. </w:t>
            </w:r>
            <w:r w:rsidR="008C2147">
              <w:rPr>
                <w:rStyle w:val="NoteLabel"/>
              </w:rPr>
              <w:t>e</w:t>
            </w:r>
            <w:r>
              <w:rPr>
                <w:rStyle w:val="NoteLabel"/>
              </w:rPr>
              <w:t xml:space="preserve"> </w:t>
            </w:r>
            <w:r w:rsidRPr="007E4404">
              <w:t>Dat</w:t>
            </w:r>
            <w:r>
              <w:t xml:space="preserve">a for commercial property are not available by State and Territory. </w:t>
            </w:r>
            <w:r w:rsidR="008C2147">
              <w:rPr>
                <w:rStyle w:val="NoteLabel"/>
              </w:rPr>
              <w:t>f</w:t>
            </w:r>
            <w:r>
              <w:rPr>
                <w:rStyle w:val="NoteLabel"/>
              </w:rPr>
              <w:t> </w:t>
            </w:r>
            <w:r w:rsidRPr="007E4404">
              <w:t>Dat</w:t>
            </w:r>
            <w:r>
              <w:t>a exclude major events (total claims greater than $100 million).</w:t>
            </w:r>
            <w:r w:rsidRPr="00BF30C7">
              <w:rPr>
                <w:rStyle w:val="NoteLabel"/>
              </w:rPr>
              <w:t xml:space="preserve"> </w:t>
            </w:r>
            <w:r w:rsidR="008C2147">
              <w:rPr>
                <w:rStyle w:val="NoteLabel"/>
              </w:rPr>
              <w:t>g</w:t>
            </w:r>
            <w:r w:rsidRPr="00A90E73">
              <w:rPr>
                <w:rStyle w:val="NoteLabel"/>
              </w:rPr>
              <w:t> </w:t>
            </w:r>
            <w:r w:rsidRPr="00A90E73">
              <w:t>Tas: a large increase in the fire event insurance claims in 2012</w:t>
            </w:r>
            <w:r w:rsidRPr="00A90E73">
              <w:noBreakHyphen/>
              <w:t>13 coincides with the Tasmanian 2013 bushfires. The insurance claims did not exceed $100 million and have therefore not been classified as a major event.</w:t>
            </w:r>
          </w:p>
        </w:tc>
      </w:tr>
      <w:tr w:rsidR="00B101E9" w:rsidRPr="00176D3F" w:rsidTr="00D54DD2">
        <w:tc>
          <w:tcPr>
            <w:tcW w:w="8771" w:type="dxa"/>
            <w:tcBorders>
              <w:top w:val="nil"/>
              <w:left w:val="nil"/>
              <w:bottom w:val="nil"/>
              <w:right w:val="nil"/>
            </w:tcBorders>
            <w:shd w:val="clear" w:color="auto" w:fill="auto"/>
          </w:tcPr>
          <w:p w:rsidR="00B101E9" w:rsidRPr="00176D3F" w:rsidRDefault="00B101E9" w:rsidP="00FB4964">
            <w:pPr>
              <w:pStyle w:val="Source"/>
            </w:pPr>
            <w:r>
              <w:rPr>
                <w:i/>
              </w:rPr>
              <w:t>Source</w:t>
            </w:r>
            <w:r>
              <w:t xml:space="preserve">: </w:t>
            </w:r>
            <w:r w:rsidRPr="00975306">
              <w:t>ISA Database</w:t>
            </w:r>
            <w:r>
              <w:t xml:space="preserve"> (201</w:t>
            </w:r>
            <w:r w:rsidR="00FB4964">
              <w:t>4</w:t>
            </w:r>
            <w:r>
              <w:t>), unpublished; table </w:t>
            </w:r>
            <w:r w:rsidR="004029AC">
              <w:t>9A.12</w:t>
            </w:r>
            <w:r>
              <w:t>.</w:t>
            </w:r>
          </w:p>
        </w:tc>
      </w:tr>
      <w:tr w:rsidR="00B101E9" w:rsidTr="00D54DD2">
        <w:tc>
          <w:tcPr>
            <w:tcW w:w="8771" w:type="dxa"/>
            <w:tcBorders>
              <w:top w:val="nil"/>
              <w:left w:val="nil"/>
              <w:bottom w:val="single" w:sz="6" w:space="0" w:color="78A22F"/>
              <w:right w:val="nil"/>
            </w:tcBorders>
            <w:shd w:val="clear" w:color="auto" w:fill="auto"/>
          </w:tcPr>
          <w:p w:rsidR="00B101E9" w:rsidRDefault="00B101E9" w:rsidP="00D54DD2">
            <w:pPr>
              <w:pStyle w:val="Figurespace"/>
            </w:pPr>
          </w:p>
        </w:tc>
      </w:tr>
      <w:tr w:rsidR="00B101E9" w:rsidRPr="000863A5" w:rsidTr="00D54DD2">
        <w:tc>
          <w:tcPr>
            <w:tcW w:w="8771" w:type="dxa"/>
            <w:tcBorders>
              <w:top w:val="single" w:sz="6" w:space="0" w:color="78A22F"/>
              <w:left w:val="nil"/>
              <w:bottom w:val="nil"/>
              <w:right w:val="nil"/>
            </w:tcBorders>
          </w:tcPr>
          <w:p w:rsidR="00B101E9" w:rsidRPr="00626D32" w:rsidRDefault="00B101E9" w:rsidP="00D54DD2">
            <w:pPr>
              <w:pStyle w:val="BoxSpaceBelow"/>
            </w:pPr>
          </w:p>
        </w:tc>
      </w:tr>
    </w:tbl>
    <w:p w:rsidR="00044CC2" w:rsidRPr="0066314E" w:rsidRDefault="00044CC2" w:rsidP="00A90E73">
      <w:pPr>
        <w:pStyle w:val="BodyText"/>
      </w:pPr>
      <w:r w:rsidRPr="0066314E">
        <w:t>Nationally, there were</w:t>
      </w:r>
      <w:r w:rsidR="00F265C4">
        <w:t xml:space="preserve"> </w:t>
      </w:r>
      <w:r w:rsidR="00F265C4" w:rsidRPr="00446594">
        <w:t>2309</w:t>
      </w:r>
      <w:r w:rsidRPr="0066314E">
        <w:t xml:space="preserve"> commercial insurance claim</w:t>
      </w:r>
      <w:r w:rsidR="00E771FA">
        <w:t>s</w:t>
      </w:r>
      <w:r w:rsidRPr="0066314E">
        <w:t xml:space="preserve"> from fire events in </w:t>
      </w:r>
      <w:r w:rsidR="00FA5D77">
        <w:t>2013</w:t>
      </w:r>
      <w:r w:rsidR="0026487F">
        <w:noBreakHyphen/>
      </w:r>
      <w:r w:rsidR="00FA5D77">
        <w:t>14</w:t>
      </w:r>
      <w:r w:rsidR="00F17379">
        <w:t xml:space="preserve"> (table 9A.12)</w:t>
      </w:r>
      <w:r w:rsidRPr="0066314E">
        <w:t>. In real terms, total commercial insurance claim</w:t>
      </w:r>
      <w:r w:rsidR="00430912">
        <w:t>s</w:t>
      </w:r>
      <w:r w:rsidRPr="0066314E">
        <w:t xml:space="preserve"> from fire events per person in the population </w:t>
      </w:r>
      <w:r w:rsidR="00F265C4" w:rsidRPr="00446594">
        <w:t>in</w:t>
      </w:r>
      <w:r w:rsidRPr="00446594">
        <w:t>creased</w:t>
      </w:r>
      <w:r w:rsidR="00F265C4" w:rsidRPr="00446594">
        <w:t xml:space="preserve"> 9.2 </w:t>
      </w:r>
      <w:r w:rsidRPr="00446594">
        <w:t xml:space="preserve">per cent from </w:t>
      </w:r>
      <w:r w:rsidR="004579EC" w:rsidRPr="00446594">
        <w:t>$</w:t>
      </w:r>
      <w:r w:rsidR="00F265C4" w:rsidRPr="00446594">
        <w:t>11.16</w:t>
      </w:r>
      <w:r w:rsidR="00132AE7" w:rsidRPr="00446594">
        <w:t xml:space="preserve"> </w:t>
      </w:r>
      <w:r w:rsidR="004579EC" w:rsidRPr="00446594">
        <w:t xml:space="preserve">per person in the population in </w:t>
      </w:r>
      <w:r w:rsidRPr="00446594">
        <w:t>200</w:t>
      </w:r>
      <w:r w:rsidR="002E4D98" w:rsidRPr="00446594">
        <w:t>9</w:t>
      </w:r>
      <w:r w:rsidR="00CC7814" w:rsidRPr="00446594">
        <w:noBreakHyphen/>
      </w:r>
      <w:r w:rsidR="002E4D98" w:rsidRPr="00446594">
        <w:t>10</w:t>
      </w:r>
      <w:r w:rsidRPr="00446594">
        <w:t xml:space="preserve"> </w:t>
      </w:r>
      <w:r w:rsidR="00B10B8E" w:rsidRPr="00446594">
        <w:t>to $</w:t>
      </w:r>
      <w:r w:rsidR="00F265C4" w:rsidRPr="00446594">
        <w:t>12.18</w:t>
      </w:r>
      <w:r w:rsidR="00132AE7" w:rsidRPr="00446594">
        <w:t xml:space="preserve"> </w:t>
      </w:r>
      <w:r w:rsidR="00B10B8E" w:rsidRPr="00446594">
        <w:t>per person</w:t>
      </w:r>
      <w:r w:rsidR="00B10B8E">
        <w:t xml:space="preserve"> in the population in </w:t>
      </w:r>
      <w:r w:rsidR="00FA5D77">
        <w:t>2013</w:t>
      </w:r>
      <w:r w:rsidR="0026487F">
        <w:noBreakHyphen/>
      </w:r>
      <w:r w:rsidR="00FA5D77">
        <w:t>14</w:t>
      </w:r>
      <w:r w:rsidR="00B10B8E">
        <w:t xml:space="preserve"> </w:t>
      </w:r>
      <w:r w:rsidRPr="0066314E">
        <w:t>(figure</w:t>
      </w:r>
      <w:r w:rsidR="004579EC">
        <w:t> </w:t>
      </w:r>
      <w:r w:rsidR="00970353">
        <w:t>9.19</w:t>
      </w:r>
      <w:r w:rsidRPr="0066314E">
        <w:t>).</w:t>
      </w:r>
    </w:p>
    <w:p w:rsidR="00247731" w:rsidRPr="00EC69D9" w:rsidRDefault="00E771FA" w:rsidP="00247731">
      <w:pPr>
        <w:pStyle w:val="BodyText"/>
      </w:pPr>
      <w:r>
        <w:t>D</w:t>
      </w:r>
      <w:r w:rsidR="00247731">
        <w:t xml:space="preserve">ata need to be interpreted with caution as actual asset losses may </w:t>
      </w:r>
      <w:r w:rsidR="00227F53">
        <w:t>differ</w:t>
      </w:r>
      <w:r w:rsidR="00247731">
        <w:t xml:space="preserve"> from incurred claims due to</w:t>
      </w:r>
      <w:r w:rsidR="00247731" w:rsidRPr="00EC69D9">
        <w:t>:</w:t>
      </w:r>
    </w:p>
    <w:p w:rsidR="00247731" w:rsidRPr="00EC69D9" w:rsidRDefault="00247731" w:rsidP="00247731">
      <w:pPr>
        <w:pStyle w:val="ListBullet"/>
      </w:pPr>
      <w:r w:rsidRPr="00EC69D9">
        <w:rPr>
          <w:i/>
        </w:rPr>
        <w:t>under insurance</w:t>
      </w:r>
      <w:r w:rsidRPr="00EC69D9">
        <w:t xml:space="preserve"> — </w:t>
      </w:r>
      <w:r>
        <w:t>i</w:t>
      </w:r>
      <w:r w:rsidRPr="00EC69D9">
        <w:t>nsurance payouts are limited by the estimated value of assets a policy holder provides when taking out insurance</w:t>
      </w:r>
    </w:p>
    <w:p w:rsidR="00247731" w:rsidRPr="00EC69D9" w:rsidRDefault="00247731" w:rsidP="00247731">
      <w:pPr>
        <w:pStyle w:val="ListBullet"/>
      </w:pPr>
      <w:r w:rsidRPr="00EC69D9">
        <w:rPr>
          <w:i/>
        </w:rPr>
        <w:t xml:space="preserve">market </w:t>
      </w:r>
      <w:r w:rsidR="00073D3A" w:rsidRPr="00A90E73">
        <w:rPr>
          <w:i/>
        </w:rPr>
        <w:t>coverage</w:t>
      </w:r>
      <w:r w:rsidRPr="00EC69D9">
        <w:t xml:space="preserve"> —</w:t>
      </w:r>
      <w:r>
        <w:t xml:space="preserve"> data provided by </w:t>
      </w:r>
      <w:r w:rsidR="006A45C7">
        <w:t>I</w:t>
      </w:r>
      <w:r w:rsidRPr="00EC69D9">
        <w:t>SA cover</w:t>
      </w:r>
      <w:r w:rsidR="006A45C7">
        <w:t xml:space="preserve"> an estimated</w:t>
      </w:r>
      <w:r w:rsidRPr="00EC69D9">
        <w:t xml:space="preserve"> </w:t>
      </w:r>
      <w:r w:rsidR="006A45C7">
        <w:t>6</w:t>
      </w:r>
      <w:r w:rsidR="00505B69">
        <w:t>8</w:t>
      </w:r>
      <w:r w:rsidR="006A45C7">
        <w:t>.</w:t>
      </w:r>
      <w:r w:rsidR="00505B69">
        <w:t>9</w:t>
      </w:r>
      <w:r w:rsidR="00227F53">
        <w:t xml:space="preserve"> </w:t>
      </w:r>
      <w:r w:rsidRPr="00EC69D9">
        <w:t>per</w:t>
      </w:r>
      <w:r w:rsidR="00227F53">
        <w:t xml:space="preserve"> </w:t>
      </w:r>
      <w:r w:rsidRPr="00EC69D9">
        <w:t xml:space="preserve">cent of </w:t>
      </w:r>
      <w:r w:rsidR="006A45C7">
        <w:t>Australian dwellings</w:t>
      </w:r>
      <w:r w:rsidRPr="00EC69D9">
        <w:t xml:space="preserve"> and </w:t>
      </w:r>
      <w:r w:rsidR="0014610B">
        <w:t>6</w:t>
      </w:r>
      <w:r w:rsidRPr="00EC69D9">
        <w:t xml:space="preserve">0 per cent of the commercial property </w:t>
      </w:r>
      <w:r>
        <w:t>market</w:t>
      </w:r>
      <w:r w:rsidR="00505B69">
        <w:t xml:space="preserve"> (table </w:t>
      </w:r>
      <w:r w:rsidR="004029AC">
        <w:t>9A.12</w:t>
      </w:r>
      <w:r w:rsidR="00505B69">
        <w:t xml:space="preserve">) </w:t>
      </w:r>
    </w:p>
    <w:p w:rsidR="00247731" w:rsidRPr="00EC69D9" w:rsidRDefault="00247731" w:rsidP="00247731">
      <w:pPr>
        <w:pStyle w:val="ListBullet"/>
      </w:pPr>
      <w:r w:rsidRPr="00EC69D9">
        <w:rPr>
          <w:i/>
        </w:rPr>
        <w:t>new for old</w:t>
      </w:r>
      <w:r w:rsidRPr="00EC69D9">
        <w:t xml:space="preserve"> — </w:t>
      </w:r>
      <w:r>
        <w:t>n</w:t>
      </w:r>
      <w:r w:rsidRPr="00EC69D9">
        <w:t>ew for old policies replace a</w:t>
      </w:r>
      <w:r>
        <w:t>n</w:t>
      </w:r>
      <w:r w:rsidRPr="00EC69D9">
        <w:t xml:space="preserve"> old asset for a </w:t>
      </w:r>
      <w:r>
        <w:t>new</w:t>
      </w:r>
      <w:r w:rsidRPr="00EC69D9">
        <w:t xml:space="preserve"> equivalent </w:t>
      </w:r>
    </w:p>
    <w:p w:rsidR="00247731" w:rsidRDefault="00247731" w:rsidP="00247731">
      <w:pPr>
        <w:pStyle w:val="ListBullet"/>
      </w:pPr>
      <w:r w:rsidRPr="00EC69D9">
        <w:rPr>
          <w:i/>
        </w:rPr>
        <w:lastRenderedPageBreak/>
        <w:t xml:space="preserve">excess policy </w:t>
      </w:r>
      <w:r w:rsidRPr="00EC69D9">
        <w:t>—</w:t>
      </w:r>
      <w:r>
        <w:t xml:space="preserve"> </w:t>
      </w:r>
      <w:r w:rsidRPr="00EC69D9">
        <w:t xml:space="preserve">most small </w:t>
      </w:r>
      <w:r>
        <w:t xml:space="preserve">fire </w:t>
      </w:r>
      <w:r w:rsidRPr="00EC69D9">
        <w:t>incidents will not be recorded in the insurance data</w:t>
      </w:r>
      <w:r>
        <w:t xml:space="preserve"> due to the need for policy holders to pay an excess prior to claim</w:t>
      </w:r>
      <w:r w:rsidRPr="00EC69D9">
        <w:t>.</w:t>
      </w:r>
    </w:p>
    <w:p w:rsidR="00986A8B" w:rsidRPr="002605A8" w:rsidRDefault="00B2521B" w:rsidP="00986A8B">
      <w:pPr>
        <w:pStyle w:val="Heading2"/>
      </w:pPr>
      <w:bookmarkStart w:id="61" w:name="_Toc370724854"/>
      <w:r>
        <w:t>9.</w:t>
      </w:r>
      <w:r w:rsidR="00D52162">
        <w:rPr>
          <w:noProof/>
        </w:rPr>
        <w:t>4</w:t>
      </w:r>
      <w:r w:rsidR="00986A8B" w:rsidRPr="002605A8">
        <w:tab/>
        <w:t>Profile of emergency services for ambulance events</w:t>
      </w:r>
      <w:bookmarkEnd w:id="61"/>
    </w:p>
    <w:p w:rsidR="0048764C" w:rsidRPr="0054109B" w:rsidRDefault="00980263" w:rsidP="0048764C">
      <w:pPr>
        <w:pStyle w:val="BodyText"/>
      </w:pPr>
      <w:r w:rsidRPr="002605A8">
        <w:t>This section provides information on the performance of emergency service organisations in providing services for ambulance events and in preparing the community to respond to emergencies.</w:t>
      </w:r>
      <w:r>
        <w:t xml:space="preserve"> </w:t>
      </w:r>
      <w:r w:rsidR="00986A8B" w:rsidRPr="002605A8">
        <w:t>Ambulance events are incidents that result in demand for ambulance services.</w:t>
      </w:r>
      <w:r w:rsidR="004F5C77" w:rsidRPr="004F5C77">
        <w:t xml:space="preserve"> </w:t>
      </w:r>
      <w:r w:rsidR="0048764C" w:rsidRPr="002605A8">
        <w:t xml:space="preserve">Ambulance </w:t>
      </w:r>
      <w:r w:rsidR="0048764C" w:rsidRPr="0054109B">
        <w:t>services include</w:t>
      </w:r>
      <w:r w:rsidR="0048764C">
        <w:t xml:space="preserve"> preparing for, providing and enhancing</w:t>
      </w:r>
      <w:r w:rsidR="0048764C" w:rsidRPr="0054109B">
        <w:t>:</w:t>
      </w:r>
    </w:p>
    <w:p w:rsidR="0048764C" w:rsidRPr="0081715D" w:rsidRDefault="0048764C" w:rsidP="0048764C">
      <w:pPr>
        <w:pStyle w:val="ListBullet"/>
      </w:pPr>
      <w:r w:rsidRPr="0081715D">
        <w:t>emergency and non</w:t>
      </w:r>
      <w:r w:rsidRPr="0081715D">
        <w:noBreakHyphen/>
        <w:t>emergency pre</w:t>
      </w:r>
      <w:r w:rsidRPr="0081715D">
        <w:noBreakHyphen/>
        <w:t>hospital and out</w:t>
      </w:r>
      <w:r w:rsidRPr="0081715D">
        <w:noBreakHyphen/>
        <w:t>of</w:t>
      </w:r>
      <w:r w:rsidRPr="0081715D">
        <w:noBreakHyphen/>
        <w:t>hospital patient care and transport</w:t>
      </w:r>
    </w:p>
    <w:p w:rsidR="0048764C" w:rsidRPr="0081715D" w:rsidRDefault="0048764C" w:rsidP="0048764C">
      <w:pPr>
        <w:pStyle w:val="ListBullet"/>
      </w:pPr>
      <w:r w:rsidRPr="0081715D">
        <w:t>inter</w:t>
      </w:r>
      <w:r w:rsidRPr="0081715D">
        <w:noBreakHyphen/>
        <w:t>hospital patient transport including the movement of critical patients</w:t>
      </w:r>
    </w:p>
    <w:p w:rsidR="0048764C" w:rsidRPr="0081715D" w:rsidRDefault="0048764C" w:rsidP="0048764C">
      <w:pPr>
        <w:pStyle w:val="ListBullet"/>
      </w:pPr>
      <w:r w:rsidRPr="0081715D">
        <w:t>specialised rescue services</w:t>
      </w:r>
    </w:p>
    <w:p w:rsidR="0048764C" w:rsidRPr="0081715D" w:rsidRDefault="0048764C" w:rsidP="0048764C">
      <w:pPr>
        <w:pStyle w:val="ListBullet"/>
      </w:pPr>
      <w:r w:rsidRPr="0081715D">
        <w:t>the ambulance component of multi</w:t>
      </w:r>
      <w:r w:rsidRPr="0081715D">
        <w:noBreakHyphen/>
        <w:t>casualty events</w:t>
      </w:r>
      <w:r>
        <w:t xml:space="preserve"> </w:t>
      </w:r>
    </w:p>
    <w:p w:rsidR="00986A8B" w:rsidRPr="002605A8" w:rsidRDefault="0048764C" w:rsidP="0081715D">
      <w:pPr>
        <w:pStyle w:val="ListBullet"/>
      </w:pPr>
      <w:r w:rsidRPr="0081715D">
        <w:t>the community’s capacity to respond to emergencies.</w:t>
      </w:r>
    </w:p>
    <w:p w:rsidR="00986A8B" w:rsidRPr="002605A8" w:rsidRDefault="00986A8B" w:rsidP="00986A8B">
      <w:pPr>
        <w:pStyle w:val="Heading3"/>
      </w:pPr>
      <w:r w:rsidRPr="002605A8">
        <w:t>Ambulance service organisations</w:t>
      </w:r>
    </w:p>
    <w:p w:rsidR="00980263" w:rsidRDefault="00986A8B" w:rsidP="0081715D">
      <w:pPr>
        <w:pStyle w:val="BodyText"/>
      </w:pPr>
      <w:r w:rsidRPr="0054109B">
        <w:t xml:space="preserve">Ambulance service organisations are the primary agencies involved in providing services for ambulance events. In a limited number of cases, other organisations provide services such as medical transport for emergencies (Emergency management </w:t>
      </w:r>
      <w:r w:rsidR="0095214A" w:rsidRPr="0054109B">
        <w:t>sector overview</w:t>
      </w:r>
      <w:r w:rsidRPr="0054109B">
        <w:t xml:space="preserve"> —</w:t>
      </w:r>
      <w:r w:rsidR="003A16F7" w:rsidRPr="0054109B">
        <w:t xml:space="preserve"> </w:t>
      </w:r>
      <w:r w:rsidRPr="0054109B">
        <w:t xml:space="preserve">table DA.1). The descriptive information provided below on funding, incidents and human resources are for ambulance service organisations only. </w:t>
      </w:r>
    </w:p>
    <w:p w:rsidR="00084E02" w:rsidRPr="0081715D" w:rsidRDefault="00986A8B" w:rsidP="0048764C">
      <w:pPr>
        <w:pStyle w:val="BodyText"/>
      </w:pPr>
      <w:r w:rsidRPr="0054109B">
        <w:t xml:space="preserve">State and Territory governments provide ambulance services in most jurisdictions. In WA and the </w:t>
      </w:r>
      <w:r w:rsidRPr="0081715D">
        <w:t>NT</w:t>
      </w:r>
      <w:r w:rsidRPr="0054109B">
        <w:t>, St John Ambulance is under contract to the respective governments as the primary provider of ambulance services (</w:t>
      </w:r>
      <w:r w:rsidR="00ED7CEA">
        <w:t>table</w:t>
      </w:r>
      <w:r w:rsidR="00243CD6">
        <w:t> </w:t>
      </w:r>
      <w:r w:rsidR="004029AC">
        <w:t>9A.31</w:t>
      </w:r>
      <w:r w:rsidRPr="0054109B">
        <w:t>).</w:t>
      </w:r>
      <w:r w:rsidR="00BD0E88" w:rsidRPr="0054109B">
        <w:t xml:space="preserve"> </w:t>
      </w:r>
      <w:r w:rsidRPr="0054109B">
        <w:t xml:space="preserve">Across jurisdictions the role of ambulance service organisations </w:t>
      </w:r>
      <w:r w:rsidR="00BD0E88" w:rsidRPr="0054109B">
        <w:t xml:space="preserve">serves </w:t>
      </w:r>
      <w:r w:rsidRPr="0054109B">
        <w:t>as an integral part of the health system</w:t>
      </w:r>
      <w:r w:rsidR="00BD0E88" w:rsidRPr="0054109B">
        <w:t xml:space="preserve">. </w:t>
      </w:r>
    </w:p>
    <w:p w:rsidR="006A263B" w:rsidRPr="00140866" w:rsidRDefault="006A263B" w:rsidP="00FD6454">
      <w:pPr>
        <w:pStyle w:val="BodyText"/>
        <w:shd w:val="clear" w:color="auto" w:fill="FFFFFF" w:themeFill="background1"/>
      </w:pPr>
      <w:r w:rsidRPr="0054109B">
        <w:t xml:space="preserve">The role of paramedics is expanding </w:t>
      </w:r>
      <w:r w:rsidR="00FD6454">
        <w:t>to include the assessment and management of patients with minor illnesses and injuries to avoid transport to hospital</w:t>
      </w:r>
      <w:r w:rsidR="00606F71">
        <w:t xml:space="preserve"> </w:t>
      </w:r>
      <w:r w:rsidR="00606F71" w:rsidRPr="00964C77">
        <w:t>(</w:t>
      </w:r>
      <w:r w:rsidR="00FD6454">
        <w:t>Thompson et. al. 2014</w:t>
      </w:r>
      <w:r w:rsidR="00606F71" w:rsidRPr="00964C77">
        <w:t>)</w:t>
      </w:r>
      <w:r w:rsidR="00606F71">
        <w:t>.</w:t>
      </w:r>
      <w:r w:rsidRPr="00964C77">
        <w:t xml:space="preserve"> </w:t>
      </w:r>
      <w:r w:rsidR="00140213">
        <w:t xml:space="preserve">In some rural and remote communities paramedics provide extended access to health service delivery. Access to health services in these areas is often lower than metropolitan areas (chapter 11), in part, </w:t>
      </w:r>
      <w:r w:rsidR="000033E7">
        <w:t xml:space="preserve">due </w:t>
      </w:r>
      <w:r w:rsidR="00140213">
        <w:t>to the difficulty of recruiting and retaining health professionals.</w:t>
      </w:r>
      <w:r w:rsidRPr="0054109B">
        <w:t xml:space="preserve"> </w:t>
      </w:r>
      <w:r w:rsidRPr="00A90E73">
        <w:t xml:space="preserve">Expanding roles are also developing in </w:t>
      </w:r>
      <w:r w:rsidR="00606F71">
        <w:t xml:space="preserve">some </w:t>
      </w:r>
      <w:r w:rsidRPr="00A90E73">
        <w:t xml:space="preserve">metropolitan </w:t>
      </w:r>
      <w:r w:rsidR="0003338A" w:rsidRPr="00A90E73">
        <w:t xml:space="preserve">areas, </w:t>
      </w:r>
      <w:r w:rsidRPr="00A90E73">
        <w:t xml:space="preserve">where paramedics </w:t>
      </w:r>
      <w:r w:rsidR="0003338A" w:rsidRPr="00A90E73">
        <w:t>provide care for patients through community health services as alternatives to emergency departments</w:t>
      </w:r>
      <w:r w:rsidR="0003338A">
        <w:t>.</w:t>
      </w:r>
    </w:p>
    <w:p w:rsidR="00986A8B" w:rsidRDefault="00986A8B" w:rsidP="00BF2E82">
      <w:pPr>
        <w:pStyle w:val="Heading3"/>
        <w:spacing w:before="480"/>
      </w:pPr>
      <w:r w:rsidRPr="00A90E73">
        <w:lastRenderedPageBreak/>
        <w:t>Revenue</w:t>
      </w:r>
      <w:r w:rsidR="004F5C77" w:rsidRPr="00A90E73">
        <w:t xml:space="preserve"> and </w:t>
      </w:r>
      <w:r w:rsidR="004F5C77">
        <w:t>f</w:t>
      </w:r>
      <w:r w:rsidR="004F5C77" w:rsidRPr="00D53333">
        <w:t>unding</w:t>
      </w:r>
    </w:p>
    <w:p w:rsidR="00980263" w:rsidRDefault="00980263" w:rsidP="00980263">
      <w:pPr>
        <w:pStyle w:val="Heading4"/>
      </w:pPr>
      <w:r w:rsidRPr="00A90E73">
        <w:t xml:space="preserve">Revenue </w:t>
      </w:r>
      <w:r w:rsidR="0036448A">
        <w:t>of ambulance service organisations</w:t>
      </w:r>
    </w:p>
    <w:p w:rsidR="004079E1" w:rsidRDefault="00986A8B" w:rsidP="00BA16E1">
      <w:pPr>
        <w:pStyle w:val="BodyText"/>
      </w:pPr>
      <w:r w:rsidRPr="00C4343F">
        <w:t xml:space="preserve">Total revenue of ambulance service organisations covered in this chapter was approximately </w:t>
      </w:r>
      <w:r w:rsidRPr="00607C97">
        <w:t>$</w:t>
      </w:r>
      <w:r w:rsidR="0012599B" w:rsidRPr="00607C97">
        <w:t>2.6</w:t>
      </w:r>
      <w:r w:rsidRPr="00607C97">
        <w:t> billion</w:t>
      </w:r>
      <w:r w:rsidRPr="00C4343F">
        <w:t xml:space="preserve"> in </w:t>
      </w:r>
      <w:r w:rsidR="00FA5D77">
        <w:t>2013</w:t>
      </w:r>
      <w:r w:rsidR="0026487F">
        <w:noBreakHyphen/>
      </w:r>
      <w:r w:rsidR="00FA5D77">
        <w:t>14</w:t>
      </w:r>
      <w:r w:rsidRPr="00C4343F">
        <w:t xml:space="preserve">. Nationally, revenue increased each year from </w:t>
      </w:r>
      <w:r w:rsidR="003576F3">
        <w:t>2009</w:t>
      </w:r>
      <w:r w:rsidR="00980263">
        <w:noBreakHyphen/>
      </w:r>
      <w:r w:rsidR="003576F3">
        <w:t>10</w:t>
      </w:r>
      <w:r w:rsidRPr="00C4343F">
        <w:t xml:space="preserve"> to </w:t>
      </w:r>
      <w:r w:rsidR="00FA5D77">
        <w:t>2013</w:t>
      </w:r>
      <w:r w:rsidR="0026487F">
        <w:noBreakHyphen/>
      </w:r>
      <w:r w:rsidR="00FA5D77">
        <w:t>14</w:t>
      </w:r>
      <w:r w:rsidRPr="00C4343F">
        <w:t xml:space="preserve"> (in real terms), with an average annual growth rate of </w:t>
      </w:r>
      <w:r w:rsidR="0012599B" w:rsidRPr="00607C97">
        <w:t>3.7</w:t>
      </w:r>
      <w:r w:rsidRPr="00607C97">
        <w:t> per cent</w:t>
      </w:r>
      <w:r w:rsidR="004079E1">
        <w:t xml:space="preserve"> </w:t>
      </w:r>
      <w:r w:rsidR="004079E1" w:rsidRPr="00C4343F">
        <w:t>(table</w:t>
      </w:r>
      <w:r w:rsidR="00270120">
        <w:t> </w:t>
      </w:r>
      <w:r w:rsidR="0012599B">
        <w:t>9.3</w:t>
      </w:r>
      <w:r w:rsidR="004079E1" w:rsidRPr="00C4343F">
        <w:t>)</w:t>
      </w:r>
      <w:r w:rsidRPr="00C4343F">
        <w:t>.</w:t>
      </w:r>
      <w:r w:rsidR="0068734C">
        <w:t xml:space="preserve"> </w:t>
      </w:r>
    </w:p>
    <w:p w:rsidR="00B101E9" w:rsidRDefault="00B101E9" w:rsidP="00D54DD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909"/>
      </w:tblGrid>
      <w:tr w:rsidR="00B101E9" w:rsidTr="00D54DD2">
        <w:tc>
          <w:tcPr>
            <w:tcW w:w="8771" w:type="dxa"/>
            <w:tcBorders>
              <w:top w:val="single" w:sz="6" w:space="0" w:color="78A22F" w:themeColor="accent1"/>
              <w:left w:val="nil"/>
              <w:bottom w:val="nil"/>
              <w:right w:val="nil"/>
            </w:tcBorders>
            <w:shd w:val="clear" w:color="auto" w:fill="auto"/>
          </w:tcPr>
          <w:p w:rsidR="00B101E9" w:rsidRPr="00784A05" w:rsidRDefault="00B101E9" w:rsidP="00B101E9">
            <w:pPr>
              <w:pStyle w:val="TableTitle"/>
            </w:pPr>
            <w:r>
              <w:rPr>
                <w:b w:val="0"/>
              </w:rPr>
              <w:t xml:space="preserve">Table </w:t>
            </w:r>
            <w:bookmarkStart w:id="62" w:name="OLE_LINK35"/>
            <w:r w:rsidR="008C1F96">
              <w:rPr>
                <w:b w:val="0"/>
              </w:rPr>
              <w:t>9.</w:t>
            </w:r>
            <w:r w:rsidR="00D52162">
              <w:rPr>
                <w:b w:val="0"/>
                <w:noProof/>
              </w:rPr>
              <w:t>3</w:t>
            </w:r>
            <w:bookmarkEnd w:id="62"/>
            <w:r>
              <w:tab/>
            </w:r>
            <w:r w:rsidRPr="002605A8">
              <w:t>Revenue of ambulance service organisations (</w:t>
            </w:r>
            <w:r w:rsidR="00FA5D77">
              <w:t>2013</w:t>
            </w:r>
            <w:r w:rsidR="0026487F">
              <w:noBreakHyphen/>
            </w:r>
            <w:r w:rsidR="00FA5D77">
              <w:t>14</w:t>
            </w:r>
            <w:r w:rsidRPr="002605A8">
              <w:t> dollars) ($ million)</w:t>
            </w:r>
            <w:r w:rsidRPr="002605A8">
              <w:rPr>
                <w:rStyle w:val="NoteLabel"/>
                <w:b/>
              </w:rPr>
              <w:t>a, b</w:t>
            </w:r>
            <w:r w:rsidR="0048764C">
              <w:rPr>
                <w:rStyle w:val="NoteLabel"/>
                <w:b/>
              </w:rPr>
              <w:t>, c</w:t>
            </w:r>
            <w:r w:rsidR="00747822">
              <w:rPr>
                <w:rStyle w:val="NoteLabel"/>
                <w:b/>
              </w:rPr>
              <w:t>, d</w:t>
            </w:r>
          </w:p>
        </w:tc>
      </w:tr>
      <w:tr w:rsidR="00B101E9" w:rsidTr="00D54DD2">
        <w:trPr>
          <w:cantSplit/>
        </w:trPr>
        <w:tc>
          <w:tcPr>
            <w:tcW w:w="8771" w:type="dxa"/>
            <w:tcBorders>
              <w:top w:val="nil"/>
              <w:left w:val="nil"/>
              <w:bottom w:val="nil"/>
              <w:right w:val="nil"/>
            </w:tcBorders>
            <w:shd w:val="clear" w:color="auto" w:fill="auto"/>
          </w:tcPr>
          <w:tbl>
            <w:tblPr>
              <w:tblW w:w="8790" w:type="dxa"/>
              <w:tblBorders>
                <w:top w:val="single" w:sz="4" w:space="0" w:color="BFBFBF"/>
                <w:bottom w:val="single" w:sz="4" w:space="0" w:color="BFBFBF"/>
                <w:insideH w:val="single" w:sz="4" w:space="0" w:color="BFBFBF"/>
              </w:tblBorders>
              <w:tblCellMar>
                <w:left w:w="0" w:type="dxa"/>
                <w:right w:w="0" w:type="dxa"/>
              </w:tblCellMar>
              <w:tblLook w:val="0000" w:firstRow="0" w:lastRow="0" w:firstColumn="0" w:lastColumn="0" w:noHBand="0" w:noVBand="0"/>
            </w:tblPr>
            <w:tblGrid>
              <w:gridCol w:w="605"/>
              <w:gridCol w:w="1027"/>
              <w:gridCol w:w="835"/>
              <w:gridCol w:w="855"/>
              <w:gridCol w:w="862"/>
              <w:gridCol w:w="847"/>
              <w:gridCol w:w="889"/>
              <w:gridCol w:w="929"/>
              <w:gridCol w:w="865"/>
              <w:gridCol w:w="911"/>
            </w:tblGrid>
            <w:tr w:rsidR="00B101E9" w:rsidRPr="00964C77" w:rsidTr="00D54DD2">
              <w:tc>
                <w:tcPr>
                  <w:tcW w:w="879" w:type="dxa"/>
                  <w:shd w:val="clear" w:color="auto" w:fill="auto"/>
                </w:tcPr>
                <w:p w:rsidR="00B101E9" w:rsidRPr="00964C77" w:rsidRDefault="00B101E9" w:rsidP="00D54DD2">
                  <w:pPr>
                    <w:pStyle w:val="TableColumnHeading"/>
                    <w:jc w:val="left"/>
                  </w:pPr>
                </w:p>
              </w:tc>
              <w:tc>
                <w:tcPr>
                  <w:tcW w:w="964" w:type="dxa"/>
                  <w:shd w:val="clear" w:color="auto" w:fill="auto"/>
                </w:tcPr>
                <w:p w:rsidR="00B101E9" w:rsidRPr="00964C77" w:rsidRDefault="00B101E9" w:rsidP="00D54DD2">
                  <w:pPr>
                    <w:pStyle w:val="TableColumnHeading"/>
                    <w:outlineLvl w:val="4"/>
                  </w:pPr>
                  <w:r w:rsidRPr="00964C77">
                    <w:t>NSW</w:t>
                  </w:r>
                </w:p>
              </w:tc>
              <w:tc>
                <w:tcPr>
                  <w:tcW w:w="851" w:type="dxa"/>
                  <w:shd w:val="clear" w:color="auto" w:fill="auto"/>
                </w:tcPr>
                <w:p w:rsidR="00B101E9" w:rsidRPr="00964C77" w:rsidRDefault="00B101E9" w:rsidP="00D54DD2">
                  <w:pPr>
                    <w:pStyle w:val="TableColumnHeading"/>
                    <w:outlineLvl w:val="4"/>
                  </w:pPr>
                  <w:r w:rsidRPr="00964C77">
                    <w:t>Vic</w:t>
                  </w:r>
                </w:p>
              </w:tc>
              <w:tc>
                <w:tcPr>
                  <w:tcW w:w="850" w:type="dxa"/>
                  <w:shd w:val="clear" w:color="auto" w:fill="auto"/>
                </w:tcPr>
                <w:p w:rsidR="00B101E9" w:rsidRPr="00964C77" w:rsidRDefault="00B101E9" w:rsidP="00D54DD2">
                  <w:pPr>
                    <w:pStyle w:val="TableColumnHeading"/>
                    <w:outlineLvl w:val="4"/>
                  </w:pPr>
                  <w:r w:rsidRPr="00964C77">
                    <w:t>Qld</w:t>
                  </w:r>
                </w:p>
              </w:tc>
              <w:tc>
                <w:tcPr>
                  <w:tcW w:w="851" w:type="dxa"/>
                  <w:shd w:val="clear" w:color="auto" w:fill="auto"/>
                </w:tcPr>
                <w:p w:rsidR="00B101E9" w:rsidRPr="00964C77" w:rsidRDefault="00B101E9" w:rsidP="00D54DD2">
                  <w:pPr>
                    <w:pStyle w:val="TableColumnHeading"/>
                    <w:outlineLvl w:val="4"/>
                  </w:pPr>
                  <w:r w:rsidRPr="00964C77">
                    <w:t>WA</w:t>
                  </w:r>
                </w:p>
              </w:tc>
              <w:tc>
                <w:tcPr>
                  <w:tcW w:w="879" w:type="dxa"/>
                  <w:shd w:val="clear" w:color="auto" w:fill="auto"/>
                </w:tcPr>
                <w:p w:rsidR="00B101E9" w:rsidRPr="00964C77" w:rsidRDefault="00B101E9" w:rsidP="00D54DD2">
                  <w:pPr>
                    <w:pStyle w:val="TableColumnHeading"/>
                    <w:outlineLvl w:val="4"/>
                  </w:pPr>
                  <w:r w:rsidRPr="00964C77">
                    <w:t>SA</w:t>
                  </w:r>
                </w:p>
              </w:tc>
              <w:tc>
                <w:tcPr>
                  <w:tcW w:w="879" w:type="dxa"/>
                  <w:shd w:val="clear" w:color="auto" w:fill="auto"/>
                </w:tcPr>
                <w:p w:rsidR="00B101E9" w:rsidRPr="00964C77" w:rsidRDefault="00B101E9" w:rsidP="00D54DD2">
                  <w:pPr>
                    <w:pStyle w:val="TableColumnHeading"/>
                    <w:outlineLvl w:val="4"/>
                  </w:pPr>
                  <w:r w:rsidRPr="00964C77">
                    <w:t>Tas</w:t>
                  </w:r>
                </w:p>
              </w:tc>
              <w:tc>
                <w:tcPr>
                  <w:tcW w:w="879" w:type="dxa"/>
                  <w:shd w:val="clear" w:color="auto" w:fill="auto"/>
                </w:tcPr>
                <w:p w:rsidR="00B101E9" w:rsidRPr="00964C77" w:rsidRDefault="00B101E9" w:rsidP="00D54DD2">
                  <w:pPr>
                    <w:pStyle w:val="TableColumnHeading"/>
                    <w:outlineLvl w:val="4"/>
                  </w:pPr>
                  <w:r w:rsidRPr="00964C77">
                    <w:t>ACT</w:t>
                  </w:r>
                </w:p>
              </w:tc>
              <w:tc>
                <w:tcPr>
                  <w:tcW w:w="906" w:type="dxa"/>
                  <w:shd w:val="clear" w:color="auto" w:fill="auto"/>
                </w:tcPr>
                <w:p w:rsidR="00B101E9" w:rsidRPr="00964C77" w:rsidRDefault="00B101E9" w:rsidP="00D54DD2">
                  <w:pPr>
                    <w:pStyle w:val="TableColumnHeading"/>
                    <w:outlineLvl w:val="4"/>
                  </w:pPr>
                  <w:r w:rsidRPr="00964C77">
                    <w:t>NT</w:t>
                  </w:r>
                </w:p>
              </w:tc>
              <w:tc>
                <w:tcPr>
                  <w:tcW w:w="852" w:type="dxa"/>
                  <w:shd w:val="clear" w:color="auto" w:fill="auto"/>
                </w:tcPr>
                <w:p w:rsidR="00B101E9" w:rsidRPr="00964C77" w:rsidRDefault="00B101E9" w:rsidP="00D54DD2">
                  <w:pPr>
                    <w:pStyle w:val="TableColumnHeading"/>
                    <w:outlineLvl w:val="4"/>
                  </w:pPr>
                  <w:r w:rsidRPr="00964C77">
                    <w:t>Aust</w:t>
                  </w:r>
                </w:p>
              </w:tc>
            </w:tr>
            <w:tr w:rsidR="00B101E9" w:rsidRPr="0054109B" w:rsidTr="00D54DD2">
              <w:trPr>
                <w:trHeight w:val="1360"/>
              </w:trPr>
              <w:tc>
                <w:tcPr>
                  <w:tcW w:w="8790" w:type="dxa"/>
                  <w:gridSpan w:val="10"/>
                  <w:vAlign w:val="center"/>
                </w:tcPr>
                <w:p w:rsidR="0012599B" w:rsidRPr="0012599B" w:rsidRDefault="0012599B" w:rsidP="00D54DD2">
                  <w:pPr>
                    <w:pStyle w:val="HeaderEnd"/>
                    <w:keepNext/>
                    <w:rPr>
                      <w:sz w:val="20"/>
                    </w:rPr>
                  </w:pPr>
                </w:p>
                <w:tbl>
                  <w:tblPr>
                    <w:tblW w:w="8789" w:type="dxa"/>
                    <w:tblCellMar>
                      <w:left w:w="0" w:type="dxa"/>
                      <w:right w:w="0" w:type="dxa"/>
                    </w:tblCellMar>
                    <w:tblLook w:val="04A0" w:firstRow="1" w:lastRow="0" w:firstColumn="1" w:lastColumn="0" w:noHBand="0" w:noVBand="1"/>
                  </w:tblPr>
                  <w:tblGrid>
                    <w:gridCol w:w="864"/>
                    <w:gridCol w:w="944"/>
                    <w:gridCol w:w="836"/>
                    <w:gridCol w:w="835"/>
                    <w:gridCol w:w="849"/>
                    <w:gridCol w:w="865"/>
                    <w:gridCol w:w="865"/>
                    <w:gridCol w:w="865"/>
                    <w:gridCol w:w="866"/>
                    <w:gridCol w:w="836"/>
                  </w:tblGrid>
                  <w:tr w:rsidR="0012599B" w:rsidRPr="0012599B" w:rsidTr="0012599B">
                    <w:trPr>
                      <w:divId w:val="302514952"/>
                      <w:trHeight w:val="270"/>
                    </w:trPr>
                    <w:tc>
                      <w:tcPr>
                        <w:tcW w:w="880" w:type="dxa"/>
                        <w:tcBorders>
                          <w:top w:val="nil"/>
                          <w:left w:val="nil"/>
                          <w:bottom w:val="nil"/>
                          <w:right w:val="nil"/>
                        </w:tcBorders>
                        <w:shd w:val="clear" w:color="auto" w:fill="auto"/>
                        <w:noWrap/>
                        <w:vAlign w:val="center"/>
                        <w:hideMark/>
                      </w:tcPr>
                      <w:p w:rsidR="0012599B" w:rsidRPr="0012599B" w:rsidRDefault="0012599B" w:rsidP="0012599B">
                        <w:pPr>
                          <w:pStyle w:val="TableBodyText"/>
                          <w:jc w:val="left"/>
                        </w:pPr>
                        <w:r w:rsidRPr="0012599B">
                          <w:t>2009-10</w:t>
                        </w:r>
                      </w:p>
                    </w:tc>
                    <w:tc>
                      <w:tcPr>
                        <w:tcW w:w="963" w:type="dxa"/>
                        <w:tcBorders>
                          <w:top w:val="nil"/>
                          <w:left w:val="nil"/>
                          <w:bottom w:val="nil"/>
                          <w:right w:val="nil"/>
                        </w:tcBorders>
                        <w:shd w:val="clear" w:color="auto" w:fill="auto"/>
                        <w:noWrap/>
                        <w:vAlign w:val="center"/>
                        <w:hideMark/>
                      </w:tcPr>
                      <w:p w:rsidR="0012599B" w:rsidRPr="0012599B" w:rsidRDefault="0012599B" w:rsidP="0012599B">
                        <w:pPr>
                          <w:pStyle w:val="TableBodyText"/>
                          <w:rPr>
                            <w:rFonts w:cs="Arial"/>
                          </w:rPr>
                        </w:pPr>
                        <w:r w:rsidRPr="0012599B">
                          <w:t xml:space="preserve">  713.4</w:t>
                        </w:r>
                      </w:p>
                    </w:tc>
                    <w:tc>
                      <w:tcPr>
                        <w:tcW w:w="851"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591.3</w:t>
                        </w:r>
                      </w:p>
                    </w:tc>
                    <w:tc>
                      <w:tcPr>
                        <w:tcW w:w="850"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536.7</w:t>
                        </w:r>
                      </w:p>
                    </w:tc>
                    <w:tc>
                      <w:tcPr>
                        <w:tcW w:w="865"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148.2</w:t>
                        </w:r>
                      </w:p>
                    </w:tc>
                    <w:tc>
                      <w:tcPr>
                        <w:tcW w:w="882" w:type="dxa"/>
                        <w:tcBorders>
                          <w:top w:val="nil"/>
                          <w:left w:val="nil"/>
                          <w:bottom w:val="nil"/>
                          <w:right w:val="nil"/>
                        </w:tcBorders>
                        <w:shd w:val="clear" w:color="auto" w:fill="auto"/>
                        <w:noWrap/>
                        <w:vAlign w:val="center"/>
                        <w:hideMark/>
                      </w:tcPr>
                      <w:p w:rsidR="0012599B" w:rsidRPr="0012599B" w:rsidRDefault="0012599B" w:rsidP="0012599B">
                        <w:pPr>
                          <w:pStyle w:val="TableBodyText"/>
                          <w:rPr>
                            <w:rFonts w:cs="Arial"/>
                          </w:rPr>
                        </w:pPr>
                        <w:r w:rsidRPr="0012599B">
                          <w:t xml:space="preserve">  197.1</w:t>
                        </w:r>
                      </w:p>
                    </w:tc>
                    <w:tc>
                      <w:tcPr>
                        <w:tcW w:w="882"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55.6</w:t>
                        </w:r>
                      </w:p>
                    </w:tc>
                    <w:tc>
                      <w:tcPr>
                        <w:tcW w:w="882"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25.4</w:t>
                        </w:r>
                      </w:p>
                    </w:tc>
                    <w:tc>
                      <w:tcPr>
                        <w:tcW w:w="883"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20.6</w:t>
                        </w:r>
                      </w:p>
                    </w:tc>
                    <w:tc>
                      <w:tcPr>
                        <w:tcW w:w="851" w:type="dxa"/>
                        <w:tcBorders>
                          <w:top w:val="nil"/>
                          <w:left w:val="nil"/>
                          <w:bottom w:val="nil"/>
                          <w:right w:val="nil"/>
                        </w:tcBorders>
                        <w:shd w:val="clear" w:color="auto" w:fill="auto"/>
                        <w:noWrap/>
                        <w:vAlign w:val="center"/>
                        <w:hideMark/>
                      </w:tcPr>
                      <w:p w:rsidR="0012599B" w:rsidRPr="0012599B" w:rsidRDefault="0012599B" w:rsidP="0012599B">
                        <w:pPr>
                          <w:pStyle w:val="TableBodyText"/>
                          <w:rPr>
                            <w:rFonts w:cs="Arial"/>
                          </w:rPr>
                        </w:pPr>
                        <w:r w:rsidRPr="0012599B">
                          <w:t xml:space="preserve"> 2</w:t>
                        </w:r>
                        <w:r w:rsidRPr="0012599B">
                          <w:rPr>
                            <w:rFonts w:cs="Arial"/>
                          </w:rPr>
                          <w:t xml:space="preserve"> 288.3</w:t>
                        </w:r>
                      </w:p>
                    </w:tc>
                  </w:tr>
                  <w:tr w:rsidR="0012599B" w:rsidRPr="0012599B" w:rsidTr="0012599B">
                    <w:trPr>
                      <w:divId w:val="302514952"/>
                      <w:trHeight w:val="330"/>
                    </w:trPr>
                    <w:tc>
                      <w:tcPr>
                        <w:tcW w:w="880" w:type="dxa"/>
                        <w:tcBorders>
                          <w:top w:val="nil"/>
                          <w:left w:val="nil"/>
                          <w:bottom w:val="nil"/>
                          <w:right w:val="nil"/>
                        </w:tcBorders>
                        <w:shd w:val="clear" w:color="auto" w:fill="auto"/>
                        <w:noWrap/>
                        <w:vAlign w:val="center"/>
                        <w:hideMark/>
                      </w:tcPr>
                      <w:p w:rsidR="0012599B" w:rsidRPr="0012599B" w:rsidRDefault="0012599B" w:rsidP="0012599B">
                        <w:pPr>
                          <w:pStyle w:val="TableBodyText"/>
                          <w:jc w:val="left"/>
                        </w:pPr>
                        <w:r w:rsidRPr="0012599B">
                          <w:t>2010-11</w:t>
                        </w:r>
                      </w:p>
                    </w:tc>
                    <w:tc>
                      <w:tcPr>
                        <w:tcW w:w="963"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703.0</w:t>
                        </w:r>
                      </w:p>
                    </w:tc>
                    <w:tc>
                      <w:tcPr>
                        <w:tcW w:w="851"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600.2</w:t>
                        </w:r>
                      </w:p>
                    </w:tc>
                    <w:tc>
                      <w:tcPr>
                        <w:tcW w:w="850"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564.9</w:t>
                        </w:r>
                      </w:p>
                    </w:tc>
                    <w:tc>
                      <w:tcPr>
                        <w:tcW w:w="865"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180.4</w:t>
                        </w:r>
                      </w:p>
                    </w:tc>
                    <w:tc>
                      <w:tcPr>
                        <w:tcW w:w="882"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205.4</w:t>
                        </w:r>
                      </w:p>
                    </w:tc>
                    <w:tc>
                      <w:tcPr>
                        <w:tcW w:w="882"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56.4</w:t>
                        </w:r>
                      </w:p>
                    </w:tc>
                    <w:tc>
                      <w:tcPr>
                        <w:tcW w:w="882"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29.2</w:t>
                        </w:r>
                      </w:p>
                    </w:tc>
                    <w:tc>
                      <w:tcPr>
                        <w:tcW w:w="883"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22.9</w:t>
                        </w:r>
                      </w:p>
                    </w:tc>
                    <w:tc>
                      <w:tcPr>
                        <w:tcW w:w="851"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2 362.5</w:t>
                        </w:r>
                      </w:p>
                    </w:tc>
                  </w:tr>
                  <w:tr w:rsidR="0012599B" w:rsidRPr="0012599B" w:rsidTr="0012599B">
                    <w:trPr>
                      <w:divId w:val="302514952"/>
                      <w:trHeight w:val="330"/>
                    </w:trPr>
                    <w:tc>
                      <w:tcPr>
                        <w:tcW w:w="880" w:type="dxa"/>
                        <w:tcBorders>
                          <w:top w:val="nil"/>
                          <w:left w:val="nil"/>
                          <w:bottom w:val="nil"/>
                          <w:right w:val="nil"/>
                        </w:tcBorders>
                        <w:shd w:val="clear" w:color="auto" w:fill="auto"/>
                        <w:noWrap/>
                        <w:vAlign w:val="center"/>
                        <w:hideMark/>
                      </w:tcPr>
                      <w:p w:rsidR="0012599B" w:rsidRPr="0012599B" w:rsidRDefault="0012599B" w:rsidP="0012599B">
                        <w:pPr>
                          <w:pStyle w:val="TableBodyText"/>
                          <w:jc w:val="left"/>
                        </w:pPr>
                        <w:r w:rsidRPr="0012599B">
                          <w:t>2011-12</w:t>
                        </w:r>
                      </w:p>
                    </w:tc>
                    <w:tc>
                      <w:tcPr>
                        <w:tcW w:w="963"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732.1</w:t>
                        </w:r>
                      </w:p>
                    </w:tc>
                    <w:tc>
                      <w:tcPr>
                        <w:tcW w:w="851"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623.9</w:t>
                        </w:r>
                      </w:p>
                    </w:tc>
                    <w:tc>
                      <w:tcPr>
                        <w:tcW w:w="850"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585.5</w:t>
                        </w:r>
                      </w:p>
                    </w:tc>
                    <w:tc>
                      <w:tcPr>
                        <w:tcW w:w="865"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214.2</w:t>
                        </w:r>
                      </w:p>
                    </w:tc>
                    <w:tc>
                      <w:tcPr>
                        <w:tcW w:w="882" w:type="dxa"/>
                        <w:tcBorders>
                          <w:top w:val="nil"/>
                          <w:left w:val="nil"/>
                          <w:bottom w:val="nil"/>
                          <w:right w:val="nil"/>
                        </w:tcBorders>
                        <w:shd w:val="clear" w:color="auto" w:fill="auto"/>
                        <w:noWrap/>
                        <w:vAlign w:val="center"/>
                        <w:hideMark/>
                      </w:tcPr>
                      <w:p w:rsidR="0012599B" w:rsidRPr="0012599B" w:rsidRDefault="0012599B" w:rsidP="0012599B">
                        <w:pPr>
                          <w:pStyle w:val="TableBodyText"/>
                          <w:rPr>
                            <w:rFonts w:cs="Arial"/>
                          </w:rPr>
                        </w:pPr>
                        <w:r w:rsidRPr="0012599B">
                          <w:t xml:space="preserve">  212.2</w:t>
                        </w:r>
                      </w:p>
                    </w:tc>
                    <w:tc>
                      <w:tcPr>
                        <w:tcW w:w="882"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60.0</w:t>
                        </w:r>
                      </w:p>
                    </w:tc>
                    <w:tc>
                      <w:tcPr>
                        <w:tcW w:w="882"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36.7</w:t>
                        </w:r>
                      </w:p>
                    </w:tc>
                    <w:tc>
                      <w:tcPr>
                        <w:tcW w:w="883"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24.1</w:t>
                        </w:r>
                      </w:p>
                    </w:tc>
                    <w:tc>
                      <w:tcPr>
                        <w:tcW w:w="851" w:type="dxa"/>
                        <w:tcBorders>
                          <w:top w:val="nil"/>
                          <w:left w:val="nil"/>
                          <w:bottom w:val="nil"/>
                          <w:right w:val="nil"/>
                        </w:tcBorders>
                        <w:shd w:val="clear" w:color="auto" w:fill="auto"/>
                        <w:noWrap/>
                        <w:vAlign w:val="center"/>
                        <w:hideMark/>
                      </w:tcPr>
                      <w:p w:rsidR="0012599B" w:rsidRPr="0012599B" w:rsidRDefault="0012599B" w:rsidP="0012599B">
                        <w:pPr>
                          <w:pStyle w:val="TableBodyText"/>
                          <w:rPr>
                            <w:rFonts w:cs="Arial"/>
                          </w:rPr>
                        </w:pPr>
                        <w:r w:rsidRPr="0012599B">
                          <w:t xml:space="preserve"> 2</w:t>
                        </w:r>
                        <w:r w:rsidRPr="0012599B">
                          <w:rPr>
                            <w:rFonts w:cs="Arial"/>
                          </w:rPr>
                          <w:t xml:space="preserve"> 488.8</w:t>
                        </w:r>
                      </w:p>
                    </w:tc>
                  </w:tr>
                  <w:tr w:rsidR="0012599B" w:rsidRPr="0012599B" w:rsidTr="0012599B">
                    <w:trPr>
                      <w:divId w:val="302514952"/>
                      <w:trHeight w:val="330"/>
                    </w:trPr>
                    <w:tc>
                      <w:tcPr>
                        <w:tcW w:w="880" w:type="dxa"/>
                        <w:tcBorders>
                          <w:top w:val="nil"/>
                          <w:left w:val="nil"/>
                          <w:bottom w:val="nil"/>
                          <w:right w:val="nil"/>
                        </w:tcBorders>
                        <w:shd w:val="clear" w:color="auto" w:fill="auto"/>
                        <w:noWrap/>
                        <w:vAlign w:val="center"/>
                        <w:hideMark/>
                      </w:tcPr>
                      <w:p w:rsidR="0012599B" w:rsidRPr="0012599B" w:rsidRDefault="0012599B" w:rsidP="0012599B">
                        <w:pPr>
                          <w:pStyle w:val="TableBodyText"/>
                          <w:jc w:val="left"/>
                        </w:pPr>
                        <w:r w:rsidRPr="0012599B">
                          <w:t>2012-13</w:t>
                        </w:r>
                      </w:p>
                    </w:tc>
                    <w:tc>
                      <w:tcPr>
                        <w:tcW w:w="963"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776.8</w:t>
                        </w:r>
                      </w:p>
                    </w:tc>
                    <w:tc>
                      <w:tcPr>
                        <w:tcW w:w="851"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687.0</w:t>
                        </w:r>
                      </w:p>
                    </w:tc>
                    <w:tc>
                      <w:tcPr>
                        <w:tcW w:w="850"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576.3</w:t>
                        </w:r>
                      </w:p>
                    </w:tc>
                    <w:tc>
                      <w:tcPr>
                        <w:tcW w:w="865"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228.5</w:t>
                        </w:r>
                      </w:p>
                    </w:tc>
                    <w:tc>
                      <w:tcPr>
                        <w:tcW w:w="882"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242.9</w:t>
                        </w:r>
                      </w:p>
                    </w:tc>
                    <w:tc>
                      <w:tcPr>
                        <w:tcW w:w="882"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62.7</w:t>
                        </w:r>
                      </w:p>
                    </w:tc>
                    <w:tc>
                      <w:tcPr>
                        <w:tcW w:w="882"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37.0</w:t>
                        </w:r>
                      </w:p>
                    </w:tc>
                    <w:tc>
                      <w:tcPr>
                        <w:tcW w:w="883"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25.8</w:t>
                        </w:r>
                      </w:p>
                    </w:tc>
                    <w:tc>
                      <w:tcPr>
                        <w:tcW w:w="851"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2 637.1</w:t>
                        </w:r>
                      </w:p>
                    </w:tc>
                  </w:tr>
                  <w:tr w:rsidR="0012599B" w:rsidRPr="0012599B" w:rsidTr="00607C97">
                    <w:trPr>
                      <w:divId w:val="302514952"/>
                      <w:trHeight w:val="330"/>
                    </w:trPr>
                    <w:tc>
                      <w:tcPr>
                        <w:tcW w:w="880" w:type="dxa"/>
                        <w:tcBorders>
                          <w:top w:val="nil"/>
                          <w:left w:val="nil"/>
                          <w:bottom w:val="nil"/>
                          <w:right w:val="nil"/>
                        </w:tcBorders>
                        <w:shd w:val="clear" w:color="auto" w:fill="auto"/>
                        <w:noWrap/>
                        <w:vAlign w:val="center"/>
                        <w:hideMark/>
                      </w:tcPr>
                      <w:p w:rsidR="0012599B" w:rsidRPr="0012599B" w:rsidRDefault="0012599B" w:rsidP="0012599B">
                        <w:pPr>
                          <w:pStyle w:val="TableBodyText"/>
                          <w:jc w:val="left"/>
                        </w:pPr>
                        <w:r w:rsidRPr="0012599B">
                          <w:t>2013-14</w:t>
                        </w:r>
                      </w:p>
                    </w:tc>
                    <w:tc>
                      <w:tcPr>
                        <w:tcW w:w="963" w:type="dxa"/>
                        <w:tcBorders>
                          <w:top w:val="nil"/>
                          <w:left w:val="nil"/>
                          <w:bottom w:val="nil"/>
                          <w:right w:val="nil"/>
                        </w:tcBorders>
                        <w:shd w:val="clear" w:color="auto" w:fill="auto"/>
                        <w:noWrap/>
                        <w:vAlign w:val="center"/>
                        <w:hideMark/>
                      </w:tcPr>
                      <w:p w:rsidR="0012599B" w:rsidRPr="0012599B" w:rsidRDefault="0012599B" w:rsidP="0012599B">
                        <w:pPr>
                          <w:pStyle w:val="TableBodyText"/>
                          <w:rPr>
                            <w:rFonts w:cs="Arial"/>
                            <w:sz w:val="20"/>
                          </w:rPr>
                        </w:pPr>
                        <w:r w:rsidRPr="0012599B">
                          <w:t xml:space="preserve">  798.1</w:t>
                        </w:r>
                      </w:p>
                    </w:tc>
                    <w:tc>
                      <w:tcPr>
                        <w:tcW w:w="851" w:type="dxa"/>
                        <w:tcBorders>
                          <w:top w:val="nil"/>
                          <w:left w:val="nil"/>
                          <w:bottom w:val="nil"/>
                          <w:right w:val="nil"/>
                        </w:tcBorders>
                        <w:shd w:val="clear" w:color="auto" w:fill="auto"/>
                        <w:noWrap/>
                        <w:vAlign w:val="center"/>
                        <w:hideMark/>
                      </w:tcPr>
                      <w:p w:rsidR="0012599B" w:rsidRPr="0012599B" w:rsidRDefault="0012599B" w:rsidP="0012599B">
                        <w:pPr>
                          <w:pStyle w:val="TableBodyText"/>
                          <w:rPr>
                            <w:rFonts w:cs="Arial"/>
                            <w:sz w:val="20"/>
                          </w:rPr>
                        </w:pPr>
                        <w:r w:rsidRPr="0012599B">
                          <w:t xml:space="preserve">  659.6</w:t>
                        </w:r>
                      </w:p>
                    </w:tc>
                    <w:tc>
                      <w:tcPr>
                        <w:tcW w:w="850" w:type="dxa"/>
                        <w:tcBorders>
                          <w:top w:val="nil"/>
                          <w:left w:val="nil"/>
                          <w:bottom w:val="nil"/>
                          <w:right w:val="nil"/>
                        </w:tcBorders>
                        <w:shd w:val="clear" w:color="auto" w:fill="auto"/>
                        <w:noWrap/>
                        <w:vAlign w:val="center"/>
                        <w:hideMark/>
                      </w:tcPr>
                      <w:p w:rsidR="0012599B" w:rsidRPr="0012599B" w:rsidRDefault="0012599B" w:rsidP="0012599B">
                        <w:pPr>
                          <w:pStyle w:val="TableBodyText"/>
                          <w:rPr>
                            <w:rFonts w:cs="Arial"/>
                            <w:sz w:val="20"/>
                          </w:rPr>
                        </w:pPr>
                        <w:r w:rsidRPr="0012599B">
                          <w:t xml:space="preserve">  582.3</w:t>
                        </w:r>
                      </w:p>
                    </w:tc>
                    <w:tc>
                      <w:tcPr>
                        <w:tcW w:w="865" w:type="dxa"/>
                        <w:tcBorders>
                          <w:top w:val="nil"/>
                          <w:left w:val="nil"/>
                          <w:bottom w:val="nil"/>
                          <w:right w:val="nil"/>
                        </w:tcBorders>
                        <w:shd w:val="clear" w:color="auto" w:fill="auto"/>
                        <w:noWrap/>
                        <w:vAlign w:val="center"/>
                        <w:hideMark/>
                      </w:tcPr>
                      <w:p w:rsidR="0012599B" w:rsidRPr="0012599B" w:rsidRDefault="0012599B" w:rsidP="0012599B">
                        <w:pPr>
                          <w:pStyle w:val="TableBodyText"/>
                          <w:rPr>
                            <w:rFonts w:cs="Arial"/>
                            <w:sz w:val="20"/>
                          </w:rPr>
                        </w:pPr>
                        <w:r w:rsidRPr="0012599B">
                          <w:t xml:space="preserve">  241.0</w:t>
                        </w:r>
                      </w:p>
                    </w:tc>
                    <w:tc>
                      <w:tcPr>
                        <w:tcW w:w="882" w:type="dxa"/>
                        <w:tcBorders>
                          <w:top w:val="nil"/>
                          <w:left w:val="nil"/>
                          <w:bottom w:val="nil"/>
                          <w:right w:val="nil"/>
                        </w:tcBorders>
                        <w:shd w:val="clear" w:color="auto" w:fill="auto"/>
                        <w:noWrap/>
                        <w:vAlign w:val="center"/>
                        <w:hideMark/>
                      </w:tcPr>
                      <w:p w:rsidR="0012599B" w:rsidRPr="0012599B" w:rsidRDefault="0012599B" w:rsidP="0012599B">
                        <w:pPr>
                          <w:pStyle w:val="TableBodyText"/>
                          <w:rPr>
                            <w:rFonts w:cs="Arial"/>
                            <w:sz w:val="20"/>
                          </w:rPr>
                        </w:pPr>
                        <w:r w:rsidRPr="0012599B">
                          <w:t xml:space="preserve">  235.9</w:t>
                        </w:r>
                      </w:p>
                    </w:tc>
                    <w:tc>
                      <w:tcPr>
                        <w:tcW w:w="882" w:type="dxa"/>
                        <w:tcBorders>
                          <w:top w:val="nil"/>
                          <w:left w:val="nil"/>
                          <w:bottom w:val="nil"/>
                          <w:right w:val="nil"/>
                        </w:tcBorders>
                        <w:shd w:val="clear" w:color="auto" w:fill="auto"/>
                        <w:noWrap/>
                        <w:vAlign w:val="center"/>
                        <w:hideMark/>
                      </w:tcPr>
                      <w:p w:rsidR="0012599B" w:rsidRPr="0012599B" w:rsidRDefault="0012599B" w:rsidP="0012599B">
                        <w:pPr>
                          <w:pStyle w:val="TableBodyText"/>
                          <w:rPr>
                            <w:rFonts w:cs="Arial"/>
                            <w:sz w:val="20"/>
                          </w:rPr>
                        </w:pPr>
                        <w:r w:rsidRPr="0012599B">
                          <w:t xml:space="preserve">  59.5</w:t>
                        </w:r>
                      </w:p>
                    </w:tc>
                    <w:tc>
                      <w:tcPr>
                        <w:tcW w:w="882" w:type="dxa"/>
                        <w:tcBorders>
                          <w:top w:val="nil"/>
                          <w:left w:val="nil"/>
                          <w:bottom w:val="nil"/>
                          <w:right w:val="nil"/>
                        </w:tcBorders>
                        <w:shd w:val="clear" w:color="auto" w:fill="auto"/>
                        <w:noWrap/>
                        <w:vAlign w:val="center"/>
                        <w:hideMark/>
                      </w:tcPr>
                      <w:p w:rsidR="0012599B" w:rsidRPr="0012599B" w:rsidRDefault="0012599B" w:rsidP="0012599B">
                        <w:pPr>
                          <w:pStyle w:val="TableBodyText"/>
                          <w:rPr>
                            <w:rFonts w:cs="Arial"/>
                            <w:sz w:val="20"/>
                          </w:rPr>
                        </w:pPr>
                        <w:r w:rsidRPr="0012599B">
                          <w:t xml:space="preserve">  40.2</w:t>
                        </w:r>
                      </w:p>
                    </w:tc>
                    <w:tc>
                      <w:tcPr>
                        <w:tcW w:w="883" w:type="dxa"/>
                        <w:tcBorders>
                          <w:top w:val="nil"/>
                          <w:left w:val="nil"/>
                          <w:bottom w:val="nil"/>
                          <w:right w:val="nil"/>
                        </w:tcBorders>
                        <w:shd w:val="clear" w:color="auto" w:fill="auto"/>
                        <w:noWrap/>
                        <w:vAlign w:val="center"/>
                        <w:hideMark/>
                      </w:tcPr>
                      <w:p w:rsidR="0012599B" w:rsidRPr="0012599B" w:rsidRDefault="0012599B" w:rsidP="0012599B">
                        <w:pPr>
                          <w:pStyle w:val="TableBodyText"/>
                          <w:rPr>
                            <w:rFonts w:cs="Arial"/>
                            <w:sz w:val="20"/>
                          </w:rPr>
                        </w:pPr>
                        <w:r w:rsidRPr="0012599B">
                          <w:t xml:space="preserve">  25.4</w:t>
                        </w:r>
                      </w:p>
                    </w:tc>
                    <w:tc>
                      <w:tcPr>
                        <w:tcW w:w="851" w:type="dxa"/>
                        <w:tcBorders>
                          <w:top w:val="nil"/>
                          <w:left w:val="nil"/>
                          <w:bottom w:val="nil"/>
                          <w:right w:val="nil"/>
                        </w:tcBorders>
                        <w:shd w:val="clear" w:color="auto" w:fill="auto"/>
                        <w:noWrap/>
                        <w:vAlign w:val="center"/>
                        <w:hideMark/>
                      </w:tcPr>
                      <w:p w:rsidR="0012599B" w:rsidRPr="0012599B" w:rsidRDefault="0012599B" w:rsidP="0012599B">
                        <w:pPr>
                          <w:pStyle w:val="TableBodyText"/>
                        </w:pPr>
                        <w:r w:rsidRPr="0012599B">
                          <w:t xml:space="preserve"> 2 641.9</w:t>
                        </w:r>
                      </w:p>
                    </w:tc>
                  </w:tr>
                </w:tbl>
                <w:p w:rsidR="00B101E9" w:rsidRPr="0054109B" w:rsidRDefault="00B101E9" w:rsidP="00D54DD2">
                  <w:pPr>
                    <w:pStyle w:val="HeaderEnd"/>
                    <w:keepNext/>
                  </w:pPr>
                </w:p>
              </w:tc>
            </w:tr>
          </w:tbl>
          <w:p w:rsidR="00B101E9" w:rsidRDefault="00B101E9" w:rsidP="00D54DD2">
            <w:pPr>
              <w:pStyle w:val="Box"/>
            </w:pPr>
          </w:p>
        </w:tc>
      </w:tr>
      <w:tr w:rsidR="00B101E9" w:rsidTr="00D54DD2">
        <w:trPr>
          <w:cantSplit/>
        </w:trPr>
        <w:tc>
          <w:tcPr>
            <w:tcW w:w="8771" w:type="dxa"/>
            <w:tcBorders>
              <w:top w:val="nil"/>
              <w:left w:val="nil"/>
              <w:bottom w:val="nil"/>
              <w:right w:val="nil"/>
            </w:tcBorders>
            <w:shd w:val="clear" w:color="auto" w:fill="auto"/>
          </w:tcPr>
          <w:p w:rsidR="00B101E9" w:rsidRDefault="00B101E9" w:rsidP="00747822">
            <w:pPr>
              <w:pStyle w:val="Note"/>
              <w:rPr>
                <w:i/>
              </w:rPr>
            </w:pPr>
            <w:r w:rsidRPr="002605A8">
              <w:rPr>
                <w:rStyle w:val="NoteLabel"/>
              </w:rPr>
              <w:t>a</w:t>
            </w:r>
            <w:r w:rsidRPr="002605A8">
              <w:t> </w:t>
            </w:r>
            <w:r w:rsidR="00554D80" w:rsidRPr="009432C9">
              <w:t>Time series financial data are adjusted to 2013</w:t>
            </w:r>
            <w:r w:rsidR="0026487F">
              <w:noBreakHyphen/>
            </w:r>
            <w:r w:rsidR="00554D80" w:rsidRPr="009432C9">
              <w:t>14 dollars using the General Government Final Consumption Expenditure (GGFCE) chain price deflator (2013</w:t>
            </w:r>
            <w:r w:rsidR="0026487F">
              <w:noBreakHyphen/>
            </w:r>
            <w:r w:rsidR="00554D80" w:rsidRPr="009432C9">
              <w:t>14 = 100) (table 2A.51). See chapter 2 (sections 2.5</w:t>
            </w:r>
            <w:r w:rsidR="0026487F">
              <w:noBreakHyphen/>
            </w:r>
            <w:r w:rsidR="00554D80" w:rsidRPr="009432C9">
              <w:t>6) for details.</w:t>
            </w:r>
            <w:r w:rsidRPr="002605A8">
              <w:t xml:space="preserve"> </w:t>
            </w:r>
            <w:r w:rsidR="00AA423F" w:rsidRPr="002605A8">
              <w:rPr>
                <w:rStyle w:val="NoteLabel"/>
              </w:rPr>
              <w:t>b</w:t>
            </w:r>
            <w:r w:rsidR="00AA423F" w:rsidRPr="002605A8">
              <w:t xml:space="preserve">  </w:t>
            </w:r>
            <w:r w:rsidRPr="002605A8">
              <w:t xml:space="preserve">Due to differences in definitions and counting rules, data reported may differ from data in agency annual reports and other sources. </w:t>
            </w:r>
            <w:r w:rsidR="00747822">
              <w:rPr>
                <w:rStyle w:val="NoteLabel"/>
              </w:rPr>
              <w:t>c</w:t>
            </w:r>
            <w:r w:rsidR="00747822" w:rsidRPr="002605A8">
              <w:t> Totals may not sum due to rounding.</w:t>
            </w:r>
            <w:r w:rsidR="00747822">
              <w:t xml:space="preserve"> </w:t>
            </w:r>
            <w:r w:rsidR="00747822">
              <w:rPr>
                <w:rStyle w:val="NoteLabel"/>
              </w:rPr>
              <w:t>d</w:t>
            </w:r>
            <w:r w:rsidRPr="002605A8">
              <w:t> </w:t>
            </w:r>
            <w:r w:rsidR="00747822">
              <w:t xml:space="preserve">Vic: </w:t>
            </w:r>
            <w:r w:rsidR="00747822" w:rsidRPr="00747822">
              <w:t>2012</w:t>
            </w:r>
            <w:r w:rsidR="00747822">
              <w:noBreakHyphen/>
            </w:r>
            <w:r w:rsidR="00747822" w:rsidRPr="00747822">
              <w:t xml:space="preserve">13 revenue from Government grants/contributions has been overstated, which has impacted this table. </w:t>
            </w:r>
            <w:r>
              <w:t xml:space="preserve"> </w:t>
            </w:r>
          </w:p>
        </w:tc>
      </w:tr>
      <w:tr w:rsidR="00B101E9" w:rsidTr="00D54DD2">
        <w:trPr>
          <w:cantSplit/>
        </w:trPr>
        <w:tc>
          <w:tcPr>
            <w:tcW w:w="8771" w:type="dxa"/>
            <w:tcBorders>
              <w:top w:val="nil"/>
              <w:left w:val="nil"/>
              <w:bottom w:val="nil"/>
              <w:right w:val="nil"/>
            </w:tcBorders>
            <w:shd w:val="clear" w:color="auto" w:fill="auto"/>
          </w:tcPr>
          <w:p w:rsidR="00B101E9" w:rsidRDefault="00B101E9" w:rsidP="00D54DD2">
            <w:pPr>
              <w:pStyle w:val="Source"/>
            </w:pPr>
            <w:r w:rsidRPr="002605A8">
              <w:rPr>
                <w:i/>
              </w:rPr>
              <w:t>Source</w:t>
            </w:r>
            <w:r w:rsidRPr="002605A8">
              <w:t>: State and Territory governments (unpublished); table </w:t>
            </w:r>
            <w:r w:rsidR="004029AC">
              <w:t>9A.32</w:t>
            </w:r>
            <w:r w:rsidRPr="002605A8">
              <w:t>.</w:t>
            </w:r>
          </w:p>
        </w:tc>
      </w:tr>
      <w:tr w:rsidR="00B101E9" w:rsidTr="00D54DD2">
        <w:trPr>
          <w:cantSplit/>
        </w:trPr>
        <w:tc>
          <w:tcPr>
            <w:tcW w:w="8771" w:type="dxa"/>
            <w:tcBorders>
              <w:top w:val="nil"/>
              <w:left w:val="nil"/>
              <w:bottom w:val="single" w:sz="6" w:space="0" w:color="78A22F" w:themeColor="accent1"/>
              <w:right w:val="nil"/>
            </w:tcBorders>
            <w:shd w:val="clear" w:color="auto" w:fill="auto"/>
          </w:tcPr>
          <w:p w:rsidR="00B101E9" w:rsidRDefault="00B101E9" w:rsidP="00D54DD2">
            <w:pPr>
              <w:pStyle w:val="Box"/>
              <w:spacing w:before="0" w:line="120" w:lineRule="exact"/>
            </w:pPr>
          </w:p>
        </w:tc>
      </w:tr>
      <w:tr w:rsidR="00B101E9" w:rsidRPr="000863A5" w:rsidTr="00D54DD2">
        <w:tc>
          <w:tcPr>
            <w:tcW w:w="8771" w:type="dxa"/>
            <w:tcBorders>
              <w:top w:val="single" w:sz="6" w:space="0" w:color="78A22F" w:themeColor="accent1"/>
              <w:left w:val="nil"/>
              <w:bottom w:val="nil"/>
              <w:right w:val="nil"/>
            </w:tcBorders>
          </w:tcPr>
          <w:p w:rsidR="00B101E9" w:rsidRPr="00626D32" w:rsidRDefault="00B101E9" w:rsidP="00D54DD2">
            <w:pPr>
              <w:pStyle w:val="BoxSpaceBelow"/>
            </w:pPr>
          </w:p>
        </w:tc>
      </w:tr>
    </w:tbl>
    <w:p w:rsidR="0000053C" w:rsidRPr="00C4343F" w:rsidRDefault="0000053C" w:rsidP="0000053C">
      <w:pPr>
        <w:pStyle w:val="BodyText"/>
      </w:pPr>
      <w:r w:rsidRPr="00C4343F">
        <w:t xml:space="preserve">The primary sources of revenue across all jurisdictions in </w:t>
      </w:r>
      <w:r w:rsidR="00FA5D77">
        <w:t>2013</w:t>
      </w:r>
      <w:r w:rsidR="0026487F">
        <w:noBreakHyphen/>
      </w:r>
      <w:r w:rsidR="00FA5D77">
        <w:t>14</w:t>
      </w:r>
      <w:r w:rsidRPr="00C4343F">
        <w:t xml:space="preserve"> were grants from State and Territory governments</w:t>
      </w:r>
      <w:r w:rsidR="00980263">
        <w:t xml:space="preserve"> and</w:t>
      </w:r>
      <w:r w:rsidRPr="00C4343F">
        <w:t xml:space="preserve"> transport fees (from public hospitals, private citizens and insurance)</w:t>
      </w:r>
      <w:r w:rsidR="00980263">
        <w:t>.</w:t>
      </w:r>
      <w:r w:rsidRPr="00C4343F">
        <w:t xml:space="preserve"> </w:t>
      </w:r>
      <w:r w:rsidR="00980263">
        <w:t xml:space="preserve">Ambulance </w:t>
      </w:r>
      <w:r w:rsidRPr="00C4343F">
        <w:t>subscriptions</w:t>
      </w:r>
      <w:r w:rsidR="00980263">
        <w:t xml:space="preserve"> is also a source of funding for some jurisdictions</w:t>
      </w:r>
      <w:r w:rsidRPr="00C4343F">
        <w:t xml:space="preserve"> (table</w:t>
      </w:r>
      <w:r w:rsidR="00243CD6">
        <w:t> </w:t>
      </w:r>
      <w:r w:rsidR="004029AC">
        <w:t>9A.32</w:t>
      </w:r>
      <w:r w:rsidRPr="00C4343F">
        <w:t>).</w:t>
      </w:r>
    </w:p>
    <w:p w:rsidR="00D364D0" w:rsidRPr="002605A8" w:rsidRDefault="00980263" w:rsidP="00D364D0">
      <w:pPr>
        <w:pStyle w:val="Heading4"/>
      </w:pPr>
      <w:r>
        <w:t xml:space="preserve">Ambulance </w:t>
      </w:r>
      <w:r w:rsidR="0036448A">
        <w:t xml:space="preserve">service organisation </w:t>
      </w:r>
      <w:r>
        <w:t>assets and a</w:t>
      </w:r>
      <w:r w:rsidR="00D364D0" w:rsidRPr="002605A8">
        <w:t>ero</w:t>
      </w:r>
      <w:r w:rsidR="00D364D0" w:rsidRPr="002605A8">
        <w:noBreakHyphen/>
        <w:t>medical arrangements</w:t>
      </w:r>
    </w:p>
    <w:p w:rsidR="00980263" w:rsidRPr="0054109B" w:rsidRDefault="0036448A" w:rsidP="0036448A">
      <w:pPr>
        <w:pStyle w:val="BodyText"/>
      </w:pPr>
      <w:r>
        <w:t>In 2013</w:t>
      </w:r>
      <w:r w:rsidR="0026487F">
        <w:noBreakHyphen/>
      </w:r>
      <w:r>
        <w:t xml:space="preserve">14, </w:t>
      </w:r>
      <w:r w:rsidR="0048764C">
        <w:t>a</w:t>
      </w:r>
      <w:r>
        <w:t>mbulance service organisations operated</w:t>
      </w:r>
      <w:r w:rsidR="00430912">
        <w:t xml:space="preserve"> </w:t>
      </w:r>
      <w:r w:rsidRPr="00446594">
        <w:t>11</w:t>
      </w:r>
      <w:r w:rsidR="00FB69AA" w:rsidRPr="00446594">
        <w:t>38</w:t>
      </w:r>
      <w:r w:rsidRPr="00446594">
        <w:t xml:space="preserve"> response locations</w:t>
      </w:r>
      <w:r w:rsidR="008F19BE" w:rsidRPr="00446594">
        <w:t xml:space="preserve"> </w:t>
      </w:r>
      <w:r w:rsidR="008F19BE">
        <w:t>(across all jurisdictions</w:t>
      </w:r>
      <w:r w:rsidR="0048764C">
        <w:t>)</w:t>
      </w:r>
      <w:r>
        <w:t xml:space="preserve"> and operate</w:t>
      </w:r>
      <w:r w:rsidR="0048764C">
        <w:t>d</w:t>
      </w:r>
      <w:r>
        <w:t xml:space="preserve"> </w:t>
      </w:r>
      <w:r w:rsidR="00FB69AA" w:rsidRPr="00446594">
        <w:t>3572</w:t>
      </w:r>
      <w:r w:rsidRPr="00446594">
        <w:t xml:space="preserve"> ambulance</w:t>
      </w:r>
      <w:r>
        <w:t xml:space="preserve"> general transport and patient transport vehicles </w:t>
      </w:r>
      <w:r w:rsidR="008F19BE">
        <w:t>(</w:t>
      </w:r>
      <w:r>
        <w:t>across all jurisdictions</w:t>
      </w:r>
      <w:r w:rsidR="008F19BE">
        <w:t>)</w:t>
      </w:r>
      <w:r>
        <w:t xml:space="preserve"> (</w:t>
      </w:r>
      <w:r w:rsidR="00980263" w:rsidRPr="0054109B">
        <w:t>table </w:t>
      </w:r>
      <w:r w:rsidR="00980263">
        <w:t>9A.39</w:t>
      </w:r>
      <w:r>
        <w:t>)</w:t>
      </w:r>
      <w:r w:rsidR="00980263" w:rsidRPr="0054109B">
        <w:t>.</w:t>
      </w:r>
    </w:p>
    <w:p w:rsidR="00D364D0" w:rsidRPr="002605A8" w:rsidRDefault="00D364D0" w:rsidP="00D364D0">
      <w:pPr>
        <w:pStyle w:val="BodyText"/>
      </w:pPr>
      <w:r w:rsidRPr="002605A8">
        <w:t>There are fixed and rotary wing (helicopter) ambulance services in all jurisdictions, although arrangements for air ambulance or aero</w:t>
      </w:r>
      <w:r w:rsidRPr="002605A8">
        <w:noBreakHyphen/>
        <w:t xml:space="preserve">medical services vary. In Queensland, WA, SA and NT, all or most of the funding of air ambulance services is external to the ambulance service organisations. Elsewhere the ambulance service organisations </w:t>
      </w:r>
      <w:r w:rsidR="002E4D98">
        <w:t>fund</w:t>
      </w:r>
      <w:r w:rsidRPr="002605A8">
        <w:t xml:space="preserve"> the service entirely, or they provide the air ambulance staff and an external organisation provide aircraft and crew. The Australian Government provides some capital and recurrent funding for the Royal Flying Doctor Service.</w:t>
      </w:r>
    </w:p>
    <w:p w:rsidR="00D364D0" w:rsidRDefault="00D364D0" w:rsidP="00D364D0">
      <w:pPr>
        <w:pStyle w:val="BodyText"/>
      </w:pPr>
      <w:r w:rsidRPr="002605A8">
        <w:lastRenderedPageBreak/>
        <w:t>The Council of Ambulance Authorities (CAA) has identified that</w:t>
      </w:r>
      <w:r>
        <w:t xml:space="preserve"> 8</w:t>
      </w:r>
      <w:r w:rsidR="00275212">
        <w:t>8</w:t>
      </w:r>
      <w:r>
        <w:t> </w:t>
      </w:r>
      <w:r w:rsidRPr="002605A8">
        <w:t xml:space="preserve">air ambulance aircraft were available nationally in </w:t>
      </w:r>
      <w:r w:rsidR="00FA5D77">
        <w:t>2013</w:t>
      </w:r>
      <w:r w:rsidR="0026487F">
        <w:noBreakHyphen/>
      </w:r>
      <w:r w:rsidR="00FA5D77">
        <w:t>14</w:t>
      </w:r>
      <w:r w:rsidRPr="002605A8">
        <w:t xml:space="preserve"> (table</w:t>
      </w:r>
      <w:r w:rsidR="00270120">
        <w:t> </w:t>
      </w:r>
      <w:r w:rsidR="0036448A">
        <w:t>9A.40</w:t>
      </w:r>
      <w:r w:rsidRPr="002605A8">
        <w:t>). As a result of the varying funding arrangement</w:t>
      </w:r>
      <w:r w:rsidR="0048764C">
        <w:t>s</w:t>
      </w:r>
      <w:r w:rsidRPr="002605A8">
        <w:t xml:space="preserve"> air ambulance expenditure varies </w:t>
      </w:r>
      <w:r w:rsidR="0048764C">
        <w:t xml:space="preserve">substantially </w:t>
      </w:r>
      <w:r w:rsidRPr="002605A8">
        <w:t xml:space="preserve">across jurisdictions, with some jurisdictions </w:t>
      </w:r>
      <w:r w:rsidRPr="00A90E73">
        <w:t>reco</w:t>
      </w:r>
      <w:r w:rsidR="00B84F36" w:rsidRPr="00A90E73">
        <w:t>r</w:t>
      </w:r>
      <w:r w:rsidRPr="00A90E73">
        <w:t xml:space="preserve">ding </w:t>
      </w:r>
      <w:r w:rsidRPr="002605A8">
        <w:t>low (or no) expenditure</w:t>
      </w:r>
      <w:r>
        <w:t xml:space="preserve"> </w:t>
      </w:r>
      <w:r w:rsidRPr="002605A8">
        <w:t>(table</w:t>
      </w:r>
      <w:r w:rsidR="00270120">
        <w:t> </w:t>
      </w:r>
      <w:r w:rsidR="0036448A">
        <w:t>9A.40</w:t>
      </w:r>
      <w:r w:rsidRPr="002605A8">
        <w:t>)</w:t>
      </w:r>
      <w:r>
        <w:t>.</w:t>
      </w:r>
      <w:r w:rsidRPr="002605A8">
        <w:t xml:space="preserve"> </w:t>
      </w:r>
      <w:r>
        <w:t>(</w:t>
      </w:r>
      <w:r w:rsidRPr="002605A8">
        <w:t xml:space="preserve">The expenditure figures do not represent </w:t>
      </w:r>
      <w:r>
        <w:t>the total</w:t>
      </w:r>
      <w:r w:rsidRPr="002605A8">
        <w:t xml:space="preserve"> </w:t>
      </w:r>
      <w:r>
        <w:t>cost</w:t>
      </w:r>
      <w:r w:rsidR="0048764C">
        <w:t xml:space="preserve"> of air ambulances</w:t>
      </w:r>
      <w:r w:rsidRPr="002605A8">
        <w:t>, only that component funded through the ambulance service organisation</w:t>
      </w:r>
      <w:r>
        <w:t>.</w:t>
      </w:r>
      <w:r w:rsidRPr="002605A8">
        <w:t xml:space="preserve">) </w:t>
      </w:r>
    </w:p>
    <w:p w:rsidR="00D364D0" w:rsidRPr="000C5F5A" w:rsidRDefault="00D364D0" w:rsidP="00D364D0">
      <w:pPr>
        <w:pStyle w:val="Heading3"/>
      </w:pPr>
      <w:r w:rsidRPr="000C5F5A">
        <w:t>Human resources</w:t>
      </w:r>
    </w:p>
    <w:p w:rsidR="00D364D0" w:rsidRPr="00C4343F" w:rsidRDefault="00D364D0" w:rsidP="00D364D0">
      <w:pPr>
        <w:pStyle w:val="BodyText"/>
      </w:pPr>
      <w:r w:rsidRPr="00C4343F">
        <w:t>Nationally</w:t>
      </w:r>
      <w:r w:rsidR="00E27E54">
        <w:t xml:space="preserve"> in </w:t>
      </w:r>
      <w:r w:rsidR="00FA5D77">
        <w:t>2013</w:t>
      </w:r>
      <w:r w:rsidR="0026487F">
        <w:noBreakHyphen/>
      </w:r>
      <w:r w:rsidR="00FA5D77">
        <w:t>14</w:t>
      </w:r>
      <w:r w:rsidRPr="00C4343F">
        <w:t xml:space="preserve">, </w:t>
      </w:r>
      <w:r w:rsidR="008C1F96">
        <w:t>15 503</w:t>
      </w:r>
      <w:r w:rsidR="00E27E54">
        <w:t xml:space="preserve"> </w:t>
      </w:r>
      <w:r w:rsidRPr="00C4343F">
        <w:t xml:space="preserve">FTE salaried personnel were involved in the delivery of ambulance services. The majority </w:t>
      </w:r>
      <w:r w:rsidR="003F4B59" w:rsidRPr="00C4343F">
        <w:t>(</w:t>
      </w:r>
      <w:r w:rsidR="008C1F96">
        <w:t>81.8</w:t>
      </w:r>
      <w:r w:rsidR="003F4B59" w:rsidRPr="00C4343F">
        <w:t xml:space="preserve"> per cent) </w:t>
      </w:r>
      <w:r w:rsidRPr="00C4343F">
        <w:t xml:space="preserve">of salaried ambulance personnel in </w:t>
      </w:r>
      <w:r w:rsidR="00FA5D77">
        <w:t>2013</w:t>
      </w:r>
      <w:r w:rsidR="003F4B59">
        <w:noBreakHyphen/>
      </w:r>
      <w:r w:rsidR="00FA5D77">
        <w:t>14</w:t>
      </w:r>
      <w:r w:rsidRPr="00C4343F">
        <w:t xml:space="preserve"> were ambulance operatives </w:t>
      </w:r>
      <w:r>
        <w:t>(</w:t>
      </w:r>
      <w:r w:rsidR="003F4B59">
        <w:t xml:space="preserve">comprising </w:t>
      </w:r>
      <w:r w:rsidRPr="00C4343F">
        <w:t>patient transport officers, students and base level ambulance officers, qualified ambulance officers, other clinical personnel and communications operatives</w:t>
      </w:r>
      <w:r>
        <w:t>)</w:t>
      </w:r>
      <w:r w:rsidRPr="00C4343F">
        <w:t xml:space="preserve"> (table </w:t>
      </w:r>
      <w:r w:rsidR="004029AC">
        <w:t>9A.35</w:t>
      </w:r>
      <w:r w:rsidRPr="00C4343F">
        <w:t>).</w:t>
      </w:r>
    </w:p>
    <w:p w:rsidR="00D364D0" w:rsidRPr="00C4343F" w:rsidRDefault="00D364D0" w:rsidP="00D364D0">
      <w:pPr>
        <w:pStyle w:val="BodyText"/>
      </w:pPr>
      <w:r w:rsidRPr="00C4343F">
        <w:t xml:space="preserve">Nationally, </w:t>
      </w:r>
      <w:r w:rsidR="008C1F96">
        <w:t>5972</w:t>
      </w:r>
      <w:r w:rsidRPr="00C4343F">
        <w:t xml:space="preserve"> volunteer personnel (comprising </w:t>
      </w:r>
      <w:r w:rsidR="008C1F96">
        <w:t>5749</w:t>
      </w:r>
      <w:r w:rsidRPr="00C4343F">
        <w:t xml:space="preserve"> operatives and </w:t>
      </w:r>
      <w:r w:rsidR="008C1F96">
        <w:t>223</w:t>
      </w:r>
      <w:r w:rsidRPr="00C4343F">
        <w:t xml:space="preserve"> support personnel) participated in the delivery of ambulance services in </w:t>
      </w:r>
      <w:r w:rsidR="00FA5D77">
        <w:t>2013</w:t>
      </w:r>
      <w:r w:rsidR="0026487F">
        <w:noBreakHyphen/>
      </w:r>
      <w:r w:rsidR="00FA5D77">
        <w:t>14</w:t>
      </w:r>
      <w:r w:rsidRPr="00C4343F">
        <w:t>. The proportion of volunteer personnel and the nature of their role varied across jurisdictions. Given the decentralised structure of its ambulance service operations, WA has a relatively higher number of volunteer operational and corporate support personnel (table </w:t>
      </w:r>
      <w:r w:rsidR="004029AC">
        <w:t>9A.35</w:t>
      </w:r>
      <w:r w:rsidRPr="00C4343F">
        <w:t>).</w:t>
      </w:r>
    </w:p>
    <w:p w:rsidR="00D364D0" w:rsidRPr="00C4343F" w:rsidRDefault="00D364D0" w:rsidP="00D364D0">
      <w:pPr>
        <w:pStyle w:val="BodyText"/>
      </w:pPr>
      <w:r w:rsidRPr="00C4343F">
        <w:t xml:space="preserve">Nationally, there were </w:t>
      </w:r>
      <w:r w:rsidR="008C1F96">
        <w:t>2456</w:t>
      </w:r>
      <w:r w:rsidRPr="00C4343F">
        <w:t xml:space="preserve"> ambulance community first responders in </w:t>
      </w:r>
      <w:r w:rsidR="00FA5D77">
        <w:t>2013</w:t>
      </w:r>
      <w:r w:rsidR="0026487F">
        <w:noBreakHyphen/>
      </w:r>
      <w:r w:rsidR="00FA5D77">
        <w:t>14</w:t>
      </w:r>
      <w:r w:rsidRPr="00C4343F">
        <w:t xml:space="preserve"> (table </w:t>
      </w:r>
      <w:r w:rsidR="004029AC">
        <w:t>9A.35</w:t>
      </w:r>
      <w:r w:rsidRPr="00C4343F">
        <w:t>). Community first responders</w:t>
      </w:r>
      <w:r>
        <w:t xml:space="preserve"> are trained </w:t>
      </w:r>
      <w:r w:rsidRPr="00C4343F">
        <w:t>volunteers that provide an emergency response (with no transport capacity) and first aid care before ambulance arrival.</w:t>
      </w:r>
      <w:r>
        <w:t xml:space="preserve"> </w:t>
      </w:r>
      <w:r w:rsidRPr="00C4343F">
        <w:t xml:space="preserve">In some locations the first responder service is provided by another emergency service agency </w:t>
      </w:r>
      <w:r w:rsidR="003F4B59">
        <w:t>(</w:t>
      </w:r>
      <w:r w:rsidRPr="00C4343F">
        <w:t xml:space="preserve">for example, </w:t>
      </w:r>
      <w:r w:rsidR="003F4B59">
        <w:t>by</w:t>
      </w:r>
      <w:r w:rsidRPr="00C4343F">
        <w:t xml:space="preserve"> fire service</w:t>
      </w:r>
      <w:r w:rsidR="003F4B59">
        <w:t xml:space="preserve"> organisations)</w:t>
      </w:r>
      <w:r w:rsidRPr="00C4343F">
        <w:t>.</w:t>
      </w:r>
      <w:r w:rsidRPr="00FE6635">
        <w:t xml:space="preserve"> </w:t>
      </w:r>
    </w:p>
    <w:p w:rsidR="00986A8B" w:rsidRPr="00D364D0" w:rsidRDefault="00986A8B" w:rsidP="00D364D0">
      <w:pPr>
        <w:pStyle w:val="Heading3"/>
        <w:rPr>
          <w:rStyle w:val="NoteLabel"/>
          <w:b/>
          <w:position w:val="0"/>
          <w:sz w:val="26"/>
        </w:rPr>
      </w:pPr>
      <w:r w:rsidRPr="00D364D0">
        <w:t>Demand for ambulance services</w:t>
      </w:r>
      <w:r w:rsidRPr="00560DF9" w:rsidDel="009B4341">
        <w:t xml:space="preserve"> </w:t>
      </w:r>
    </w:p>
    <w:p w:rsidR="004645D4" w:rsidRPr="002605A8" w:rsidRDefault="004645D4" w:rsidP="004645D4">
      <w:pPr>
        <w:pStyle w:val="Heading4"/>
      </w:pPr>
      <w:r w:rsidRPr="002605A8">
        <w:t>Ambulance incidents, responses and patients per 1000 people</w:t>
      </w:r>
    </w:p>
    <w:p w:rsidR="004645D4" w:rsidRDefault="004645D4" w:rsidP="004645D4">
      <w:pPr>
        <w:pStyle w:val="BodyText"/>
      </w:pPr>
      <w:r w:rsidRPr="002605A8">
        <w:t xml:space="preserve">The numbers of incidents, responses and patients are interrelated. </w:t>
      </w:r>
      <w:r w:rsidR="00891451" w:rsidRPr="00C4343F">
        <w:t>Nationally</w:t>
      </w:r>
      <w:r w:rsidR="00891451">
        <w:t xml:space="preserve"> in </w:t>
      </w:r>
      <w:r w:rsidR="00FA5D77">
        <w:t>2013</w:t>
      </w:r>
      <w:r w:rsidR="0026487F">
        <w:noBreakHyphen/>
      </w:r>
      <w:r w:rsidR="00FA5D77">
        <w:t>14</w:t>
      </w:r>
      <w:r w:rsidR="00E90B7A">
        <w:t>:</w:t>
      </w:r>
    </w:p>
    <w:p w:rsidR="004645D4" w:rsidRDefault="00F75632" w:rsidP="004645D4">
      <w:pPr>
        <w:pStyle w:val="ListBullet"/>
      </w:pPr>
      <w:r w:rsidRPr="00446594">
        <w:t>3.1</w:t>
      </w:r>
      <w:r w:rsidR="00891451" w:rsidRPr="00446594">
        <w:t xml:space="preserve"> million incidents </w:t>
      </w:r>
      <w:r w:rsidR="00E90B7A">
        <w:t xml:space="preserve">— </w:t>
      </w:r>
      <w:r w:rsidR="00E90B7A" w:rsidRPr="00584436">
        <w:t>event</w:t>
      </w:r>
      <w:r w:rsidR="00E90B7A">
        <w:t>s that result</w:t>
      </w:r>
      <w:r w:rsidR="00E90B7A" w:rsidRPr="00584436">
        <w:t xml:space="preserve"> in a demand for </w:t>
      </w:r>
      <w:r w:rsidR="00E90B7A">
        <w:t xml:space="preserve">ambulance resources to respond — were reported to ambulance service organisations </w:t>
      </w:r>
      <w:r w:rsidR="00535231" w:rsidRPr="00446594">
        <w:t>(</w:t>
      </w:r>
      <w:r w:rsidRPr="00446594">
        <w:t>134</w:t>
      </w:r>
      <w:r w:rsidR="00E90B7A" w:rsidRPr="00446594">
        <w:t> </w:t>
      </w:r>
      <w:r w:rsidR="00535231" w:rsidRPr="00446594">
        <w:t>responses</w:t>
      </w:r>
      <w:r w:rsidR="00E90B7A" w:rsidRPr="00446594">
        <w:t> </w:t>
      </w:r>
      <w:r w:rsidR="00535231" w:rsidRPr="00446594">
        <w:t>per</w:t>
      </w:r>
      <w:r w:rsidR="00E90B7A" w:rsidRPr="00446594">
        <w:t> </w:t>
      </w:r>
      <w:r w:rsidR="00535231" w:rsidRPr="00446594">
        <w:t>1000</w:t>
      </w:r>
      <w:r w:rsidR="00E90B7A" w:rsidRPr="00446594">
        <w:t> </w:t>
      </w:r>
      <w:r w:rsidR="00535231" w:rsidRPr="00446594">
        <w:t>people)</w:t>
      </w:r>
      <w:r w:rsidR="00535231">
        <w:t xml:space="preserve"> </w:t>
      </w:r>
    </w:p>
    <w:p w:rsidR="004645D4" w:rsidRDefault="008C1F96" w:rsidP="004645D4">
      <w:pPr>
        <w:pStyle w:val="ListBullet"/>
      </w:pPr>
      <w:r>
        <w:t>4.2</w:t>
      </w:r>
      <w:r w:rsidR="00891451">
        <w:t xml:space="preserve"> million responses </w:t>
      </w:r>
      <w:r w:rsidR="00E90B7A">
        <w:t xml:space="preserve">resulted — where </w:t>
      </w:r>
      <w:r w:rsidR="00E90B7A" w:rsidRPr="00584436">
        <w:t>a</w:t>
      </w:r>
      <w:r w:rsidR="00E90B7A">
        <w:t>n ambulance</w:t>
      </w:r>
      <w:r w:rsidR="00E90B7A" w:rsidRPr="00584436">
        <w:t xml:space="preserve"> vehicle or vehicles </w:t>
      </w:r>
      <w:r w:rsidR="00E90B7A">
        <w:t xml:space="preserve">are </w:t>
      </w:r>
      <w:r w:rsidR="00E90B7A" w:rsidRPr="00584436">
        <w:t>sent to an incident</w:t>
      </w:r>
      <w:r w:rsidR="00E90B7A">
        <w:t xml:space="preserve"> </w:t>
      </w:r>
      <w:r w:rsidR="00891451">
        <w:t>(</w:t>
      </w:r>
      <w:r>
        <w:t>181</w:t>
      </w:r>
      <w:r w:rsidR="00891451" w:rsidRPr="00C4343F">
        <w:t xml:space="preserve"> responses per 1000 people</w:t>
      </w:r>
      <w:r w:rsidR="00891451">
        <w:t>)</w:t>
      </w:r>
      <w:r w:rsidR="004645D4" w:rsidRPr="00584436">
        <w:t xml:space="preserve">. There can be multiple responses sent to a single incident. </w:t>
      </w:r>
      <w:r w:rsidR="004645D4" w:rsidRPr="00C4343F">
        <w:t>There can also be responses to incidents that do not have people requi</w:t>
      </w:r>
      <w:r w:rsidR="00040F56">
        <w:t>ring treatment and/or transport</w:t>
      </w:r>
      <w:r w:rsidR="004645D4">
        <w:t xml:space="preserve"> </w:t>
      </w:r>
    </w:p>
    <w:p w:rsidR="004645D4" w:rsidRPr="00C4343F" w:rsidRDefault="008C1F96" w:rsidP="008F19BE">
      <w:pPr>
        <w:pStyle w:val="ListBullet"/>
      </w:pPr>
      <w:r>
        <w:t>3.2</w:t>
      </w:r>
      <w:r w:rsidR="00891451">
        <w:t xml:space="preserve"> million patients </w:t>
      </w:r>
      <w:r w:rsidR="00E90B7A" w:rsidRPr="00584436">
        <w:t>assessed, treated or transported by the ambulance service</w:t>
      </w:r>
      <w:r w:rsidR="00E90B7A" w:rsidRPr="00C4343F">
        <w:t xml:space="preserve"> </w:t>
      </w:r>
      <w:r w:rsidR="00E90B7A">
        <w:t xml:space="preserve">organisations </w:t>
      </w:r>
      <w:r w:rsidR="00891451">
        <w:t>(</w:t>
      </w:r>
      <w:r>
        <w:t>139</w:t>
      </w:r>
      <w:r w:rsidR="00891451">
        <w:t> patients per 1000 people)</w:t>
      </w:r>
      <w:r w:rsidR="00891451" w:rsidRPr="00C4343F">
        <w:t xml:space="preserve"> </w:t>
      </w:r>
      <w:r w:rsidR="00891451">
        <w:t xml:space="preserve">— </w:t>
      </w:r>
      <w:r w:rsidR="004645D4" w:rsidRPr="00C4343F">
        <w:t>(figure </w:t>
      </w:r>
      <w:r w:rsidR="00800D6F">
        <w:t>9.20</w:t>
      </w:r>
      <w:r w:rsidR="00535231">
        <w:t xml:space="preserve"> and table 9A.3</w:t>
      </w:r>
      <w:r w:rsidR="00F350CC">
        <w:t>3</w:t>
      </w:r>
      <w:r w:rsidR="004645D4" w:rsidRPr="00C4343F">
        <w:t>).</w:t>
      </w:r>
    </w:p>
    <w:p w:rsidR="002E4D98" w:rsidRPr="00BC447F" w:rsidRDefault="002E4D98" w:rsidP="00473685">
      <w:pPr>
        <w:pStyle w:val="BoxSpaceBelow"/>
        <w:keepNext/>
        <w:rPr>
          <w:rFonts w:ascii="Times New Roman" w:hAnsi="Times New Roman"/>
          <w:b/>
        </w:rPr>
      </w:pPr>
      <w:bookmarkStart w:id="63" w:name="_Toc343078122"/>
      <w:bookmarkStart w:id="64" w:name="_Toc343078575"/>
      <w:bookmarkStart w:id="65" w:name="_Toc343078619"/>
      <w:bookmarkStart w:id="66" w:name="_Toc343089210"/>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E4D98" w:rsidTr="00963693">
        <w:tc>
          <w:tcPr>
            <w:tcW w:w="8771" w:type="dxa"/>
            <w:tcBorders>
              <w:top w:val="single" w:sz="6" w:space="0" w:color="78A22F"/>
              <w:left w:val="nil"/>
              <w:bottom w:val="nil"/>
              <w:right w:val="nil"/>
            </w:tcBorders>
            <w:shd w:val="clear" w:color="auto" w:fill="auto"/>
          </w:tcPr>
          <w:p w:rsidR="002E4D98" w:rsidRPr="00176D3F" w:rsidRDefault="002E4D98" w:rsidP="00963693">
            <w:pPr>
              <w:pStyle w:val="FigureTitle"/>
            </w:pPr>
            <w:r w:rsidRPr="00784A05">
              <w:rPr>
                <w:b w:val="0"/>
              </w:rPr>
              <w:t xml:space="preserve">Figure </w:t>
            </w:r>
            <w:bookmarkStart w:id="67" w:name="OLE_LINK71"/>
            <w:r w:rsidR="008C1F96">
              <w:rPr>
                <w:b w:val="0"/>
              </w:rPr>
              <w:t>9.</w:t>
            </w:r>
            <w:r w:rsidR="00D52162">
              <w:rPr>
                <w:b w:val="0"/>
                <w:noProof/>
              </w:rPr>
              <w:t>20</w:t>
            </w:r>
            <w:bookmarkEnd w:id="67"/>
            <w:r>
              <w:tab/>
            </w:r>
            <w:r w:rsidRPr="002605A8">
              <w:t xml:space="preserve">Reported ambulance incidents, responses and patients, </w:t>
            </w:r>
            <w:r>
              <w:t>2013</w:t>
            </w:r>
            <w:r w:rsidR="0026487F">
              <w:noBreakHyphen/>
            </w:r>
            <w:r>
              <w:t>14</w:t>
            </w:r>
            <w:r w:rsidR="00C70348">
              <w:rPr>
                <w:rStyle w:val="NoteLabel"/>
                <w:b/>
              </w:rPr>
              <w:t>a, b, c, d</w:t>
            </w:r>
            <w:r w:rsidR="0030658E">
              <w:rPr>
                <w:rStyle w:val="NoteLabel"/>
                <w:b/>
              </w:rPr>
              <w:t>, e</w:t>
            </w:r>
          </w:p>
        </w:tc>
      </w:tr>
      <w:tr w:rsidR="002E4D98" w:rsidTr="00963693">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2E4D98" w:rsidTr="00446594">
              <w:tc>
                <w:tcPr>
                  <w:tcW w:w="5000" w:type="pct"/>
                  <w:tcBorders>
                    <w:top w:val="nil"/>
                    <w:bottom w:val="nil"/>
                  </w:tcBorders>
                  <w:shd w:val="clear" w:color="auto" w:fill="auto"/>
                </w:tcPr>
                <w:p w:rsidR="002E4D98" w:rsidRDefault="004B4E03" w:rsidP="00963693">
                  <w:pPr>
                    <w:pStyle w:val="Figure"/>
                    <w:spacing w:before="60" w:after="60"/>
                  </w:pPr>
                  <w:r>
                    <w:rPr>
                      <w:noProof/>
                    </w:rPr>
                    <w:drawing>
                      <wp:inline distT="0" distB="0" distL="0" distR="0">
                        <wp:extent cx="5405755" cy="2707640"/>
                        <wp:effectExtent l="0" t="0" r="4445" b="0"/>
                        <wp:docPr id="26" name="Picture 26" descr="Figure 9.20 Reported ambulance incidents, responses and patient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2E4D98" w:rsidRDefault="002E4D98" w:rsidP="00963693">
            <w:pPr>
              <w:pStyle w:val="Figure"/>
            </w:pPr>
          </w:p>
        </w:tc>
      </w:tr>
      <w:tr w:rsidR="002E4D98" w:rsidRPr="00176D3F" w:rsidTr="00963693">
        <w:tc>
          <w:tcPr>
            <w:tcW w:w="8771" w:type="dxa"/>
            <w:tcBorders>
              <w:top w:val="nil"/>
              <w:left w:val="nil"/>
              <w:bottom w:val="nil"/>
              <w:right w:val="nil"/>
            </w:tcBorders>
            <w:shd w:val="clear" w:color="auto" w:fill="auto"/>
          </w:tcPr>
          <w:p w:rsidR="002E4D98" w:rsidRPr="00176D3F" w:rsidRDefault="00535231" w:rsidP="00430912">
            <w:pPr>
              <w:pStyle w:val="Note"/>
            </w:pPr>
            <w:r>
              <w:rPr>
                <w:rStyle w:val="NoteLabel"/>
              </w:rPr>
              <w:t>a</w:t>
            </w:r>
            <w:r w:rsidRPr="002605A8">
              <w:t> </w:t>
            </w:r>
            <w:r w:rsidRPr="00D802A1">
              <w:t xml:space="preserve">Population data used to derive rates are revised to the ABS’ final 2011 Census rebased estimates. </w:t>
            </w:r>
            <w:r w:rsidRPr="00854E63">
              <w:t xml:space="preserve">See </w:t>
            </w:r>
            <w:r>
              <w:t>c</w:t>
            </w:r>
            <w:r w:rsidRPr="00854E63">
              <w:t>hapter</w:t>
            </w:r>
            <w:r>
              <w:t> </w:t>
            </w:r>
            <w:r w:rsidRPr="00854E63">
              <w:t>2 (table</w:t>
            </w:r>
            <w:r>
              <w:t> </w:t>
            </w:r>
            <w:r w:rsidRPr="00854E63">
              <w:t>2A.1</w:t>
            </w:r>
            <w:r>
              <w:noBreakHyphen/>
            </w:r>
            <w:r w:rsidRPr="00854E63">
              <w:t>2) for details.</w:t>
            </w:r>
            <w:r>
              <w:t xml:space="preserve"> </w:t>
            </w:r>
            <w:r>
              <w:rPr>
                <w:rStyle w:val="NoteLabel"/>
              </w:rPr>
              <w:t>b</w:t>
            </w:r>
            <w:r w:rsidR="002E4D98" w:rsidRPr="002605A8">
              <w:t xml:space="preserve">Vic: Incidents and responses are for road ambulances only. </w:t>
            </w:r>
            <w:r w:rsidR="00FB69AA" w:rsidRPr="00446594">
              <w:rPr>
                <w:rStyle w:val="NoteLabel"/>
              </w:rPr>
              <w:t>c</w:t>
            </w:r>
            <w:r w:rsidR="002E4D98" w:rsidRPr="00446594">
              <w:t> </w:t>
            </w:r>
            <w:r w:rsidR="0030658E" w:rsidRPr="00446594">
              <w:t xml:space="preserve">Qld: </w:t>
            </w:r>
            <w:r w:rsidR="001206B5" w:rsidRPr="00446594">
              <w:t>R</w:t>
            </w:r>
            <w:r w:rsidR="0030658E" w:rsidRPr="00446594">
              <w:t xml:space="preserve">esponses are for road ambulances only, and do not include counts of responding units that are cancelled prior to arrival on scene. </w:t>
            </w:r>
            <w:r w:rsidR="001206B5" w:rsidRPr="00446594">
              <w:t>I</w:t>
            </w:r>
            <w:r w:rsidR="0030658E" w:rsidRPr="00446594">
              <w:t>ncident and response counts include Code 2C cases where arrival is desirable within 60 minutes.</w:t>
            </w:r>
            <w:r w:rsidR="0030658E" w:rsidRPr="00446594">
              <w:rPr>
                <w:rStyle w:val="NoteLabel"/>
              </w:rPr>
              <w:t xml:space="preserve"> d</w:t>
            </w:r>
            <w:r w:rsidR="0030658E" w:rsidRPr="00446594">
              <w:t> </w:t>
            </w:r>
            <w:r w:rsidR="002E4D98" w:rsidRPr="002605A8">
              <w:t xml:space="preserve">NT: A response is counted as an incident. Data for incidents are not available and are not included in the rate for Australia. </w:t>
            </w:r>
            <w:r w:rsidR="00473685" w:rsidRPr="00473685">
              <w:t>In 2013</w:t>
            </w:r>
            <w:r w:rsidR="0026487F">
              <w:noBreakHyphen/>
            </w:r>
            <w:r w:rsidR="00473685" w:rsidRPr="00473685">
              <w:t>14, patients data are not available due to protected Industrial Action.</w:t>
            </w:r>
            <w:r w:rsidR="00473685">
              <w:t xml:space="preserve"> </w:t>
            </w:r>
            <w:r w:rsidR="0030658E" w:rsidRPr="00446594">
              <w:rPr>
                <w:rStyle w:val="NoteLabel"/>
              </w:rPr>
              <w:t>e</w:t>
            </w:r>
            <w:r w:rsidR="002E4D98" w:rsidRPr="002605A8">
              <w:t> </w:t>
            </w:r>
            <w:r w:rsidR="00473685" w:rsidRPr="00446594">
              <w:t xml:space="preserve">Australian </w:t>
            </w:r>
            <w:r w:rsidR="00C70348" w:rsidRPr="00446594">
              <w:t xml:space="preserve">incidents and </w:t>
            </w:r>
            <w:r w:rsidR="00473685" w:rsidRPr="00446594">
              <w:t>patients data exclude NT.</w:t>
            </w:r>
            <w:r w:rsidR="002E4D98" w:rsidRPr="002605A8">
              <w:t xml:space="preserve"> </w:t>
            </w:r>
          </w:p>
        </w:tc>
      </w:tr>
      <w:tr w:rsidR="002E4D98" w:rsidRPr="00176D3F" w:rsidTr="00963693">
        <w:tc>
          <w:tcPr>
            <w:tcW w:w="8771" w:type="dxa"/>
            <w:tcBorders>
              <w:top w:val="nil"/>
              <w:left w:val="nil"/>
              <w:bottom w:val="nil"/>
              <w:right w:val="nil"/>
            </w:tcBorders>
            <w:shd w:val="clear" w:color="auto" w:fill="auto"/>
          </w:tcPr>
          <w:p w:rsidR="002E4D98" w:rsidRPr="00176D3F" w:rsidRDefault="002E4D98" w:rsidP="00963693">
            <w:pPr>
              <w:pStyle w:val="Source"/>
            </w:pPr>
            <w:r w:rsidRPr="002605A8">
              <w:rPr>
                <w:i/>
              </w:rPr>
              <w:t>Source</w:t>
            </w:r>
            <w:r w:rsidRPr="002605A8">
              <w:t>: State and Territory governments (unpublished); table </w:t>
            </w:r>
            <w:r>
              <w:t>9A.33</w:t>
            </w:r>
            <w:r w:rsidRPr="002605A8">
              <w:t>.</w:t>
            </w:r>
          </w:p>
        </w:tc>
      </w:tr>
      <w:tr w:rsidR="002E4D98" w:rsidTr="00963693">
        <w:tc>
          <w:tcPr>
            <w:tcW w:w="8771" w:type="dxa"/>
            <w:tcBorders>
              <w:top w:val="nil"/>
              <w:left w:val="nil"/>
              <w:bottom w:val="single" w:sz="6" w:space="0" w:color="78A22F"/>
              <w:right w:val="nil"/>
            </w:tcBorders>
            <w:shd w:val="clear" w:color="auto" w:fill="auto"/>
          </w:tcPr>
          <w:p w:rsidR="002E4D98" w:rsidRDefault="002E4D98" w:rsidP="00963693">
            <w:pPr>
              <w:pStyle w:val="Figurespace"/>
            </w:pPr>
          </w:p>
        </w:tc>
      </w:tr>
      <w:tr w:rsidR="002E4D98" w:rsidRPr="000863A5" w:rsidTr="00963693">
        <w:tc>
          <w:tcPr>
            <w:tcW w:w="8771" w:type="dxa"/>
            <w:tcBorders>
              <w:top w:val="single" w:sz="6" w:space="0" w:color="78A22F"/>
              <w:left w:val="nil"/>
              <w:bottom w:val="nil"/>
              <w:right w:val="nil"/>
            </w:tcBorders>
          </w:tcPr>
          <w:p w:rsidR="002E4D98" w:rsidRPr="00626D32" w:rsidRDefault="002E4D98" w:rsidP="00963693">
            <w:pPr>
              <w:pStyle w:val="BoxSpaceBelow"/>
            </w:pPr>
          </w:p>
        </w:tc>
      </w:tr>
    </w:tbl>
    <w:p w:rsidR="00BF2E82" w:rsidRPr="002605A8" w:rsidRDefault="00BF2E82" w:rsidP="00BF2E82">
      <w:pPr>
        <w:pStyle w:val="Heading4"/>
      </w:pPr>
      <w:r w:rsidRPr="002605A8">
        <w:t>Incidents</w:t>
      </w:r>
    </w:p>
    <w:p w:rsidR="00BF2E82" w:rsidRPr="002605A8" w:rsidRDefault="00BF2E82" w:rsidP="00BF2E82">
      <w:pPr>
        <w:pStyle w:val="BodyText"/>
      </w:pPr>
      <w:r w:rsidRPr="002605A8">
        <w:t>Ambulance service organisations prioritise incidents as:</w:t>
      </w:r>
    </w:p>
    <w:p w:rsidR="00BF2E82" w:rsidRPr="002605A8" w:rsidRDefault="00BF2E82" w:rsidP="00BF2E82">
      <w:pPr>
        <w:pStyle w:val="ListBullet"/>
      </w:pPr>
      <w:r w:rsidRPr="002605A8">
        <w:t>emergency — immediate response under lights and sirens required (code 1)</w:t>
      </w:r>
    </w:p>
    <w:p w:rsidR="00BF2E82" w:rsidRPr="002605A8" w:rsidRDefault="00BF2E82" w:rsidP="00BF2E82">
      <w:pPr>
        <w:pStyle w:val="ListBullet"/>
      </w:pPr>
      <w:r w:rsidRPr="002605A8">
        <w:t>urgent — undelayed response required without lights and sirens (code 2)</w:t>
      </w:r>
    </w:p>
    <w:p w:rsidR="00BF2E82" w:rsidRPr="002605A8" w:rsidRDefault="00BF2E82" w:rsidP="00BF2E82">
      <w:pPr>
        <w:pStyle w:val="ListBullet"/>
      </w:pPr>
      <w:r w:rsidRPr="002605A8">
        <w:t>non</w:t>
      </w:r>
      <w:r w:rsidR="00CC7814">
        <w:noBreakHyphen/>
      </w:r>
      <w:r w:rsidRPr="002605A8">
        <w:t>emergency — non</w:t>
      </w:r>
      <w:r w:rsidR="00CC7814">
        <w:noBreakHyphen/>
      </w:r>
      <w:r w:rsidRPr="002605A8">
        <w:t>urgent response required (code</w:t>
      </w:r>
      <w:r>
        <w:t>s</w:t>
      </w:r>
      <w:r w:rsidRPr="002605A8">
        <w:t> 3, 4)</w:t>
      </w:r>
    </w:p>
    <w:p w:rsidR="00BF2E82" w:rsidRPr="002605A8" w:rsidRDefault="00BF2E82" w:rsidP="00BF2E82">
      <w:pPr>
        <w:pStyle w:val="ListBullet"/>
      </w:pPr>
      <w:r w:rsidRPr="002605A8">
        <w:t>casualty room attendance</w:t>
      </w:r>
      <w:r w:rsidR="00E90B7A">
        <w:t>.</w:t>
      </w:r>
    </w:p>
    <w:p w:rsidR="00BF2E82" w:rsidRDefault="00BF2E82" w:rsidP="00BF2E82">
      <w:pPr>
        <w:pStyle w:val="BodyText"/>
      </w:pPr>
      <w:r w:rsidRPr="002605A8">
        <w:t>Nationally</w:t>
      </w:r>
      <w:r>
        <w:t xml:space="preserve"> in </w:t>
      </w:r>
      <w:r w:rsidR="00FA5D77">
        <w:t>2013</w:t>
      </w:r>
      <w:r w:rsidR="0026487F">
        <w:noBreakHyphen/>
      </w:r>
      <w:r w:rsidR="00FA5D77">
        <w:t>14</w:t>
      </w:r>
      <w:r w:rsidRPr="002605A8">
        <w:t xml:space="preserve">, </w:t>
      </w:r>
      <w:r>
        <w:t xml:space="preserve">of the </w:t>
      </w:r>
      <w:r w:rsidR="00F75632" w:rsidRPr="00446594">
        <w:t>3.1</w:t>
      </w:r>
      <w:r w:rsidRPr="00446594">
        <w:t> million incidents</w:t>
      </w:r>
      <w:r>
        <w:t xml:space="preserve"> </w:t>
      </w:r>
      <w:r w:rsidRPr="002605A8">
        <w:t>ambulance service organisations attended</w:t>
      </w:r>
      <w:r>
        <w:t>,</w:t>
      </w:r>
      <w:r w:rsidRPr="002605A8">
        <w:t xml:space="preserve"> </w:t>
      </w:r>
      <w:r w:rsidR="00F75632" w:rsidRPr="00446594">
        <w:t>44.5</w:t>
      </w:r>
      <w:r w:rsidR="00535231" w:rsidRPr="00446594">
        <w:t> per cent</w:t>
      </w:r>
      <w:r w:rsidR="00535231" w:rsidRPr="002605A8">
        <w:t xml:space="preserve"> </w:t>
      </w:r>
      <w:r w:rsidRPr="002605A8">
        <w:t xml:space="preserve">were </w:t>
      </w:r>
      <w:r>
        <w:t xml:space="preserve">prioritised </w:t>
      </w:r>
      <w:r w:rsidR="00E40A01">
        <w:t>by the ambulance service</w:t>
      </w:r>
      <w:r w:rsidR="003A0C49">
        <w:t xml:space="preserve"> organisations </w:t>
      </w:r>
      <w:r>
        <w:t xml:space="preserve">as </w:t>
      </w:r>
      <w:r w:rsidRPr="002605A8">
        <w:t>emergency incidents. Ambulance service organisations also attended a large number of urgent incidents (</w:t>
      </w:r>
      <w:r w:rsidR="00F75632" w:rsidRPr="00446594">
        <w:t>30.7</w:t>
      </w:r>
      <w:r w:rsidRPr="00446594">
        <w:t> per cent</w:t>
      </w:r>
      <w:r w:rsidRPr="002605A8">
        <w:t>) and non</w:t>
      </w:r>
      <w:r w:rsidRPr="002605A8">
        <w:noBreakHyphen/>
        <w:t>emergency incidents (</w:t>
      </w:r>
      <w:r w:rsidR="00F75632" w:rsidRPr="00446594">
        <w:t>24.8</w:t>
      </w:r>
      <w:r w:rsidRPr="00446594">
        <w:t> per cent</w:t>
      </w:r>
      <w:r w:rsidRPr="002605A8">
        <w:t>)</w:t>
      </w:r>
      <w:r w:rsidRPr="004645D4">
        <w:t xml:space="preserve"> </w:t>
      </w:r>
      <w:r w:rsidRPr="002605A8">
        <w:t>(table </w:t>
      </w:r>
      <w:r w:rsidR="004029AC">
        <w:t>9A.33</w:t>
      </w:r>
      <w:r w:rsidRPr="002605A8">
        <w:t>).</w:t>
      </w:r>
      <w:r w:rsidR="00E90B7A">
        <w:t xml:space="preserve"> There were fewer than 1000 casualty room attendance incidents (all of which </w:t>
      </w:r>
      <w:r w:rsidR="00430912">
        <w:t>occurred</w:t>
      </w:r>
      <w:r w:rsidR="00E90B7A">
        <w:t xml:space="preserve"> in </w:t>
      </w:r>
      <w:r w:rsidR="00C70348" w:rsidRPr="00446594">
        <w:t>Queensland</w:t>
      </w:r>
      <w:r w:rsidR="00E90B7A">
        <w:t>).</w:t>
      </w:r>
    </w:p>
    <w:bookmarkEnd w:id="63"/>
    <w:bookmarkEnd w:id="64"/>
    <w:bookmarkEnd w:id="65"/>
    <w:bookmarkEnd w:id="66"/>
    <w:p w:rsidR="00F845DC" w:rsidRDefault="00F845DC" w:rsidP="00F845DC">
      <w:pPr>
        <w:pStyle w:val="Heading4"/>
      </w:pPr>
      <w:r w:rsidRPr="001F581F">
        <w:lastRenderedPageBreak/>
        <w:t>Emergency department triage category by ambulance transport rate</w:t>
      </w:r>
    </w:p>
    <w:p w:rsidR="00F845DC" w:rsidRDefault="00F845DC" w:rsidP="003A0C49">
      <w:pPr>
        <w:pStyle w:val="BodyText"/>
      </w:pPr>
      <w:r w:rsidRPr="00A90E73">
        <w:t xml:space="preserve">Emergency department presentation rates and demand for ambulance services are closely linked. </w:t>
      </w:r>
      <w:r w:rsidR="001F581F" w:rsidRPr="00A90E73">
        <w:t xml:space="preserve">In </w:t>
      </w:r>
      <w:r w:rsidR="00FA5D77">
        <w:t>2013</w:t>
      </w:r>
      <w:r w:rsidR="0026487F">
        <w:noBreakHyphen/>
      </w:r>
      <w:r w:rsidR="00FA5D77">
        <w:t>14</w:t>
      </w:r>
      <w:r w:rsidR="001F581F" w:rsidRPr="00A90E73">
        <w:t xml:space="preserve">, </w:t>
      </w:r>
      <w:r w:rsidR="003A0C49" w:rsidRPr="00A90E73">
        <w:t>1.</w:t>
      </w:r>
      <w:r w:rsidR="001E2F08">
        <w:t>7</w:t>
      </w:r>
      <w:r w:rsidR="003A0C49" w:rsidRPr="00A90E73">
        <w:t> million patients arrived at an emergency department by ambulance, air ambulance, or helicopter (24.</w:t>
      </w:r>
      <w:r w:rsidR="001E2F08">
        <w:t>1</w:t>
      </w:r>
      <w:r w:rsidR="00535231">
        <w:t xml:space="preserve"> </w:t>
      </w:r>
      <w:r w:rsidR="003A0C49" w:rsidRPr="00A90E73">
        <w:t>per</w:t>
      </w:r>
      <w:r w:rsidR="00535231">
        <w:t xml:space="preserve"> </w:t>
      </w:r>
      <w:r w:rsidR="003A0C49" w:rsidRPr="00A90E73">
        <w:t>cent of all emergency department patients) (table</w:t>
      </w:r>
      <w:r w:rsidR="00535231">
        <w:t> </w:t>
      </w:r>
      <w:r w:rsidR="004029AC">
        <w:t>9A.34</w:t>
      </w:r>
      <w:r w:rsidR="003A0C49" w:rsidRPr="00A90E73">
        <w:t xml:space="preserve"> and figure</w:t>
      </w:r>
      <w:r w:rsidR="00535231">
        <w:t xml:space="preserve"> </w:t>
      </w:r>
      <w:r w:rsidR="00800D6F">
        <w:t>9.21</w:t>
      </w:r>
      <w:r w:rsidR="003A0C49" w:rsidRPr="00A90E73">
        <w:t xml:space="preserve">). Of these, </w:t>
      </w:r>
      <w:r w:rsidR="001E2F08">
        <w:t>39</w:t>
      </w:r>
      <w:r w:rsidR="003A0C49" w:rsidRPr="00A90E73">
        <w:t> </w:t>
      </w:r>
      <w:r w:rsidR="001E2F08">
        <w:t>256</w:t>
      </w:r>
      <w:r w:rsidR="003A0C49" w:rsidRPr="00A90E73">
        <w:t xml:space="preserve"> patients were assessed by emergency department staff to have immediately life threatening conditions on arrival at hospital (triage category ‘resuscitation’). In total, </w:t>
      </w:r>
      <w:r w:rsidR="008C1F96">
        <w:t>84.0</w:t>
      </w:r>
      <w:r w:rsidR="003A0C49" w:rsidRPr="00A90E73">
        <w:t xml:space="preserve"> per cent of all emergency department resuscitation patients </w:t>
      </w:r>
      <w:r w:rsidR="001F581F" w:rsidRPr="00A90E73">
        <w:t>arrived by ambulance, air ambulance, or helicopter</w:t>
      </w:r>
      <w:r w:rsidR="003A0C49" w:rsidRPr="00A90E73">
        <w:t xml:space="preserve"> in </w:t>
      </w:r>
      <w:r w:rsidR="00FA5D77">
        <w:t>2013</w:t>
      </w:r>
      <w:r w:rsidR="0026487F">
        <w:noBreakHyphen/>
      </w:r>
      <w:r w:rsidR="00FA5D77">
        <w:t>14</w:t>
      </w:r>
      <w:r w:rsidR="001F581F" w:rsidRPr="00A90E73">
        <w:t>.</w:t>
      </w:r>
      <w:r w:rsidR="001F581F">
        <w:t xml:space="preserve"> </w:t>
      </w:r>
    </w:p>
    <w:p w:rsidR="00D9780F" w:rsidRDefault="00D9780F" w:rsidP="00D54DD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780F" w:rsidTr="00D54DD2">
        <w:tc>
          <w:tcPr>
            <w:tcW w:w="8771" w:type="dxa"/>
            <w:tcBorders>
              <w:top w:val="single" w:sz="6" w:space="0" w:color="78A22F"/>
              <w:left w:val="nil"/>
              <w:bottom w:val="nil"/>
              <w:right w:val="nil"/>
            </w:tcBorders>
            <w:shd w:val="clear" w:color="auto" w:fill="auto"/>
          </w:tcPr>
          <w:p w:rsidR="00D9780F" w:rsidRPr="00176D3F" w:rsidRDefault="00D9780F" w:rsidP="0014266B">
            <w:pPr>
              <w:pStyle w:val="FigureTitle"/>
            </w:pPr>
            <w:r w:rsidRPr="00784A05">
              <w:rPr>
                <w:b w:val="0"/>
              </w:rPr>
              <w:t xml:space="preserve">Figure </w:t>
            </w:r>
            <w:bookmarkStart w:id="68" w:name="OLE_LINK37"/>
            <w:r w:rsidR="008C1F96">
              <w:rPr>
                <w:b w:val="0"/>
              </w:rPr>
              <w:t>9.</w:t>
            </w:r>
            <w:r w:rsidR="00D52162">
              <w:rPr>
                <w:b w:val="0"/>
                <w:noProof/>
              </w:rPr>
              <w:t>21</w:t>
            </w:r>
            <w:bookmarkEnd w:id="68"/>
            <w:r>
              <w:tab/>
            </w:r>
            <w:r w:rsidR="00332B1B" w:rsidRPr="00446594">
              <w:t xml:space="preserve">Proportion of total emergency </w:t>
            </w:r>
            <w:r w:rsidRPr="00446594">
              <w:t>department patients</w:t>
            </w:r>
            <w:r w:rsidR="0014266B" w:rsidRPr="00446594">
              <w:t>, by triage category,</w:t>
            </w:r>
            <w:r w:rsidRPr="00446594">
              <w:t xml:space="preserve"> who arrived by ambulance, air ambulance or helicopter rescue services </w:t>
            </w:r>
            <w:r w:rsidR="00FA5D77" w:rsidRPr="00446594">
              <w:t>2013</w:t>
            </w:r>
            <w:r w:rsidR="0026487F" w:rsidRPr="00446594">
              <w:noBreakHyphen/>
            </w:r>
            <w:r w:rsidR="00FA5D77" w:rsidRPr="00446594">
              <w:t>14</w:t>
            </w:r>
            <w:r w:rsidRPr="00446594">
              <w:t xml:space="preserve"> (per cent)</w:t>
            </w:r>
            <w:r>
              <w:t xml:space="preserve"> </w:t>
            </w:r>
          </w:p>
        </w:tc>
      </w:tr>
      <w:tr w:rsidR="00D9780F" w:rsidTr="00D54DD2">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D9780F" w:rsidTr="00677D4D">
              <w:tc>
                <w:tcPr>
                  <w:tcW w:w="5000" w:type="pct"/>
                  <w:tcBorders>
                    <w:top w:val="nil"/>
                    <w:bottom w:val="nil"/>
                  </w:tcBorders>
                </w:tcPr>
                <w:p w:rsidR="00D9780F" w:rsidRDefault="004B4E03" w:rsidP="00D54DD2">
                  <w:pPr>
                    <w:pStyle w:val="Figure"/>
                    <w:spacing w:before="60" w:after="60"/>
                  </w:pPr>
                  <w:r>
                    <w:rPr>
                      <w:noProof/>
                    </w:rPr>
                    <w:drawing>
                      <wp:inline distT="0" distB="0" distL="0" distR="0">
                        <wp:extent cx="5405755" cy="2707640"/>
                        <wp:effectExtent l="0" t="0" r="4445" b="0"/>
                        <wp:docPr id="27" name="Picture 27" descr="Figure 9.21 Proportion of total emergency department patients, by triage category, who arrived by ambulance, air ambulance or helicopter rescue services 2013-14 (per cent)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D9780F" w:rsidRDefault="00D9780F" w:rsidP="00D54DD2">
            <w:pPr>
              <w:pStyle w:val="Figure"/>
            </w:pPr>
          </w:p>
        </w:tc>
      </w:tr>
      <w:tr w:rsidR="00D9780F" w:rsidRPr="00176D3F" w:rsidTr="00D54DD2">
        <w:tc>
          <w:tcPr>
            <w:tcW w:w="8771" w:type="dxa"/>
            <w:tcBorders>
              <w:top w:val="nil"/>
              <w:left w:val="nil"/>
              <w:bottom w:val="nil"/>
              <w:right w:val="nil"/>
            </w:tcBorders>
            <w:shd w:val="clear" w:color="auto" w:fill="auto"/>
          </w:tcPr>
          <w:p w:rsidR="00D9780F" w:rsidRPr="00176D3F" w:rsidRDefault="00D9780F" w:rsidP="00D9780F">
            <w:pPr>
              <w:pStyle w:val="Source"/>
            </w:pPr>
            <w:r w:rsidRPr="001F581F">
              <w:rPr>
                <w:i/>
              </w:rPr>
              <w:t>Source</w:t>
            </w:r>
            <w:r w:rsidRPr="001F581F">
              <w:t xml:space="preserve">: AIHW (2013) </w:t>
            </w:r>
            <w:r w:rsidRPr="001F581F">
              <w:rPr>
                <w:i/>
              </w:rPr>
              <w:t xml:space="preserve">Australian Hospital Statistics </w:t>
            </w:r>
            <w:r w:rsidR="00FA5D77">
              <w:rPr>
                <w:i/>
              </w:rPr>
              <w:t>2013</w:t>
            </w:r>
            <w:r w:rsidR="0026487F">
              <w:rPr>
                <w:i/>
              </w:rPr>
              <w:noBreakHyphen/>
            </w:r>
            <w:r w:rsidR="00FA5D77">
              <w:rPr>
                <w:i/>
              </w:rPr>
              <w:t>14</w:t>
            </w:r>
            <w:r w:rsidRPr="001F581F">
              <w:rPr>
                <w:i/>
              </w:rPr>
              <w:t>: emergency department care</w:t>
            </w:r>
            <w:r w:rsidRPr="001F581F">
              <w:t>, Health services series 52, Cat. no. HSE 142; table</w:t>
            </w:r>
            <w:r>
              <w:t> </w:t>
            </w:r>
            <w:r w:rsidR="004029AC">
              <w:t>9A.34</w:t>
            </w:r>
            <w:r w:rsidRPr="001F581F">
              <w:t>.</w:t>
            </w:r>
          </w:p>
        </w:tc>
      </w:tr>
      <w:tr w:rsidR="00D9780F" w:rsidTr="00D54DD2">
        <w:tc>
          <w:tcPr>
            <w:tcW w:w="8771" w:type="dxa"/>
            <w:tcBorders>
              <w:top w:val="nil"/>
              <w:left w:val="nil"/>
              <w:bottom w:val="single" w:sz="6" w:space="0" w:color="78A22F"/>
              <w:right w:val="nil"/>
            </w:tcBorders>
            <w:shd w:val="clear" w:color="auto" w:fill="auto"/>
          </w:tcPr>
          <w:p w:rsidR="00D9780F" w:rsidRDefault="00D9780F" w:rsidP="00D54DD2">
            <w:pPr>
              <w:pStyle w:val="Figurespace"/>
            </w:pPr>
          </w:p>
        </w:tc>
      </w:tr>
      <w:tr w:rsidR="00D9780F" w:rsidRPr="000863A5" w:rsidTr="00D54DD2">
        <w:tc>
          <w:tcPr>
            <w:tcW w:w="8771" w:type="dxa"/>
            <w:tcBorders>
              <w:top w:val="single" w:sz="6" w:space="0" w:color="78A22F"/>
              <w:left w:val="nil"/>
              <w:bottom w:val="nil"/>
              <w:right w:val="nil"/>
            </w:tcBorders>
          </w:tcPr>
          <w:p w:rsidR="00D9780F" w:rsidRPr="00626D32" w:rsidRDefault="00D9780F" w:rsidP="00D54DD2">
            <w:pPr>
              <w:pStyle w:val="BoxSpaceBelow"/>
            </w:pPr>
          </w:p>
        </w:tc>
      </w:tr>
    </w:tbl>
    <w:p w:rsidR="00986A8B" w:rsidRPr="0054109B" w:rsidRDefault="008C1F96" w:rsidP="00D672A6">
      <w:pPr>
        <w:pStyle w:val="Heading2"/>
      </w:pPr>
      <w:bookmarkStart w:id="69" w:name="_Toc370724855"/>
      <w:r>
        <w:t>9.</w:t>
      </w:r>
      <w:r w:rsidR="00D52162">
        <w:rPr>
          <w:noProof/>
        </w:rPr>
        <w:t>5</w:t>
      </w:r>
      <w:r w:rsidR="00986A8B" w:rsidRPr="0054109B">
        <w:tab/>
        <w:t>Framework of performance indicators for ambulance events</w:t>
      </w:r>
      <w:bookmarkEnd w:id="69"/>
    </w:p>
    <w:p w:rsidR="00135663" w:rsidRPr="0054109B" w:rsidRDefault="00135663" w:rsidP="00D672A6">
      <w:pPr>
        <w:pStyle w:val="BodyText"/>
      </w:pPr>
      <w:r w:rsidRPr="00D672A6">
        <w:t>Performance</w:t>
      </w:r>
      <w:r w:rsidRPr="0054109B">
        <w:t xml:space="preserve"> can be defined in terms of how well a service meets its objectives, given its operating environment. Performance indicators focus on outcomes and/or outputs aimed at meeting common, agreed objectives. The Steering Committee has identified four objectives of </w:t>
      </w:r>
      <w:r w:rsidR="00C90176" w:rsidRPr="0054109B">
        <w:t>ambulance</w:t>
      </w:r>
      <w:r w:rsidRPr="0054109B">
        <w:t xml:space="preserve"> services for the purposes of this Report (box</w:t>
      </w:r>
      <w:r w:rsidR="00270120">
        <w:t> </w:t>
      </w:r>
      <w:r w:rsidR="00800D6F">
        <w:t>9.14</w:t>
      </w:r>
      <w:r w:rsidRPr="0054109B">
        <w:t>).</w:t>
      </w:r>
    </w:p>
    <w:p w:rsidR="00BF2E82" w:rsidRDefault="00BF2E82" w:rsidP="00BF2E82">
      <w:pPr>
        <w:pStyle w:val="BodyText"/>
      </w:pPr>
      <w:r w:rsidRPr="0054109B">
        <w:t xml:space="preserve">The performance indicator framework provides information on equity, efficiency and effectiveness, and distinguishes the outputs and outcomes of ambulance services </w:t>
      </w:r>
      <w:r w:rsidRPr="0054109B">
        <w:lastRenderedPageBreak/>
        <w:t>(figure</w:t>
      </w:r>
      <w:r w:rsidR="00686A2E">
        <w:t> </w:t>
      </w:r>
      <w:r w:rsidR="00800D6F">
        <w:t>9.22</w:t>
      </w:r>
      <w:r w:rsidRPr="0054109B">
        <w:t xml:space="preserve">). </w:t>
      </w:r>
      <w:r w:rsidR="007362AF" w:rsidRPr="007362AF">
        <w:t xml:space="preserve">The performance indicator </w:t>
      </w:r>
      <w:r w:rsidRPr="0054109B">
        <w:t xml:space="preserve">framework is based on the general framework for the health section of the </w:t>
      </w:r>
      <w:r w:rsidR="00992CC1">
        <w:t>2015 R</w:t>
      </w:r>
      <w:r w:rsidRPr="0054109B">
        <w:t xml:space="preserve">eport and shows which data are </w:t>
      </w:r>
      <w:r w:rsidR="00DC4470">
        <w:t xml:space="preserve">complete and </w:t>
      </w:r>
      <w:r w:rsidRPr="0054109B">
        <w:t xml:space="preserve">comparable in the </w:t>
      </w:r>
      <w:r w:rsidR="007362AF">
        <w:t xml:space="preserve">2015 </w:t>
      </w:r>
      <w:r w:rsidRPr="0054109B">
        <w:t xml:space="preserve">Report. For data that are </w:t>
      </w:r>
      <w:r w:rsidRPr="00D672A6">
        <w:t>not</w:t>
      </w:r>
      <w:r w:rsidRPr="0054109B">
        <w:t xml:space="preserve"> considered directly comparable, text includes relevant caveats and supporting commentary. Chapter 1 discusses data comparability </w:t>
      </w:r>
      <w:r w:rsidR="005374AD" w:rsidRPr="00446594">
        <w:t>and data completeness</w:t>
      </w:r>
      <w:r w:rsidR="005374AD">
        <w:t xml:space="preserve"> </w:t>
      </w:r>
      <w:r w:rsidRPr="0054109B">
        <w:t>from a Report</w:t>
      </w:r>
      <w:r w:rsidR="00CC7814">
        <w:noBreakHyphen/>
      </w:r>
      <w:r w:rsidRPr="0054109B">
        <w:t xml:space="preserve">wide perspective (see section 1.6). </w:t>
      </w:r>
    </w:p>
    <w:p w:rsidR="00D9780F" w:rsidRDefault="00D9780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780F" w:rsidTr="00D54DD2">
        <w:tc>
          <w:tcPr>
            <w:tcW w:w="8771" w:type="dxa"/>
            <w:tcBorders>
              <w:top w:val="single" w:sz="6" w:space="0" w:color="78A22F"/>
              <w:left w:val="nil"/>
              <w:bottom w:val="nil"/>
              <w:right w:val="nil"/>
            </w:tcBorders>
            <w:shd w:val="clear" w:color="auto" w:fill="F2F2F2" w:themeFill="background1" w:themeFillShade="F2"/>
          </w:tcPr>
          <w:p w:rsidR="00D9780F" w:rsidRDefault="00D9780F" w:rsidP="00D9780F">
            <w:pPr>
              <w:pStyle w:val="BoxTitle"/>
            </w:pPr>
            <w:r>
              <w:rPr>
                <w:b w:val="0"/>
              </w:rPr>
              <w:t xml:space="preserve">Box </w:t>
            </w:r>
            <w:bookmarkStart w:id="70" w:name="OLE_LINK38"/>
            <w:r w:rsidR="008C1F96">
              <w:rPr>
                <w:b w:val="0"/>
              </w:rPr>
              <w:t>9.</w:t>
            </w:r>
            <w:r w:rsidR="00D52162">
              <w:rPr>
                <w:b w:val="0"/>
                <w:noProof/>
              </w:rPr>
              <w:t>14</w:t>
            </w:r>
            <w:bookmarkEnd w:id="70"/>
            <w:r>
              <w:tab/>
            </w:r>
            <w:r w:rsidRPr="00D672A6">
              <w:t>Objectives for emergency services for ambulance events</w:t>
            </w:r>
          </w:p>
        </w:tc>
      </w:tr>
      <w:tr w:rsidR="00D9780F" w:rsidTr="00D54DD2">
        <w:trPr>
          <w:cantSplit/>
        </w:trPr>
        <w:tc>
          <w:tcPr>
            <w:tcW w:w="8771" w:type="dxa"/>
            <w:tcBorders>
              <w:top w:val="nil"/>
              <w:left w:val="nil"/>
              <w:bottom w:val="nil"/>
              <w:right w:val="nil"/>
            </w:tcBorders>
            <w:shd w:val="clear" w:color="auto" w:fill="F2F2F2" w:themeFill="background1" w:themeFillShade="F2"/>
          </w:tcPr>
          <w:p w:rsidR="00D9780F" w:rsidRPr="00D672A6" w:rsidRDefault="00D9780F" w:rsidP="00D54DD2">
            <w:pPr>
              <w:pStyle w:val="Box"/>
              <w:rPr>
                <w:rFonts w:cs="Arial"/>
                <w:szCs w:val="22"/>
              </w:rPr>
            </w:pPr>
            <w:r w:rsidRPr="00D672A6">
              <w:t>Government</w:t>
            </w:r>
            <w:r>
              <w:t>s’</w:t>
            </w:r>
            <w:r w:rsidRPr="00D672A6">
              <w:t xml:space="preserve"> involvement in ambulance service</w:t>
            </w:r>
            <w:r>
              <w:t>s</w:t>
            </w:r>
            <w:r w:rsidRPr="00D672A6">
              <w:t xml:space="preserve"> </w:t>
            </w:r>
            <w:r>
              <w:t xml:space="preserve">is </w:t>
            </w:r>
            <w:r w:rsidRPr="00D672A6">
              <w:t>aimed at providing pre</w:t>
            </w:r>
            <w:r>
              <w:noBreakHyphen/>
            </w:r>
            <w:r w:rsidRPr="00D672A6">
              <w:t xml:space="preserve">hospital and </w:t>
            </w:r>
            <w:r w:rsidRPr="00D672A6">
              <w:rPr>
                <w:rFonts w:cs="Arial"/>
                <w:szCs w:val="22"/>
              </w:rPr>
              <w:t>out</w:t>
            </w:r>
            <w:r>
              <w:rPr>
                <w:rFonts w:cs="Arial"/>
                <w:szCs w:val="22"/>
              </w:rPr>
              <w:noBreakHyphen/>
            </w:r>
            <w:r w:rsidRPr="00D672A6">
              <w:rPr>
                <w:rFonts w:cs="Arial"/>
                <w:szCs w:val="22"/>
              </w:rPr>
              <w:t>of</w:t>
            </w:r>
            <w:r>
              <w:rPr>
                <w:rFonts w:cs="Arial"/>
                <w:szCs w:val="22"/>
              </w:rPr>
              <w:noBreakHyphen/>
            </w:r>
            <w:r w:rsidRPr="00D672A6">
              <w:rPr>
                <w:rFonts w:cs="Arial"/>
                <w:szCs w:val="22"/>
              </w:rPr>
              <w:t>hospital care and patient transport services, that:</w:t>
            </w:r>
          </w:p>
          <w:p w:rsidR="00D9780F" w:rsidRPr="00D672A6" w:rsidRDefault="00D9780F" w:rsidP="00D54DD2">
            <w:pPr>
              <w:pStyle w:val="BoxListBullet"/>
            </w:pPr>
            <w:r w:rsidRPr="00D672A6">
              <w:t>are high quality, timely, and meet clients’ needs through delivery of coordinated and responsive health care</w:t>
            </w:r>
          </w:p>
          <w:p w:rsidR="00D9780F" w:rsidRPr="00D672A6" w:rsidRDefault="00D9780F" w:rsidP="00D54DD2">
            <w:pPr>
              <w:pStyle w:val="BoxListBullet"/>
            </w:pPr>
            <w:r w:rsidRPr="00D672A6">
              <w:t>are equitable and accessible</w:t>
            </w:r>
          </w:p>
          <w:p w:rsidR="00D9780F" w:rsidRPr="00D672A6" w:rsidRDefault="00D9780F" w:rsidP="00D54DD2">
            <w:pPr>
              <w:pStyle w:val="BoxListBullet"/>
            </w:pPr>
            <w:r w:rsidRPr="00D672A6">
              <w:t>are effectively, efficiently and sustainably delivered</w:t>
            </w:r>
          </w:p>
          <w:p w:rsidR="00D9780F" w:rsidRPr="00D672A6" w:rsidRDefault="00D9780F" w:rsidP="00D54DD2">
            <w:pPr>
              <w:pStyle w:val="BoxListBullet"/>
            </w:pPr>
            <w:r w:rsidRPr="00D672A6">
              <w:t xml:space="preserve">reduce the adverse effects of emergency events on the community by providing </w:t>
            </w:r>
            <w:r w:rsidRPr="00D672A6">
              <w:rPr>
                <w:rFonts w:cs="Arial"/>
                <w:szCs w:val="22"/>
              </w:rPr>
              <w:t>specialised medical care in emergency situations.</w:t>
            </w:r>
          </w:p>
          <w:p w:rsidR="00D9780F" w:rsidRPr="00D672A6" w:rsidRDefault="00D9780F" w:rsidP="00D54DD2">
            <w:pPr>
              <w:pStyle w:val="Box"/>
            </w:pPr>
            <w:r w:rsidRPr="00D672A6">
              <w:t xml:space="preserve">Ambulance services also contribute to managing community risks and enhancing </w:t>
            </w:r>
            <w:r w:rsidRPr="00D672A6">
              <w:rPr>
                <w:rFonts w:cs="Arial"/>
                <w:szCs w:val="22"/>
              </w:rPr>
              <w:t>public safety through various measures including fostering public education in first aid.</w:t>
            </w:r>
          </w:p>
        </w:tc>
      </w:tr>
      <w:tr w:rsidR="00D9780F" w:rsidTr="00D54DD2">
        <w:trPr>
          <w:cantSplit/>
        </w:trPr>
        <w:tc>
          <w:tcPr>
            <w:tcW w:w="8771" w:type="dxa"/>
            <w:tcBorders>
              <w:top w:val="nil"/>
              <w:left w:val="nil"/>
              <w:bottom w:val="single" w:sz="6" w:space="0" w:color="78A22F"/>
              <w:right w:val="nil"/>
            </w:tcBorders>
            <w:shd w:val="clear" w:color="auto" w:fill="F2F2F2" w:themeFill="background1" w:themeFillShade="F2"/>
          </w:tcPr>
          <w:p w:rsidR="00D9780F" w:rsidRDefault="00D9780F">
            <w:pPr>
              <w:pStyle w:val="Box"/>
              <w:spacing w:before="0" w:line="120" w:lineRule="exact"/>
            </w:pPr>
          </w:p>
        </w:tc>
      </w:tr>
      <w:tr w:rsidR="00D9780F" w:rsidRPr="000863A5" w:rsidTr="00D54DD2">
        <w:tc>
          <w:tcPr>
            <w:tcW w:w="8771" w:type="dxa"/>
            <w:tcBorders>
              <w:top w:val="single" w:sz="6" w:space="0" w:color="78A22F"/>
              <w:left w:val="nil"/>
              <w:bottom w:val="nil"/>
              <w:right w:val="nil"/>
            </w:tcBorders>
          </w:tcPr>
          <w:p w:rsidR="00D9780F" w:rsidRPr="00626D32" w:rsidRDefault="00D9780F" w:rsidP="00D54DD2">
            <w:pPr>
              <w:pStyle w:val="BoxSpaceBelow"/>
            </w:pPr>
          </w:p>
        </w:tc>
      </w:tr>
    </w:tbl>
    <w:p w:rsidR="007362AF" w:rsidRDefault="007362AF" w:rsidP="007362AF">
      <w:pPr>
        <w:pStyle w:val="BodyText"/>
      </w:pPr>
      <w:r w:rsidRPr="003F6EF6">
        <w:t xml:space="preserve">The Report’s statistical </w:t>
      </w:r>
      <w:r>
        <w:t>context chapter</w:t>
      </w:r>
      <w:r w:rsidRPr="003F6EF6">
        <w:t xml:space="preserve">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w:t>
      </w:r>
      <w:r w:rsidR="0026487F">
        <w:noBreakHyphen/>
      </w:r>
      <w:r w:rsidRPr="003F6EF6">
        <w:t xml:space="preserve"> and ethnic</w:t>
      </w:r>
      <w:r w:rsidR="0026487F">
        <w:noBreakHyphen/>
      </w:r>
      <w:r w:rsidRPr="003F6EF6">
        <w:t>status) (</w:t>
      </w:r>
      <w:r>
        <w:t>chapter 2</w:t>
      </w:r>
      <w:r w:rsidRPr="003F6EF6">
        <w:t>).</w:t>
      </w:r>
      <w:r w:rsidR="00430912">
        <w:t xml:space="preserve"> </w:t>
      </w:r>
    </w:p>
    <w:p w:rsidR="00D9780F" w:rsidRDefault="00D9780F" w:rsidP="00D54DD2">
      <w:pPr>
        <w:pStyle w:val="BoxSpaceAbove"/>
      </w:pPr>
      <w:bookmarkStart w:id="71" w:name="_Toc343078124"/>
      <w:bookmarkStart w:id="72" w:name="_Toc343078577"/>
      <w:bookmarkStart w:id="73" w:name="_Toc343078621"/>
      <w:bookmarkStart w:id="74" w:name="_Toc343089212"/>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780F" w:rsidTr="00D54DD2">
        <w:tc>
          <w:tcPr>
            <w:tcW w:w="8771" w:type="dxa"/>
            <w:tcBorders>
              <w:top w:val="single" w:sz="6" w:space="0" w:color="78A22F"/>
              <w:left w:val="nil"/>
              <w:bottom w:val="nil"/>
              <w:right w:val="nil"/>
            </w:tcBorders>
            <w:shd w:val="clear" w:color="auto" w:fill="auto"/>
          </w:tcPr>
          <w:p w:rsidR="00D9780F" w:rsidRPr="00176D3F" w:rsidRDefault="00D9780F" w:rsidP="00D9780F">
            <w:pPr>
              <w:pStyle w:val="FigureTitle"/>
            </w:pPr>
            <w:r w:rsidRPr="00784A05">
              <w:rPr>
                <w:b w:val="0"/>
              </w:rPr>
              <w:t xml:space="preserve">Figure </w:t>
            </w:r>
            <w:bookmarkStart w:id="75" w:name="OLE_LINK39"/>
            <w:r w:rsidR="008C1F96">
              <w:rPr>
                <w:b w:val="0"/>
              </w:rPr>
              <w:t>9.</w:t>
            </w:r>
            <w:r w:rsidR="00D52162">
              <w:rPr>
                <w:b w:val="0"/>
                <w:noProof/>
              </w:rPr>
              <w:t>22</w:t>
            </w:r>
            <w:bookmarkEnd w:id="75"/>
            <w:r>
              <w:tab/>
            </w:r>
            <w:r w:rsidRPr="002B4D00">
              <w:t>Ambulance events performance indicator framework</w:t>
            </w:r>
          </w:p>
        </w:tc>
      </w:tr>
      <w:tr w:rsidR="00D9780F" w:rsidTr="00D54DD2">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487"/>
            </w:tblGrid>
            <w:tr w:rsidR="00D9780F" w:rsidTr="00D54DD2">
              <w:tc>
                <w:tcPr>
                  <w:tcW w:w="5000" w:type="pct"/>
                  <w:tcBorders>
                    <w:top w:val="nil"/>
                    <w:bottom w:val="nil"/>
                  </w:tcBorders>
                </w:tcPr>
                <w:p w:rsidR="00D9780F" w:rsidRDefault="00A971AC" w:rsidP="00D54DD2">
                  <w:pPr>
                    <w:pStyle w:val="Figure"/>
                    <w:spacing w:before="60" w:after="60"/>
                  </w:pPr>
                  <w:r>
                    <w:rPr>
                      <w:noProof/>
                    </w:rPr>
                    <w:drawing>
                      <wp:inline distT="0" distB="0" distL="0" distR="0" wp14:anchorId="7673EF06" wp14:editId="58A5A7FF">
                        <wp:extent cx="5381625" cy="7010400"/>
                        <wp:effectExtent l="0" t="0" r="9525" b="0"/>
                        <wp:docPr id="5" name="Picture 5" descr="Figure 9.22 Ambulance event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81625" cy="7010400"/>
                                </a:xfrm>
                                <a:prstGeom prst="rect">
                                  <a:avLst/>
                                </a:prstGeom>
                                <a:noFill/>
                                <a:ln>
                                  <a:noFill/>
                                </a:ln>
                              </pic:spPr>
                            </pic:pic>
                          </a:graphicData>
                        </a:graphic>
                      </wp:inline>
                    </w:drawing>
                  </w:r>
                </w:p>
              </w:tc>
            </w:tr>
          </w:tbl>
          <w:p w:rsidR="00D9780F" w:rsidRDefault="00D9780F" w:rsidP="00D54DD2">
            <w:pPr>
              <w:pStyle w:val="Figure"/>
            </w:pPr>
          </w:p>
        </w:tc>
      </w:tr>
      <w:tr w:rsidR="00D9780F" w:rsidTr="00D54DD2">
        <w:tc>
          <w:tcPr>
            <w:tcW w:w="8771" w:type="dxa"/>
            <w:tcBorders>
              <w:top w:val="nil"/>
              <w:left w:val="nil"/>
              <w:bottom w:val="single" w:sz="6" w:space="0" w:color="78A22F"/>
              <w:right w:val="nil"/>
            </w:tcBorders>
            <w:shd w:val="clear" w:color="auto" w:fill="auto"/>
          </w:tcPr>
          <w:p w:rsidR="00D9780F" w:rsidRDefault="00D9780F" w:rsidP="00D54DD2">
            <w:pPr>
              <w:pStyle w:val="Figurespace"/>
            </w:pPr>
          </w:p>
        </w:tc>
      </w:tr>
      <w:tr w:rsidR="00D9780F" w:rsidRPr="000863A5" w:rsidTr="00D54DD2">
        <w:tc>
          <w:tcPr>
            <w:tcW w:w="8771" w:type="dxa"/>
            <w:tcBorders>
              <w:top w:val="single" w:sz="6" w:space="0" w:color="78A22F"/>
              <w:left w:val="nil"/>
              <w:bottom w:val="nil"/>
              <w:right w:val="nil"/>
            </w:tcBorders>
          </w:tcPr>
          <w:p w:rsidR="00D9780F" w:rsidRPr="00626D32" w:rsidRDefault="00D9780F" w:rsidP="00D54DD2">
            <w:pPr>
              <w:pStyle w:val="BoxSpaceBelow"/>
            </w:pPr>
          </w:p>
        </w:tc>
      </w:tr>
    </w:tbl>
    <w:bookmarkEnd w:id="71"/>
    <w:bookmarkEnd w:id="72"/>
    <w:bookmarkEnd w:id="73"/>
    <w:bookmarkEnd w:id="74"/>
    <w:p w:rsidR="007362AF" w:rsidRDefault="007362AF" w:rsidP="007362AF">
      <w:pPr>
        <w:pStyle w:val="BodyText"/>
      </w:pPr>
      <w:r w:rsidRPr="00D76CC2">
        <w:t xml:space="preserve">Data quality information (DQI) is being progressively introduced for all indicators in the Report. </w:t>
      </w:r>
      <w:r w:rsidRPr="007362AF">
        <w:t xml:space="preserve">The purpose of DQI is to provide structured and consistent information about quality aspects of data used to report on performance indicators, in addition to material in </w:t>
      </w:r>
      <w:r w:rsidRPr="007362AF">
        <w:lastRenderedPageBreak/>
        <w:t>the chapter or sector overview and attachment tables.</w:t>
      </w:r>
      <w:r>
        <w:t xml:space="preserve"> </w:t>
      </w:r>
      <w:r w:rsidRPr="00D76CC2">
        <w:t>DQI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w:t>
      </w:r>
      <w:r>
        <w:t xml:space="preserve"> Committee. All DQI for the 2015 R</w:t>
      </w:r>
      <w:r w:rsidRPr="00D76CC2">
        <w:t xml:space="preserve">eport can be found at </w:t>
      </w:r>
      <w:r w:rsidR="00DA507A">
        <w:t>www.pc.gov.au</w:t>
      </w:r>
      <w:r w:rsidRPr="007362AF">
        <w:t>/rogs/2015</w:t>
      </w:r>
      <w:r w:rsidRPr="00D76CC2">
        <w:t>.</w:t>
      </w:r>
    </w:p>
    <w:p w:rsidR="00986A8B" w:rsidRPr="0054109B" w:rsidRDefault="008C1F96" w:rsidP="00D672A6">
      <w:pPr>
        <w:pStyle w:val="Heading2"/>
      </w:pPr>
      <w:bookmarkStart w:id="76" w:name="_Toc370724856"/>
      <w:r>
        <w:t>9.</w:t>
      </w:r>
      <w:r w:rsidR="00D52162">
        <w:rPr>
          <w:noProof/>
        </w:rPr>
        <w:t>6</w:t>
      </w:r>
      <w:r w:rsidR="00986A8B" w:rsidRPr="0054109B">
        <w:tab/>
        <w:t xml:space="preserve">Key </w:t>
      </w:r>
      <w:r w:rsidR="00986A8B" w:rsidRPr="00D672A6">
        <w:t>performance</w:t>
      </w:r>
      <w:r w:rsidR="00986A8B" w:rsidRPr="0054109B">
        <w:t xml:space="preserve"> indicator results for ambulance events</w:t>
      </w:r>
      <w:bookmarkEnd w:id="76"/>
      <w:r w:rsidR="00986A8B" w:rsidRPr="0054109B">
        <w:t xml:space="preserve"> </w:t>
      </w:r>
    </w:p>
    <w:p w:rsidR="00986A8B" w:rsidRPr="0054109B" w:rsidRDefault="00986A8B" w:rsidP="00D672A6">
      <w:pPr>
        <w:pStyle w:val="Heading3"/>
      </w:pPr>
      <w:r w:rsidRPr="00D672A6">
        <w:t>Outputs</w:t>
      </w:r>
      <w:r w:rsidRPr="0054109B">
        <w:t xml:space="preserve"> </w:t>
      </w:r>
    </w:p>
    <w:p w:rsidR="00986A8B" w:rsidRPr="0054109B" w:rsidRDefault="00986A8B" w:rsidP="00D672A6">
      <w:pPr>
        <w:pStyle w:val="BodyText"/>
      </w:pPr>
      <w:r w:rsidRPr="00D672A6">
        <w:t>Outputs</w:t>
      </w:r>
      <w:r w:rsidRPr="0054109B">
        <w:t xml:space="preserve"> are the services delivered (while outcomes are the impact of these services on the status of an individual or group) (see chapter 1, section 1.5). </w:t>
      </w:r>
    </w:p>
    <w:p w:rsidR="00986A8B" w:rsidRPr="0054109B" w:rsidRDefault="00986A8B" w:rsidP="00D672A6">
      <w:pPr>
        <w:pStyle w:val="Heading4"/>
      </w:pPr>
      <w:r w:rsidRPr="0054109B">
        <w:t>Equity — access</w:t>
      </w:r>
    </w:p>
    <w:p w:rsidR="00073D46" w:rsidRDefault="00073D46" w:rsidP="006F6133">
      <w:pPr>
        <w:pStyle w:val="BodyText"/>
      </w:pPr>
      <w:r w:rsidRPr="006E426F">
        <w:t>Equity indicators in RoGS measure how well a service is meeting the needs of particular groups that have special needs or difficulties in accessing government services.</w:t>
      </w:r>
      <w:r>
        <w:t xml:space="preserve"> D</w:t>
      </w:r>
      <w:r w:rsidRPr="0054109B">
        <w:t xml:space="preserve">ata on </w:t>
      </w:r>
      <w:r>
        <w:t xml:space="preserve">ambulance </w:t>
      </w:r>
      <w:r w:rsidRPr="0054109B">
        <w:t xml:space="preserve">services provided </w:t>
      </w:r>
      <w:r>
        <w:t xml:space="preserve">to </w:t>
      </w:r>
      <w:r w:rsidRPr="0054109B">
        <w:t>special needs groups</w:t>
      </w:r>
      <w:r>
        <w:t xml:space="preserve"> are not available in this Report. However, the ambulance events</w:t>
      </w:r>
      <w:r w:rsidRPr="00073D46">
        <w:t xml:space="preserve"> </w:t>
      </w:r>
      <w:r>
        <w:t xml:space="preserve">equity indicators presented provide information on whether ambulance services </w:t>
      </w:r>
      <w:r w:rsidRPr="00073D46">
        <w:t>are equally accessible to everyone in the community with a similar level of need</w:t>
      </w:r>
      <w:r>
        <w:t>.</w:t>
      </w:r>
    </w:p>
    <w:p w:rsidR="00986A8B" w:rsidRPr="0054109B" w:rsidRDefault="00986A8B" w:rsidP="006F6133">
      <w:pPr>
        <w:pStyle w:val="Heading5"/>
      </w:pPr>
      <w:r w:rsidRPr="006F6133">
        <w:t>Response</w:t>
      </w:r>
      <w:r w:rsidRPr="0054109B">
        <w:t xml:space="preserve"> locations</w:t>
      </w:r>
    </w:p>
    <w:p w:rsidR="00986A8B" w:rsidRDefault="00986A8B" w:rsidP="00730133">
      <w:pPr>
        <w:pStyle w:val="BodyText"/>
      </w:pPr>
      <w:r w:rsidRPr="0054109B">
        <w:t xml:space="preserve">‘Response locations’ is an indicator of governments’ objective of </w:t>
      </w:r>
      <w:r w:rsidR="00730133" w:rsidRPr="0054109B">
        <w:t xml:space="preserve">providing </w:t>
      </w:r>
      <w:r w:rsidR="007256E4" w:rsidRPr="0054109B">
        <w:t>equitable and accessible</w:t>
      </w:r>
      <w:r w:rsidR="007256E4">
        <w:t xml:space="preserve"> </w:t>
      </w:r>
      <w:r w:rsidR="00730133" w:rsidRPr="0054109B">
        <w:t>pre</w:t>
      </w:r>
      <w:r w:rsidR="00730133">
        <w:noBreakHyphen/>
      </w:r>
      <w:r w:rsidR="00730133" w:rsidRPr="0054109B">
        <w:t xml:space="preserve">hospital and </w:t>
      </w:r>
      <w:r w:rsidR="00730133" w:rsidRPr="0054109B">
        <w:rPr>
          <w:rFonts w:cs="Arial"/>
          <w:szCs w:val="22"/>
        </w:rPr>
        <w:t>out</w:t>
      </w:r>
      <w:r w:rsidR="00CC7814">
        <w:rPr>
          <w:rFonts w:cs="Arial"/>
          <w:szCs w:val="22"/>
        </w:rPr>
        <w:noBreakHyphen/>
      </w:r>
      <w:r w:rsidR="00730133" w:rsidRPr="0054109B">
        <w:rPr>
          <w:rFonts w:cs="Arial"/>
          <w:szCs w:val="22"/>
        </w:rPr>
        <w:t>of</w:t>
      </w:r>
      <w:r w:rsidR="00CC7814">
        <w:rPr>
          <w:rFonts w:cs="Arial"/>
          <w:szCs w:val="22"/>
        </w:rPr>
        <w:noBreakHyphen/>
      </w:r>
      <w:r w:rsidR="00730133" w:rsidRPr="0054109B">
        <w:rPr>
          <w:rFonts w:cs="Arial"/>
          <w:szCs w:val="22"/>
        </w:rPr>
        <w:t>hospital care and patient transport services</w:t>
      </w:r>
      <w:r w:rsidR="00730133" w:rsidRPr="0054109B">
        <w:t xml:space="preserve"> </w:t>
      </w:r>
      <w:r w:rsidRPr="0054109B">
        <w:t>(box</w:t>
      </w:r>
      <w:r w:rsidR="00686A2E">
        <w:t> </w:t>
      </w:r>
      <w:r w:rsidR="00800D6F">
        <w:t>9.15</w:t>
      </w:r>
      <w:r w:rsidRPr="0054109B">
        <w:t xml:space="preserve">). </w:t>
      </w:r>
    </w:p>
    <w:p w:rsidR="00D54DD2" w:rsidRDefault="00D54DD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4DD2" w:rsidTr="00D54DD2">
        <w:tc>
          <w:tcPr>
            <w:tcW w:w="8771" w:type="dxa"/>
            <w:tcBorders>
              <w:top w:val="single" w:sz="6" w:space="0" w:color="78A22F"/>
              <w:left w:val="nil"/>
              <w:bottom w:val="nil"/>
              <w:right w:val="nil"/>
            </w:tcBorders>
            <w:shd w:val="clear" w:color="auto" w:fill="F2F2F2" w:themeFill="background1" w:themeFillShade="F2"/>
          </w:tcPr>
          <w:p w:rsidR="00D54DD2" w:rsidRDefault="00D54DD2" w:rsidP="00D54DD2">
            <w:pPr>
              <w:pStyle w:val="BoxTitle"/>
            </w:pPr>
            <w:r>
              <w:rPr>
                <w:b w:val="0"/>
              </w:rPr>
              <w:t xml:space="preserve">Box </w:t>
            </w:r>
            <w:bookmarkStart w:id="77" w:name="OLE_LINK40"/>
            <w:r w:rsidR="008C1F96">
              <w:rPr>
                <w:b w:val="0"/>
              </w:rPr>
              <w:t>9.</w:t>
            </w:r>
            <w:r w:rsidR="00D52162">
              <w:rPr>
                <w:b w:val="0"/>
                <w:noProof/>
              </w:rPr>
              <w:t>15</w:t>
            </w:r>
            <w:bookmarkEnd w:id="77"/>
            <w:r>
              <w:tab/>
            </w:r>
            <w:r w:rsidRPr="002605A8">
              <w:t>Response locations</w:t>
            </w:r>
          </w:p>
        </w:tc>
      </w:tr>
      <w:tr w:rsidR="00D54DD2" w:rsidTr="00D54DD2">
        <w:trPr>
          <w:cantSplit/>
        </w:trPr>
        <w:tc>
          <w:tcPr>
            <w:tcW w:w="8771" w:type="dxa"/>
            <w:tcBorders>
              <w:top w:val="nil"/>
              <w:left w:val="nil"/>
              <w:bottom w:val="nil"/>
              <w:right w:val="nil"/>
            </w:tcBorders>
            <w:shd w:val="clear" w:color="auto" w:fill="F2F2F2" w:themeFill="background1" w:themeFillShade="F2"/>
          </w:tcPr>
          <w:p w:rsidR="00D54DD2" w:rsidRPr="0054109B" w:rsidRDefault="00D54DD2" w:rsidP="00D54DD2">
            <w:pPr>
              <w:pStyle w:val="Box"/>
            </w:pPr>
            <w:r w:rsidRPr="0054109B">
              <w:t xml:space="preserve">‘Response locations’ is defined as the number of paid (or salaried), mixed and volunteer response locations per 100 000 people. Locations are primary ambulance response locations where paid, volunteer or a mix of paid and volunteer ambulance operatives </w:t>
            </w:r>
            <w:r w:rsidR="007256E4">
              <w:t>respond</w:t>
            </w:r>
            <w:r w:rsidRPr="0054109B">
              <w:t xml:space="preserve"> in an ambulance vehicle and providing pre</w:t>
            </w:r>
            <w:r w:rsidRPr="0054109B">
              <w:noBreakHyphen/>
              <w:t>hospital care.</w:t>
            </w:r>
          </w:p>
          <w:p w:rsidR="00D54DD2" w:rsidRPr="0054109B" w:rsidRDefault="00D54DD2" w:rsidP="00D54DD2">
            <w:pPr>
              <w:pStyle w:val="Box"/>
            </w:pPr>
            <w:r w:rsidRPr="0054109B">
              <w:t xml:space="preserve">Higher or </w:t>
            </w:r>
            <w:r w:rsidRPr="006F6133">
              <w:t>increasing</w:t>
            </w:r>
            <w:r w:rsidRPr="0054109B">
              <w:t xml:space="preserve"> numbers of paid, mixed and/or volunteer response locations, after adjusting for population, suggests better ambulance service response capacity.</w:t>
            </w:r>
          </w:p>
          <w:p w:rsidR="00D54DD2" w:rsidRPr="00107430" w:rsidRDefault="00D54DD2" w:rsidP="00D54DD2">
            <w:pPr>
              <w:pStyle w:val="Box"/>
            </w:pPr>
            <w:r w:rsidRPr="00107430">
              <w:t>Data reported for this measure are:</w:t>
            </w:r>
          </w:p>
          <w:p w:rsidR="00D54DD2" w:rsidRDefault="00D54DD2" w:rsidP="00D54DD2">
            <w:pPr>
              <w:pStyle w:val="BoxListBullet"/>
            </w:pPr>
            <w:r w:rsidRPr="00107430">
              <w:t>comparable (subject to caveats) across jurisdictions and over time</w:t>
            </w:r>
          </w:p>
          <w:p w:rsidR="00D54DD2" w:rsidRPr="00107430" w:rsidRDefault="00D54DD2" w:rsidP="00D54DD2">
            <w:pPr>
              <w:pStyle w:val="BoxListBullet"/>
            </w:pPr>
            <w:r>
              <w:t>complete (subject to caveats) for the current reporting period</w:t>
            </w:r>
            <w:r w:rsidRPr="00107430">
              <w:t xml:space="preserve">. All required </w:t>
            </w:r>
            <w:r w:rsidR="00FA5D77">
              <w:t>2013</w:t>
            </w:r>
            <w:r w:rsidR="0026487F">
              <w:noBreakHyphen/>
            </w:r>
            <w:r w:rsidR="00FA5D77">
              <w:t>14</w:t>
            </w:r>
            <w:r w:rsidRPr="00107430">
              <w:t xml:space="preserve"> data are available for all jurisdictions.</w:t>
            </w:r>
          </w:p>
          <w:p w:rsidR="00D54DD2" w:rsidRPr="0054109B" w:rsidRDefault="00D54DD2" w:rsidP="00D54DD2">
            <w:pPr>
              <w:pStyle w:val="Box"/>
              <w:rPr>
                <w:rFonts w:cs="Arial"/>
                <w:szCs w:val="22"/>
              </w:rPr>
            </w:pPr>
            <w:r w:rsidRPr="0054109B">
              <w:t>Data quality information for this indicator is at www.</w:t>
            </w:r>
            <w:r w:rsidR="00DA507A">
              <w:t>pc.gov.au</w:t>
            </w:r>
            <w:r w:rsidR="00992CC1">
              <w:t>/rogs/2015</w:t>
            </w:r>
            <w:r w:rsidRPr="0054109B">
              <w:t>.</w:t>
            </w:r>
          </w:p>
        </w:tc>
      </w:tr>
      <w:tr w:rsidR="00D54DD2" w:rsidTr="00D54DD2">
        <w:trPr>
          <w:cantSplit/>
        </w:trPr>
        <w:tc>
          <w:tcPr>
            <w:tcW w:w="8771" w:type="dxa"/>
            <w:tcBorders>
              <w:top w:val="nil"/>
              <w:left w:val="nil"/>
              <w:bottom w:val="single" w:sz="6" w:space="0" w:color="78A22F"/>
              <w:right w:val="nil"/>
            </w:tcBorders>
            <w:shd w:val="clear" w:color="auto" w:fill="F2F2F2" w:themeFill="background1" w:themeFillShade="F2"/>
          </w:tcPr>
          <w:p w:rsidR="00D54DD2" w:rsidRDefault="00D54DD2">
            <w:pPr>
              <w:pStyle w:val="Box"/>
              <w:spacing w:before="0" w:line="120" w:lineRule="exact"/>
            </w:pPr>
          </w:p>
        </w:tc>
      </w:tr>
      <w:tr w:rsidR="00D54DD2" w:rsidRPr="000863A5" w:rsidTr="00D54DD2">
        <w:tc>
          <w:tcPr>
            <w:tcW w:w="8771" w:type="dxa"/>
            <w:tcBorders>
              <w:top w:val="single" w:sz="6" w:space="0" w:color="78A22F"/>
              <w:left w:val="nil"/>
              <w:bottom w:val="nil"/>
              <w:right w:val="nil"/>
            </w:tcBorders>
          </w:tcPr>
          <w:p w:rsidR="00D54DD2" w:rsidRPr="00626D32" w:rsidRDefault="00D54DD2" w:rsidP="00D54DD2">
            <w:pPr>
              <w:pStyle w:val="BoxSpaceBelow"/>
            </w:pPr>
          </w:p>
        </w:tc>
      </w:tr>
    </w:tbl>
    <w:p w:rsidR="00636B98" w:rsidRDefault="00773105" w:rsidP="006F6133">
      <w:pPr>
        <w:pStyle w:val="BodyText"/>
      </w:pPr>
      <w:r>
        <w:t xml:space="preserve">Nationally </w:t>
      </w:r>
      <w:r w:rsidRPr="0054109B">
        <w:t xml:space="preserve">in </w:t>
      </w:r>
      <w:r w:rsidR="00FA5D77">
        <w:t>2013</w:t>
      </w:r>
      <w:r w:rsidR="0026487F">
        <w:noBreakHyphen/>
      </w:r>
      <w:r w:rsidR="00FA5D77">
        <w:t>14</w:t>
      </w:r>
      <w:r w:rsidR="006A7552" w:rsidRPr="0054109B">
        <w:t>, the number of salaried, mixed and volunteer response locations</w:t>
      </w:r>
      <w:r>
        <w:t xml:space="preserve"> was</w:t>
      </w:r>
      <w:r w:rsidR="007868A9" w:rsidRPr="007868A9">
        <w:t xml:space="preserve">  </w:t>
      </w:r>
      <w:r w:rsidR="006A7552" w:rsidRPr="0054109B">
        <w:t>per 100 000 people</w:t>
      </w:r>
      <w:r>
        <w:t>, but varied</w:t>
      </w:r>
      <w:r w:rsidR="006A7552" w:rsidRPr="0054109B">
        <w:t xml:space="preserve"> across jurisdictions (table </w:t>
      </w:r>
      <w:r w:rsidR="00B21412">
        <w:t>9A.38</w:t>
      </w:r>
      <w:r w:rsidR="006A7552" w:rsidRPr="0054109B">
        <w:t xml:space="preserve"> and figure</w:t>
      </w:r>
      <w:r w:rsidR="00686A2E">
        <w:t> </w:t>
      </w:r>
      <w:r w:rsidR="00800D6F">
        <w:t>9.23</w:t>
      </w:r>
      <w:r w:rsidR="006A7552" w:rsidRPr="0054109B">
        <w:t>).</w:t>
      </w:r>
      <w:r w:rsidR="00730133" w:rsidRPr="00730133">
        <w:t xml:space="preserve"> </w:t>
      </w:r>
      <w:r w:rsidR="00B263AC">
        <w:t xml:space="preserve">Since </w:t>
      </w:r>
      <w:r w:rsidR="003576F3">
        <w:t>2009</w:t>
      </w:r>
      <w:r w:rsidR="0026487F">
        <w:noBreakHyphen/>
      </w:r>
      <w:r w:rsidR="003576F3">
        <w:t>10</w:t>
      </w:r>
      <w:r w:rsidR="00BC0737">
        <w:t>,</w:t>
      </w:r>
      <w:r w:rsidR="00B263AC">
        <w:t xml:space="preserve"> the number of response locations has remained between </w:t>
      </w:r>
      <w:r w:rsidR="007868A9">
        <w:t>4.9</w:t>
      </w:r>
      <w:r w:rsidR="00B263AC">
        <w:t xml:space="preserve"> and 5.</w:t>
      </w:r>
      <w:r w:rsidR="007868A9">
        <w:t>0</w:t>
      </w:r>
      <w:r w:rsidR="00B263AC">
        <w:t xml:space="preserve"> locations per 100 000 people</w:t>
      </w:r>
      <w:r w:rsidR="00F374FC">
        <w:t xml:space="preserve"> nationally</w:t>
      </w:r>
      <w:r w:rsidR="00B263AC">
        <w:t>.</w:t>
      </w:r>
    </w:p>
    <w:p w:rsidR="00D54DD2" w:rsidRDefault="00D54DD2" w:rsidP="00D54DD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4DD2" w:rsidTr="00D54DD2">
        <w:tc>
          <w:tcPr>
            <w:tcW w:w="8771" w:type="dxa"/>
            <w:tcBorders>
              <w:top w:val="single" w:sz="6" w:space="0" w:color="78A22F"/>
              <w:left w:val="nil"/>
              <w:bottom w:val="nil"/>
              <w:right w:val="nil"/>
            </w:tcBorders>
            <w:shd w:val="clear" w:color="auto" w:fill="auto"/>
          </w:tcPr>
          <w:p w:rsidR="00D54DD2" w:rsidRPr="00176D3F" w:rsidRDefault="00D54DD2" w:rsidP="002E4D98">
            <w:pPr>
              <w:pStyle w:val="FigureTitle"/>
            </w:pPr>
            <w:r w:rsidRPr="00784A05">
              <w:rPr>
                <w:b w:val="0"/>
              </w:rPr>
              <w:t xml:space="preserve">Figure </w:t>
            </w:r>
            <w:bookmarkStart w:id="78" w:name="OLE_LINK41"/>
            <w:r w:rsidR="008C1F96">
              <w:rPr>
                <w:b w:val="0"/>
              </w:rPr>
              <w:t>9.</w:t>
            </w:r>
            <w:r w:rsidR="00D52162">
              <w:rPr>
                <w:b w:val="0"/>
                <w:noProof/>
              </w:rPr>
              <w:t>23</w:t>
            </w:r>
            <w:bookmarkEnd w:id="78"/>
            <w:r>
              <w:tab/>
            </w:r>
            <w:r w:rsidR="002E62B0" w:rsidRPr="002605A8">
              <w:rPr>
                <w:bCs/>
              </w:rPr>
              <w:t xml:space="preserve">Total number of ambulance </w:t>
            </w:r>
            <w:r w:rsidR="002E62B0" w:rsidRPr="002605A8">
              <w:rPr>
                <w:spacing w:val="-4"/>
              </w:rPr>
              <w:t xml:space="preserve">response </w:t>
            </w:r>
            <w:r w:rsidR="002E62B0" w:rsidRPr="002605A8">
              <w:rPr>
                <w:bCs/>
              </w:rPr>
              <w:t xml:space="preserve">locations, </w:t>
            </w:r>
            <w:r w:rsidR="002E62B0" w:rsidRPr="002605A8">
              <w:rPr>
                <w:spacing w:val="-4"/>
              </w:rPr>
              <w:t>per 100 000 people</w:t>
            </w:r>
            <w:r w:rsidR="002E62B0" w:rsidRPr="002605A8">
              <w:rPr>
                <w:bCs/>
              </w:rPr>
              <w:t>, by type of station</w:t>
            </w:r>
            <w:r w:rsidR="002E62B0" w:rsidRPr="002605A8">
              <w:rPr>
                <w:rStyle w:val="NoteLabel"/>
                <w:b/>
                <w:spacing w:val="-4"/>
              </w:rPr>
              <w:t>a, b, c, d</w:t>
            </w:r>
            <w:r w:rsidR="002E62B0">
              <w:rPr>
                <w:rStyle w:val="NoteLabel"/>
                <w:b/>
                <w:spacing w:val="-4"/>
              </w:rPr>
              <w:t>, e</w:t>
            </w:r>
          </w:p>
        </w:tc>
      </w:tr>
      <w:tr w:rsidR="00D54DD2" w:rsidTr="00D54DD2">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D54DD2" w:rsidTr="00677D4D">
              <w:tc>
                <w:tcPr>
                  <w:tcW w:w="5000" w:type="pct"/>
                  <w:tcBorders>
                    <w:top w:val="nil"/>
                    <w:bottom w:val="nil"/>
                  </w:tcBorders>
                </w:tcPr>
                <w:p w:rsidR="00D54DD2" w:rsidRDefault="00F82339" w:rsidP="00E63E98">
                  <w:pPr>
                    <w:pStyle w:val="Figure"/>
                    <w:spacing w:before="60" w:after="60"/>
                  </w:pPr>
                  <w:r>
                    <w:rPr>
                      <w:noProof/>
                    </w:rPr>
                    <w:drawing>
                      <wp:inline distT="0" distB="0" distL="0" distR="0">
                        <wp:extent cx="5405755" cy="2886710"/>
                        <wp:effectExtent l="0" t="0" r="4445" b="8890"/>
                        <wp:docPr id="28" name="Picture 28" descr="Figure 9.23 Total number of ambulance response locations, per 100 000 people, by type of st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405755" cy="2886710"/>
                                </a:xfrm>
                                <a:prstGeom prst="rect">
                                  <a:avLst/>
                                </a:prstGeom>
                                <a:noFill/>
                                <a:ln>
                                  <a:noFill/>
                                </a:ln>
                              </pic:spPr>
                            </pic:pic>
                          </a:graphicData>
                        </a:graphic>
                      </wp:inline>
                    </w:drawing>
                  </w:r>
                </w:p>
              </w:tc>
            </w:tr>
          </w:tbl>
          <w:p w:rsidR="00D54DD2" w:rsidRDefault="00D54DD2" w:rsidP="00D54DD2">
            <w:pPr>
              <w:pStyle w:val="Figure"/>
            </w:pPr>
          </w:p>
        </w:tc>
      </w:tr>
      <w:tr w:rsidR="00D54DD2" w:rsidRPr="00176D3F" w:rsidTr="00D54DD2">
        <w:tc>
          <w:tcPr>
            <w:tcW w:w="8771" w:type="dxa"/>
            <w:tcBorders>
              <w:top w:val="nil"/>
              <w:left w:val="nil"/>
              <w:bottom w:val="nil"/>
              <w:right w:val="nil"/>
            </w:tcBorders>
            <w:shd w:val="clear" w:color="auto" w:fill="auto"/>
          </w:tcPr>
          <w:p w:rsidR="00D54DD2" w:rsidRPr="00176D3F" w:rsidRDefault="002E62B0" w:rsidP="007256E4">
            <w:pPr>
              <w:pStyle w:val="Note"/>
              <w:keepNext/>
            </w:pPr>
            <w:r w:rsidRPr="002605A8">
              <w:rPr>
                <w:rStyle w:val="NoteLabel"/>
              </w:rPr>
              <w:t>a</w:t>
            </w:r>
            <w:r w:rsidRPr="002605A8">
              <w:rPr>
                <w:rStyle w:val="NoteLabel"/>
                <w:b w:val="0"/>
              </w:rPr>
              <w:t> </w:t>
            </w:r>
            <w:r w:rsidR="009811B9" w:rsidRPr="00D802A1">
              <w:t xml:space="preserve">Population data used to derive rates are revised to the ABS’ final 2011 Census rebased estimates. </w:t>
            </w:r>
            <w:r w:rsidR="009811B9" w:rsidRPr="00854E63">
              <w:t xml:space="preserve">See </w:t>
            </w:r>
            <w:r w:rsidR="009811B9">
              <w:t>c</w:t>
            </w:r>
            <w:r w:rsidR="009811B9" w:rsidRPr="00854E63">
              <w:t>hapter</w:t>
            </w:r>
            <w:r w:rsidR="009811B9">
              <w:t> </w:t>
            </w:r>
            <w:r w:rsidR="009811B9" w:rsidRPr="00854E63">
              <w:t>2 (table</w:t>
            </w:r>
            <w:r w:rsidR="009811B9">
              <w:t> </w:t>
            </w:r>
            <w:r w:rsidR="009811B9" w:rsidRPr="00854E63">
              <w:t>2A.1</w:t>
            </w:r>
            <w:r w:rsidR="009811B9">
              <w:noBreakHyphen/>
            </w:r>
            <w:r w:rsidR="009811B9" w:rsidRPr="00854E63">
              <w:t>2) for details.</w:t>
            </w:r>
            <w:r w:rsidRPr="002605A8">
              <w:t xml:space="preserve"> </w:t>
            </w:r>
            <w:r w:rsidRPr="002605A8">
              <w:rPr>
                <w:rStyle w:val="NoteLabel"/>
              </w:rPr>
              <w:t>b</w:t>
            </w:r>
            <w:r w:rsidRPr="002605A8">
              <w:t xml:space="preserve"> Some jurisdictions do not satisfy the criteria for all the staffing categories. </w:t>
            </w:r>
            <w:r w:rsidRPr="002605A8">
              <w:rPr>
                <w:rStyle w:val="NoteLabel"/>
              </w:rPr>
              <w:t>c</w:t>
            </w:r>
            <w:r w:rsidRPr="002605A8">
              <w:t> </w:t>
            </w:r>
            <w:r w:rsidRPr="00A90E73">
              <w:t xml:space="preserve">Vic: </w:t>
            </w:r>
            <w:r w:rsidR="007256E4">
              <w:t xml:space="preserve">From </w:t>
            </w:r>
            <w:r w:rsidR="00FA5D77">
              <w:t>201</w:t>
            </w:r>
            <w:r w:rsidR="00D34C28">
              <w:t>2</w:t>
            </w:r>
            <w:r w:rsidR="0026487F">
              <w:noBreakHyphen/>
            </w:r>
            <w:r w:rsidR="00FA5D77">
              <w:t>1</w:t>
            </w:r>
            <w:r w:rsidR="00D34C28">
              <w:t>3</w:t>
            </w:r>
            <w:r w:rsidRPr="00A90E73">
              <w:t>, volunteer response locations that do not have a physical building present have also been included.</w:t>
            </w:r>
            <w:r>
              <w:t xml:space="preserve"> </w:t>
            </w:r>
            <w:r>
              <w:rPr>
                <w:rStyle w:val="NoteLabel"/>
              </w:rPr>
              <w:t>d</w:t>
            </w:r>
            <w:r w:rsidRPr="002605A8">
              <w:t xml:space="preserve"> Qld: There are no mixed response locations in Queensland. </w:t>
            </w:r>
            <w:r>
              <w:rPr>
                <w:rStyle w:val="NoteLabel"/>
              </w:rPr>
              <w:t>e</w:t>
            </w:r>
            <w:r w:rsidRPr="002605A8">
              <w:t xml:space="preserve"> ACT: There are no mixed or volunteer only response locations in the ACT.</w:t>
            </w:r>
          </w:p>
        </w:tc>
      </w:tr>
      <w:tr w:rsidR="00D54DD2" w:rsidRPr="00176D3F" w:rsidTr="00D54DD2">
        <w:tc>
          <w:tcPr>
            <w:tcW w:w="8771" w:type="dxa"/>
            <w:tcBorders>
              <w:top w:val="nil"/>
              <w:left w:val="nil"/>
              <w:bottom w:val="nil"/>
              <w:right w:val="nil"/>
            </w:tcBorders>
            <w:shd w:val="clear" w:color="auto" w:fill="auto"/>
          </w:tcPr>
          <w:p w:rsidR="00D54DD2" w:rsidRPr="00176D3F" w:rsidRDefault="002E62B0" w:rsidP="00F374FC">
            <w:pPr>
              <w:pStyle w:val="Source"/>
              <w:keepNext/>
            </w:pPr>
            <w:r w:rsidRPr="002605A8">
              <w:rPr>
                <w:i/>
              </w:rPr>
              <w:t>Source</w:t>
            </w:r>
            <w:r w:rsidRPr="002605A8">
              <w:t>: State and Territory governments (unpublished); table </w:t>
            </w:r>
            <w:r>
              <w:t>9A.38</w:t>
            </w:r>
            <w:r w:rsidRPr="002605A8">
              <w:t>.</w:t>
            </w:r>
          </w:p>
        </w:tc>
      </w:tr>
      <w:tr w:rsidR="00D54DD2" w:rsidTr="00D54DD2">
        <w:tc>
          <w:tcPr>
            <w:tcW w:w="8771" w:type="dxa"/>
            <w:tcBorders>
              <w:top w:val="nil"/>
              <w:left w:val="nil"/>
              <w:bottom w:val="single" w:sz="6" w:space="0" w:color="78A22F"/>
              <w:right w:val="nil"/>
            </w:tcBorders>
            <w:shd w:val="clear" w:color="auto" w:fill="auto"/>
          </w:tcPr>
          <w:p w:rsidR="00D54DD2" w:rsidRDefault="00D54DD2" w:rsidP="00D54DD2">
            <w:pPr>
              <w:pStyle w:val="Figurespace"/>
            </w:pPr>
          </w:p>
        </w:tc>
      </w:tr>
      <w:tr w:rsidR="00D54DD2" w:rsidRPr="000863A5" w:rsidTr="00D54DD2">
        <w:tc>
          <w:tcPr>
            <w:tcW w:w="8771" w:type="dxa"/>
            <w:tcBorders>
              <w:top w:val="single" w:sz="6" w:space="0" w:color="78A22F"/>
              <w:left w:val="nil"/>
              <w:bottom w:val="nil"/>
              <w:right w:val="nil"/>
            </w:tcBorders>
          </w:tcPr>
          <w:p w:rsidR="00D54DD2" w:rsidRPr="00626D32" w:rsidRDefault="00D54DD2" w:rsidP="00D54DD2">
            <w:pPr>
              <w:pStyle w:val="BoxSpaceBelow"/>
            </w:pPr>
          </w:p>
        </w:tc>
      </w:tr>
    </w:tbl>
    <w:p w:rsidR="00E27E54" w:rsidRDefault="00E27E54" w:rsidP="00E27E54">
      <w:pPr>
        <w:pStyle w:val="BodyText"/>
      </w:pPr>
      <w:r>
        <w:t xml:space="preserve">This indicator should be considered in context of the </w:t>
      </w:r>
      <w:r w:rsidRPr="0054109B">
        <w:t>‘availability of paramedics’ indicator</w:t>
      </w:r>
      <w:r>
        <w:t xml:space="preserve"> (box</w:t>
      </w:r>
      <w:r w:rsidR="00686A2E">
        <w:t> </w:t>
      </w:r>
      <w:r w:rsidR="00800D6F">
        <w:t>9.16</w:t>
      </w:r>
      <w:r>
        <w:t xml:space="preserve">), which shows the </w:t>
      </w:r>
      <w:r w:rsidRPr="0054109B">
        <w:t xml:space="preserve">ambulance workforce </w:t>
      </w:r>
      <w:r>
        <w:t>can comprise</w:t>
      </w:r>
      <w:r w:rsidRPr="0054109B">
        <w:t xml:space="preserve"> a large proportion of volunteers</w:t>
      </w:r>
      <w:r>
        <w:t xml:space="preserve">. Similarly, ambulance locations may be staffed by paid ambulance officers, volunteer ambulance officers, or a mix. Some </w:t>
      </w:r>
      <w:r w:rsidRPr="0054109B">
        <w:t>jurisdictions</w:t>
      </w:r>
      <w:r>
        <w:t xml:space="preserve"> comprise</w:t>
      </w:r>
      <w:r w:rsidRPr="0054109B">
        <w:t xml:space="preserve"> a large proportion of volunteer </w:t>
      </w:r>
      <w:r>
        <w:t>ambulance locations</w:t>
      </w:r>
      <w:r w:rsidRPr="0054109B">
        <w:t xml:space="preserve">, </w:t>
      </w:r>
      <w:r w:rsidRPr="0054109B">
        <w:rPr>
          <w:rFonts w:cs="Arial"/>
          <w:szCs w:val="22"/>
        </w:rPr>
        <w:t>particularly in rural and remote locations</w:t>
      </w:r>
      <w:r w:rsidRPr="0054109B">
        <w:t>.</w:t>
      </w:r>
    </w:p>
    <w:p w:rsidR="00BC0737" w:rsidRPr="00E82098" w:rsidRDefault="00BC0737" w:rsidP="00BC0737">
      <w:pPr>
        <w:pStyle w:val="BodyText"/>
      </w:pPr>
      <w:r>
        <w:t>The number and type of ambulance locations</w:t>
      </w:r>
      <w:r w:rsidRPr="0054109B">
        <w:t xml:space="preserve"> also helps explain variation in expenditure for ambulance services across jurisdictions. For example, in some jurisdictions, smaller rural areas are serviced by paid ambulance personnel whereas in others, there may be a mix of paid and volunteer personnel or wholly volunteer personnel. Service delivery strategies have a significant impact on </w:t>
      </w:r>
      <w:r w:rsidRPr="00E82098">
        <w:t xml:space="preserve">cost and help </w:t>
      </w:r>
      <w:r w:rsidR="007256E4">
        <w:t xml:space="preserve">to </w:t>
      </w:r>
      <w:r w:rsidRPr="00E82098">
        <w:t xml:space="preserve">explain differentials in expenditure per person between jurisdictions. </w:t>
      </w:r>
    </w:p>
    <w:p w:rsidR="00986A8B" w:rsidRPr="002605A8" w:rsidRDefault="00986A8B" w:rsidP="003E3D7E">
      <w:pPr>
        <w:pStyle w:val="Heading5"/>
      </w:pPr>
      <w:r w:rsidRPr="002605A8">
        <w:t>Availability of ambulance officers/paramedics</w:t>
      </w:r>
    </w:p>
    <w:p w:rsidR="00986A8B" w:rsidRDefault="00986A8B" w:rsidP="00140866">
      <w:pPr>
        <w:pStyle w:val="BodyText"/>
      </w:pPr>
      <w:r w:rsidRPr="00140866">
        <w:t xml:space="preserve">‘Availability of ambulance officers/paramedics’ is an indicator of governments’ objective of providing </w:t>
      </w:r>
      <w:r w:rsidR="007256E4" w:rsidRPr="00140866">
        <w:t xml:space="preserve">equitable and accessible </w:t>
      </w:r>
      <w:r w:rsidR="00140866" w:rsidRPr="00140866">
        <w:t>pre</w:t>
      </w:r>
      <w:r w:rsidR="00CC7814">
        <w:noBreakHyphen/>
      </w:r>
      <w:r w:rsidR="00140866" w:rsidRPr="00140866">
        <w:t>hospital and out</w:t>
      </w:r>
      <w:r w:rsidR="00CC7814">
        <w:noBreakHyphen/>
      </w:r>
      <w:r w:rsidR="00140866" w:rsidRPr="00140866">
        <w:t>of</w:t>
      </w:r>
      <w:r w:rsidR="00CC7814">
        <w:noBreakHyphen/>
      </w:r>
      <w:r w:rsidR="00140866" w:rsidRPr="00140866">
        <w:t xml:space="preserve">hospital care and patient transport services </w:t>
      </w:r>
      <w:r w:rsidRPr="00140866">
        <w:t>(box</w:t>
      </w:r>
      <w:r w:rsidR="00686A2E">
        <w:t> </w:t>
      </w:r>
      <w:r w:rsidR="00800D6F">
        <w:t>9.16</w:t>
      </w:r>
      <w:r w:rsidRPr="00140866">
        <w:t xml:space="preserve">). </w:t>
      </w:r>
    </w:p>
    <w:p w:rsidR="00E63E98" w:rsidRDefault="00E63E9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63E98" w:rsidTr="00E9599A">
        <w:tc>
          <w:tcPr>
            <w:tcW w:w="8771" w:type="dxa"/>
            <w:tcBorders>
              <w:top w:val="single" w:sz="6" w:space="0" w:color="78A22F"/>
              <w:left w:val="nil"/>
              <w:bottom w:val="nil"/>
              <w:right w:val="nil"/>
            </w:tcBorders>
            <w:shd w:val="clear" w:color="auto" w:fill="F2F2F2" w:themeFill="background1" w:themeFillShade="F2"/>
          </w:tcPr>
          <w:p w:rsidR="00E63E98" w:rsidRDefault="00E63E98" w:rsidP="00E63E98">
            <w:pPr>
              <w:pStyle w:val="BoxTitle"/>
            </w:pPr>
            <w:r>
              <w:rPr>
                <w:b w:val="0"/>
              </w:rPr>
              <w:t xml:space="preserve">Box </w:t>
            </w:r>
            <w:bookmarkStart w:id="79" w:name="OLE_LINK42"/>
            <w:r w:rsidR="008C1F96">
              <w:rPr>
                <w:b w:val="0"/>
              </w:rPr>
              <w:t>9.</w:t>
            </w:r>
            <w:r w:rsidR="00D52162">
              <w:rPr>
                <w:b w:val="0"/>
                <w:noProof/>
              </w:rPr>
              <w:t>16</w:t>
            </w:r>
            <w:bookmarkEnd w:id="79"/>
            <w:r>
              <w:tab/>
            </w:r>
            <w:r w:rsidRPr="004708A6">
              <w:t>Availability of ambulance officers/paramedics</w:t>
            </w:r>
          </w:p>
        </w:tc>
      </w:tr>
      <w:tr w:rsidR="00E63E98" w:rsidTr="00E9599A">
        <w:trPr>
          <w:cantSplit/>
        </w:trPr>
        <w:tc>
          <w:tcPr>
            <w:tcW w:w="8771" w:type="dxa"/>
            <w:tcBorders>
              <w:top w:val="nil"/>
              <w:left w:val="nil"/>
              <w:bottom w:val="nil"/>
              <w:right w:val="nil"/>
            </w:tcBorders>
            <w:shd w:val="clear" w:color="auto" w:fill="F2F2F2" w:themeFill="background1" w:themeFillShade="F2"/>
          </w:tcPr>
          <w:p w:rsidR="00E63E98" w:rsidRPr="004708A6" w:rsidRDefault="00E63E98" w:rsidP="00E9599A">
            <w:pPr>
              <w:pStyle w:val="Box"/>
            </w:pPr>
            <w:r w:rsidRPr="004708A6">
              <w:t>‘Availability of ambulance officers/paramedics’ is defined as the number of full</w:t>
            </w:r>
            <w:r>
              <w:t xml:space="preserve"> </w:t>
            </w:r>
            <w:r w:rsidRPr="004708A6">
              <w:t xml:space="preserve">time equivalent ambulance officers/paramedics per 100 000 people. Ambulance officers/paramedics includes student and base level ambulance officers and qualified ambulance officers but excludes patient transport officers. </w:t>
            </w:r>
          </w:p>
          <w:p w:rsidR="00E63E98" w:rsidRPr="004708A6" w:rsidRDefault="00E63E98" w:rsidP="00E9599A">
            <w:pPr>
              <w:pStyle w:val="Box"/>
            </w:pPr>
            <w:r w:rsidRPr="004708A6">
              <w:t>High or increasing availability of ambulance officers/paramedics per 100 000 people (indicating high or increasing ambulance service availability) is desirable.</w:t>
            </w:r>
          </w:p>
          <w:p w:rsidR="00E63E98" w:rsidRPr="004708A6" w:rsidRDefault="00E63E98" w:rsidP="00E9599A">
            <w:pPr>
              <w:pStyle w:val="Box"/>
            </w:pPr>
            <w:r w:rsidRPr="004708A6">
              <w:t>Data reported for this measure are:</w:t>
            </w:r>
          </w:p>
          <w:p w:rsidR="00E63E98" w:rsidRPr="004708A6" w:rsidRDefault="00E63E98" w:rsidP="00E9599A">
            <w:pPr>
              <w:pStyle w:val="BoxListBullet"/>
            </w:pPr>
            <w:r w:rsidRPr="004708A6">
              <w:t>comparable (subject to caveats) within jurisdictions over time but are not comparable across jurisdictions</w:t>
            </w:r>
          </w:p>
          <w:p w:rsidR="00E63E98" w:rsidRPr="004708A6" w:rsidRDefault="00E63E98" w:rsidP="00E9599A">
            <w:pPr>
              <w:pStyle w:val="BoxListBullet"/>
            </w:pPr>
            <w:r>
              <w:t>complete (subject to caveats) for the current reporting period</w:t>
            </w:r>
            <w:r w:rsidRPr="004708A6">
              <w:t xml:space="preserve">. All required </w:t>
            </w:r>
            <w:r w:rsidR="00FA5D77">
              <w:t>2013</w:t>
            </w:r>
            <w:r w:rsidR="0026487F">
              <w:noBreakHyphen/>
            </w:r>
            <w:r w:rsidR="00FA5D77">
              <w:t>14</w:t>
            </w:r>
            <w:r w:rsidRPr="004708A6">
              <w:t xml:space="preserve"> data are available</w:t>
            </w:r>
            <w:r>
              <w:t xml:space="preserve"> for all jurisdictions</w:t>
            </w:r>
            <w:r w:rsidRPr="004708A6">
              <w:t>.</w:t>
            </w:r>
          </w:p>
          <w:p w:rsidR="00E63E98" w:rsidRPr="004708A6" w:rsidRDefault="00E63E98" w:rsidP="00E9599A">
            <w:pPr>
              <w:pStyle w:val="Box"/>
              <w:keepNext w:val="0"/>
            </w:pPr>
            <w:r w:rsidRPr="004708A6">
              <w:t>Data quality information for this indicator is under development.</w:t>
            </w:r>
          </w:p>
        </w:tc>
      </w:tr>
      <w:tr w:rsidR="00E63E98" w:rsidTr="00E9599A">
        <w:trPr>
          <w:cantSplit/>
        </w:trPr>
        <w:tc>
          <w:tcPr>
            <w:tcW w:w="8771" w:type="dxa"/>
            <w:tcBorders>
              <w:top w:val="nil"/>
              <w:left w:val="nil"/>
              <w:bottom w:val="single" w:sz="6" w:space="0" w:color="78A22F"/>
              <w:right w:val="nil"/>
            </w:tcBorders>
            <w:shd w:val="clear" w:color="auto" w:fill="F2F2F2" w:themeFill="background1" w:themeFillShade="F2"/>
          </w:tcPr>
          <w:p w:rsidR="00E63E98" w:rsidRDefault="00E63E98">
            <w:pPr>
              <w:pStyle w:val="Box"/>
              <w:spacing w:before="0" w:line="120" w:lineRule="exact"/>
            </w:pPr>
          </w:p>
        </w:tc>
      </w:tr>
      <w:tr w:rsidR="00E63E98" w:rsidRPr="000863A5" w:rsidTr="00E9599A">
        <w:tc>
          <w:tcPr>
            <w:tcW w:w="8771" w:type="dxa"/>
            <w:tcBorders>
              <w:top w:val="single" w:sz="6" w:space="0" w:color="78A22F"/>
              <w:left w:val="nil"/>
              <w:bottom w:val="nil"/>
              <w:right w:val="nil"/>
            </w:tcBorders>
          </w:tcPr>
          <w:p w:rsidR="00E63E98" w:rsidRPr="00626D32" w:rsidRDefault="00E63E98" w:rsidP="00E9599A">
            <w:pPr>
              <w:pStyle w:val="BoxSpaceBelow"/>
            </w:pPr>
          </w:p>
        </w:tc>
      </w:tr>
    </w:tbl>
    <w:p w:rsidR="00AD0B7F" w:rsidRDefault="004708A6" w:rsidP="006A263B">
      <w:pPr>
        <w:pStyle w:val="BodyText"/>
      </w:pPr>
      <w:r w:rsidRPr="0054109B">
        <w:t xml:space="preserve">Nationally, there were </w:t>
      </w:r>
      <w:r w:rsidR="008C1F96">
        <w:t>46.8</w:t>
      </w:r>
      <w:r w:rsidRPr="0054109B">
        <w:t xml:space="preserve"> FTE ambulance officers per 100 000 people in </w:t>
      </w:r>
      <w:r w:rsidR="00FA5D77">
        <w:t>2013</w:t>
      </w:r>
      <w:r w:rsidR="0026487F">
        <w:noBreakHyphen/>
      </w:r>
      <w:r w:rsidR="00FA5D77">
        <w:t>14</w:t>
      </w:r>
      <w:r w:rsidR="00AD0B7F">
        <w:t>. The total number of ambulance officers and the proportion of student and base level ambulance officers</w:t>
      </w:r>
      <w:r w:rsidRPr="0054109B">
        <w:t xml:space="preserve"> varied across jurisdictions (table </w:t>
      </w:r>
      <w:r w:rsidR="004029AC">
        <w:t>9A.35</w:t>
      </w:r>
      <w:r w:rsidRPr="0054109B">
        <w:t xml:space="preserve"> and figure</w:t>
      </w:r>
      <w:r w:rsidR="00686A2E">
        <w:t> </w:t>
      </w:r>
      <w:r w:rsidR="00800D6F">
        <w:t>9.24</w:t>
      </w:r>
      <w:r w:rsidRPr="0054109B">
        <w:t xml:space="preserve">). </w:t>
      </w:r>
    </w:p>
    <w:p w:rsidR="006A263B" w:rsidRDefault="006A263B" w:rsidP="00AD0B7F">
      <w:pPr>
        <w:pStyle w:val="BodyText"/>
      </w:pPr>
      <w:r>
        <w:t xml:space="preserve">In jurisdictions that utilise a higher number of volunteers, the number of paid FTE ambulance officers may be lower — suggesting </w:t>
      </w:r>
      <w:r w:rsidRPr="00140866">
        <w:t xml:space="preserve">a lower level of access </w:t>
      </w:r>
      <w:r>
        <w:t>according to the indicator</w:t>
      </w:r>
      <w:r w:rsidRPr="00140866">
        <w:t xml:space="preserve">. </w:t>
      </w:r>
      <w:r>
        <w:t xml:space="preserve">However, volunteers are often utilised to provide ambulance access to </w:t>
      </w:r>
      <w:r w:rsidRPr="00140866">
        <w:t>small rural areas which have low frequency of medical emergencies</w:t>
      </w:r>
      <w:r w:rsidR="00BC0737">
        <w:t>.</w:t>
      </w:r>
      <w:r w:rsidRPr="00140866">
        <w:t xml:space="preserve"> </w:t>
      </w:r>
      <w:r w:rsidR="00BC0737">
        <w:t xml:space="preserve">Providing paid </w:t>
      </w:r>
      <w:r w:rsidRPr="00140866">
        <w:t>paramedic</w:t>
      </w:r>
      <w:r w:rsidR="00A937B5">
        <w:t>s</w:t>
      </w:r>
      <w:r w:rsidRPr="00140866">
        <w:t xml:space="preserve"> </w:t>
      </w:r>
      <w:r w:rsidR="00BC0737">
        <w:t xml:space="preserve">in these locations is costly </w:t>
      </w:r>
      <w:r w:rsidRPr="00140866">
        <w:t>and raises issues with skills maintenance for paramedics wh</w:t>
      </w:r>
      <w:r w:rsidR="008369EE">
        <w:t>os</w:t>
      </w:r>
      <w:r w:rsidRPr="00140866">
        <w:t>e</w:t>
      </w:r>
      <w:r w:rsidR="008369EE">
        <w:t xml:space="preserve"> </w:t>
      </w:r>
      <w:r w:rsidRPr="00140866">
        <w:t>caseload is low.</w:t>
      </w:r>
      <w:r>
        <w:t xml:space="preserve"> T</w:t>
      </w:r>
      <w:r w:rsidRPr="00140866">
        <w:t>his indicator is complemented by the response locations indicator, which identifies jurisdictions that provide an ambulance response utilising volunteers</w:t>
      </w:r>
      <w:r w:rsidR="00BC0737">
        <w:t xml:space="preserve"> (bo</w:t>
      </w:r>
      <w:r w:rsidR="005857AA">
        <w:t>x</w:t>
      </w:r>
      <w:r w:rsidR="00686A2E">
        <w:t> </w:t>
      </w:r>
      <w:r w:rsidR="00800D6F">
        <w:t>9.15</w:t>
      </w:r>
      <w:r w:rsidR="005857AA">
        <w:t>)</w:t>
      </w:r>
      <w:r w:rsidRPr="00140866">
        <w:t xml:space="preserve">. </w:t>
      </w:r>
    </w:p>
    <w:p w:rsidR="00E63E98" w:rsidRDefault="00E63E98" w:rsidP="00E959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63E98" w:rsidTr="00E9599A">
        <w:tc>
          <w:tcPr>
            <w:tcW w:w="8771" w:type="dxa"/>
            <w:tcBorders>
              <w:top w:val="single" w:sz="6" w:space="0" w:color="78A22F"/>
              <w:left w:val="nil"/>
              <w:bottom w:val="nil"/>
              <w:right w:val="nil"/>
            </w:tcBorders>
            <w:shd w:val="clear" w:color="auto" w:fill="auto"/>
          </w:tcPr>
          <w:p w:rsidR="00E63E98" w:rsidRPr="00176D3F" w:rsidRDefault="00E63E98" w:rsidP="00E63E98">
            <w:pPr>
              <w:pStyle w:val="FigureTitle"/>
            </w:pPr>
            <w:r w:rsidRPr="00784A05">
              <w:rPr>
                <w:b w:val="0"/>
              </w:rPr>
              <w:t xml:space="preserve">Figure </w:t>
            </w:r>
            <w:bookmarkStart w:id="80" w:name="OLE_LINK43"/>
            <w:r w:rsidR="008C1F96">
              <w:rPr>
                <w:b w:val="0"/>
              </w:rPr>
              <w:t>9.</w:t>
            </w:r>
            <w:r w:rsidR="00D52162">
              <w:rPr>
                <w:b w:val="0"/>
                <w:noProof/>
              </w:rPr>
              <w:t>24</w:t>
            </w:r>
            <w:bookmarkEnd w:id="80"/>
            <w:r>
              <w:tab/>
            </w:r>
            <w:r w:rsidRPr="002605A8">
              <w:t>Number of full time equivalent ambulance officers</w:t>
            </w:r>
            <w:r w:rsidR="007256E4">
              <w:rPr>
                <w:rStyle w:val="NoteLabel"/>
                <w:b/>
              </w:rPr>
              <w:t>a, b</w:t>
            </w:r>
          </w:p>
        </w:tc>
      </w:tr>
      <w:tr w:rsidR="00E63E98" w:rsidTr="00E9599A">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E63E98" w:rsidTr="00677D4D">
              <w:tc>
                <w:tcPr>
                  <w:tcW w:w="5000" w:type="pct"/>
                  <w:tcBorders>
                    <w:top w:val="nil"/>
                    <w:bottom w:val="nil"/>
                  </w:tcBorders>
                </w:tcPr>
                <w:p w:rsidR="00E63E98" w:rsidRDefault="00F82339" w:rsidP="00E63E98">
                  <w:pPr>
                    <w:pStyle w:val="Figure"/>
                    <w:spacing w:before="60" w:after="60"/>
                  </w:pPr>
                  <w:r>
                    <w:rPr>
                      <w:noProof/>
                    </w:rPr>
                    <w:drawing>
                      <wp:inline distT="0" distB="0" distL="0" distR="0">
                        <wp:extent cx="5405755" cy="2707640"/>
                        <wp:effectExtent l="0" t="0" r="4445" b="0"/>
                        <wp:docPr id="29" name="Picture 29" descr="Figure 9.24 Number of full time equivalent ambulance office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E63E98" w:rsidRDefault="00E63E98" w:rsidP="00E9599A">
            <w:pPr>
              <w:pStyle w:val="Figure"/>
            </w:pPr>
          </w:p>
        </w:tc>
      </w:tr>
      <w:tr w:rsidR="00E63E98" w:rsidRPr="00176D3F" w:rsidTr="00E9599A">
        <w:tc>
          <w:tcPr>
            <w:tcW w:w="8771" w:type="dxa"/>
            <w:tcBorders>
              <w:top w:val="nil"/>
              <w:left w:val="nil"/>
              <w:bottom w:val="nil"/>
              <w:right w:val="nil"/>
            </w:tcBorders>
            <w:shd w:val="clear" w:color="auto" w:fill="auto"/>
          </w:tcPr>
          <w:p w:rsidR="00E63E98" w:rsidRPr="00176D3F" w:rsidRDefault="00E63E98" w:rsidP="007256E4">
            <w:pPr>
              <w:pStyle w:val="Note"/>
            </w:pPr>
            <w:r w:rsidRPr="002605A8">
              <w:rPr>
                <w:rStyle w:val="NoteLabel"/>
              </w:rPr>
              <w:t>a</w:t>
            </w:r>
            <w:r w:rsidRPr="002605A8">
              <w:t> </w:t>
            </w:r>
            <w:r w:rsidR="009811B9" w:rsidRPr="00D802A1">
              <w:t xml:space="preserve">Population data used to derive rates are revised to the ABS’ final 2011 Census rebased estimates. </w:t>
            </w:r>
            <w:r w:rsidR="009811B9" w:rsidRPr="00854E63">
              <w:t xml:space="preserve">See </w:t>
            </w:r>
            <w:r w:rsidR="009811B9">
              <w:t>c</w:t>
            </w:r>
            <w:r w:rsidR="009811B9" w:rsidRPr="00854E63">
              <w:t>hapter</w:t>
            </w:r>
            <w:r w:rsidR="009811B9">
              <w:t> </w:t>
            </w:r>
            <w:r w:rsidR="009811B9" w:rsidRPr="00854E63">
              <w:t>2 (table</w:t>
            </w:r>
            <w:r w:rsidR="009811B9">
              <w:t> </w:t>
            </w:r>
            <w:r w:rsidR="009811B9" w:rsidRPr="00854E63">
              <w:t>2A.1</w:t>
            </w:r>
            <w:r w:rsidR="009811B9">
              <w:noBreakHyphen/>
            </w:r>
            <w:r w:rsidR="009811B9" w:rsidRPr="00854E63">
              <w:t>2) for details.</w:t>
            </w:r>
            <w:r w:rsidR="007256E4" w:rsidRPr="002605A8">
              <w:rPr>
                <w:rStyle w:val="NoteLabel"/>
              </w:rPr>
              <w:t xml:space="preserve"> </w:t>
            </w:r>
            <w:r w:rsidR="007256E4">
              <w:rPr>
                <w:rStyle w:val="NoteLabel"/>
              </w:rPr>
              <w:t>b</w:t>
            </w:r>
            <w:r w:rsidR="007256E4" w:rsidRPr="002605A8">
              <w:t> </w:t>
            </w:r>
            <w:r w:rsidR="007256E4">
              <w:t xml:space="preserve">ACT: </w:t>
            </w:r>
            <w:r w:rsidR="007256E4" w:rsidRPr="007256E4">
              <w:t>2012</w:t>
            </w:r>
            <w:r w:rsidR="0026487F">
              <w:noBreakHyphen/>
            </w:r>
            <w:r w:rsidR="007256E4" w:rsidRPr="007256E4">
              <w:t>13 human resources include direct staffing within the ACT Ambulance Service. Indirect staffing from the umbrella department and supporting services including Shared Services has been reported based on an attribution model.</w:t>
            </w:r>
          </w:p>
        </w:tc>
      </w:tr>
      <w:tr w:rsidR="00E63E98" w:rsidRPr="00176D3F" w:rsidTr="00E9599A">
        <w:tc>
          <w:tcPr>
            <w:tcW w:w="8771" w:type="dxa"/>
            <w:tcBorders>
              <w:top w:val="nil"/>
              <w:left w:val="nil"/>
              <w:bottom w:val="nil"/>
              <w:right w:val="nil"/>
            </w:tcBorders>
            <w:shd w:val="clear" w:color="auto" w:fill="auto"/>
          </w:tcPr>
          <w:p w:rsidR="00E63E98" w:rsidRPr="00176D3F" w:rsidRDefault="00E63E98" w:rsidP="00E63E98">
            <w:pPr>
              <w:pStyle w:val="Source"/>
            </w:pPr>
            <w:r w:rsidRPr="002605A8">
              <w:rPr>
                <w:i/>
              </w:rPr>
              <w:t>Source</w:t>
            </w:r>
            <w:r w:rsidRPr="002605A8">
              <w:t>: State and Territory governments (unpublished); table </w:t>
            </w:r>
            <w:r w:rsidR="004029AC">
              <w:t>9A.35</w:t>
            </w:r>
            <w:r w:rsidRPr="002605A8">
              <w:t>.</w:t>
            </w:r>
          </w:p>
        </w:tc>
      </w:tr>
      <w:tr w:rsidR="00E63E98" w:rsidTr="00E9599A">
        <w:tc>
          <w:tcPr>
            <w:tcW w:w="8771" w:type="dxa"/>
            <w:tcBorders>
              <w:top w:val="nil"/>
              <w:left w:val="nil"/>
              <w:bottom w:val="single" w:sz="6" w:space="0" w:color="78A22F"/>
              <w:right w:val="nil"/>
            </w:tcBorders>
            <w:shd w:val="clear" w:color="auto" w:fill="auto"/>
          </w:tcPr>
          <w:p w:rsidR="00E63E98" w:rsidRDefault="00E63E98" w:rsidP="00E9599A">
            <w:pPr>
              <w:pStyle w:val="Figurespace"/>
            </w:pPr>
          </w:p>
        </w:tc>
      </w:tr>
      <w:tr w:rsidR="00E63E98" w:rsidRPr="000863A5" w:rsidTr="00E9599A">
        <w:tc>
          <w:tcPr>
            <w:tcW w:w="8771" w:type="dxa"/>
            <w:tcBorders>
              <w:top w:val="single" w:sz="6" w:space="0" w:color="78A22F"/>
              <w:left w:val="nil"/>
              <w:bottom w:val="nil"/>
              <w:right w:val="nil"/>
            </w:tcBorders>
          </w:tcPr>
          <w:p w:rsidR="00E63E98" w:rsidRPr="00626D32" w:rsidRDefault="00E63E98" w:rsidP="00E9599A">
            <w:pPr>
              <w:pStyle w:val="BoxSpaceBelow"/>
            </w:pPr>
          </w:p>
        </w:tc>
      </w:tr>
    </w:tbl>
    <w:p w:rsidR="00324002" w:rsidRPr="00354F65" w:rsidRDefault="00324002" w:rsidP="00324002">
      <w:pPr>
        <w:pStyle w:val="Heading5"/>
      </w:pPr>
      <w:r>
        <w:t xml:space="preserve">Ambulance </w:t>
      </w:r>
      <w:r w:rsidRPr="00354F65">
        <w:t>response times</w:t>
      </w:r>
    </w:p>
    <w:p w:rsidR="00324002" w:rsidRDefault="002E4D98" w:rsidP="00324002">
      <w:pPr>
        <w:pStyle w:val="BodyText"/>
      </w:pPr>
      <w:r>
        <w:t>U</w:t>
      </w:r>
      <w:r w:rsidRPr="00354F65">
        <w:t>rban centre response times</w:t>
      </w:r>
      <w:r>
        <w:t xml:space="preserve">, </w:t>
      </w:r>
      <w:r w:rsidRPr="002E4D98">
        <w:t>state wide response times</w:t>
      </w:r>
      <w:r>
        <w:t xml:space="preserve">, and </w:t>
      </w:r>
      <w:r w:rsidRPr="002E4D98">
        <w:t>triple zero (000) call answer</w:t>
      </w:r>
      <w:r w:rsidR="007510AC">
        <w:t>ing</w:t>
      </w:r>
      <w:r w:rsidRPr="002E4D98">
        <w:t xml:space="preserve"> time</w:t>
      </w:r>
      <w:r>
        <w:t xml:space="preserve"> </w:t>
      </w:r>
      <w:r w:rsidR="00324002">
        <w:t>relate to ambulance response times as defined in box</w:t>
      </w:r>
      <w:r w:rsidR="00686A2E">
        <w:t> </w:t>
      </w:r>
      <w:r w:rsidR="00800D6F">
        <w:t>9.17</w:t>
      </w:r>
      <w:r w:rsidR="00324002">
        <w:t>.</w:t>
      </w:r>
    </w:p>
    <w:p w:rsidR="00E63E98" w:rsidRDefault="00E63E9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63E98" w:rsidTr="00E9599A">
        <w:tc>
          <w:tcPr>
            <w:tcW w:w="8771" w:type="dxa"/>
            <w:tcBorders>
              <w:top w:val="single" w:sz="6" w:space="0" w:color="78A22F"/>
              <w:left w:val="nil"/>
              <w:bottom w:val="nil"/>
              <w:right w:val="nil"/>
            </w:tcBorders>
            <w:shd w:val="clear" w:color="auto" w:fill="F2F2F2" w:themeFill="background1" w:themeFillShade="F2"/>
          </w:tcPr>
          <w:p w:rsidR="00E63E98" w:rsidRDefault="00E63E98" w:rsidP="00E63E98">
            <w:pPr>
              <w:pStyle w:val="BoxTitle"/>
            </w:pPr>
            <w:r>
              <w:rPr>
                <w:b w:val="0"/>
              </w:rPr>
              <w:t xml:space="preserve">Box </w:t>
            </w:r>
            <w:bookmarkStart w:id="81" w:name="OLE_LINK1"/>
            <w:r w:rsidR="008C1F96">
              <w:rPr>
                <w:b w:val="0"/>
              </w:rPr>
              <w:t>9.</w:t>
            </w:r>
            <w:r w:rsidR="00D52162">
              <w:rPr>
                <w:b w:val="0"/>
                <w:noProof/>
              </w:rPr>
              <w:t>17</w:t>
            </w:r>
            <w:bookmarkEnd w:id="81"/>
            <w:r>
              <w:tab/>
            </w:r>
            <w:r w:rsidRPr="00C95687">
              <w:t>Ambulance response times definition</w:t>
            </w:r>
          </w:p>
        </w:tc>
      </w:tr>
      <w:tr w:rsidR="00E63E98" w:rsidTr="00E9599A">
        <w:trPr>
          <w:cantSplit/>
        </w:trPr>
        <w:tc>
          <w:tcPr>
            <w:tcW w:w="8771" w:type="dxa"/>
            <w:tcBorders>
              <w:top w:val="nil"/>
              <w:left w:val="nil"/>
              <w:bottom w:val="nil"/>
              <w:right w:val="nil"/>
            </w:tcBorders>
            <w:shd w:val="clear" w:color="auto" w:fill="F2F2F2" w:themeFill="background1" w:themeFillShade="F2"/>
          </w:tcPr>
          <w:p w:rsidR="00E63E98" w:rsidRDefault="00E63E98" w:rsidP="00E9599A">
            <w:pPr>
              <w:pStyle w:val="Box"/>
              <w:keepNext w:val="0"/>
            </w:pPr>
            <w:r w:rsidRPr="00C95687">
              <w:t>‘Response times’ (as illustrated below) is defined as the time taken between the arrival of the first responding ambulance resource at the scene of an emergency and the initial receipt of the call for an emergency ambulance at the communications centre.</w:t>
            </w:r>
          </w:p>
          <w:p w:rsidR="00E63E98" w:rsidRPr="00C95687" w:rsidRDefault="00E63E98" w:rsidP="004F3166">
            <w:pPr>
              <w:pStyle w:val="FooterEnd"/>
            </w:pPr>
          </w:p>
          <w:p w:rsidR="00E63E98" w:rsidRPr="00C95687" w:rsidRDefault="00392424" w:rsidP="00392424">
            <w:pPr>
              <w:pStyle w:val="Figure"/>
              <w:spacing w:before="0" w:after="0"/>
            </w:pPr>
            <w:r>
              <w:rPr>
                <w:noProof/>
              </w:rPr>
              <w:drawing>
                <wp:inline distT="0" distB="0" distL="0" distR="0" wp14:anchorId="662AD45A" wp14:editId="14215E0F">
                  <wp:extent cx="5381625" cy="1666875"/>
                  <wp:effectExtent l="0" t="0" r="9525" b="9525"/>
                  <wp:docPr id="6" name="Picture 6" descr="Box 9.17 Ambulance response times defini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81625" cy="1666875"/>
                          </a:xfrm>
                          <a:prstGeom prst="rect">
                            <a:avLst/>
                          </a:prstGeom>
                          <a:noFill/>
                          <a:ln>
                            <a:noFill/>
                          </a:ln>
                        </pic:spPr>
                      </pic:pic>
                    </a:graphicData>
                  </a:graphic>
                </wp:inline>
              </w:drawing>
            </w:r>
          </w:p>
        </w:tc>
      </w:tr>
      <w:tr w:rsidR="00E63E98" w:rsidTr="00E9599A">
        <w:trPr>
          <w:cantSplit/>
        </w:trPr>
        <w:tc>
          <w:tcPr>
            <w:tcW w:w="8771" w:type="dxa"/>
            <w:tcBorders>
              <w:top w:val="nil"/>
              <w:left w:val="nil"/>
              <w:bottom w:val="nil"/>
              <w:right w:val="nil"/>
            </w:tcBorders>
            <w:shd w:val="clear" w:color="auto" w:fill="F2F2F2" w:themeFill="background1" w:themeFillShade="F2"/>
          </w:tcPr>
          <w:p w:rsidR="00E63E98" w:rsidRDefault="004F3166" w:rsidP="004F3166">
            <w:pPr>
              <w:pStyle w:val="Continued"/>
            </w:pPr>
            <w:r>
              <w:t>(continued next page)</w:t>
            </w:r>
          </w:p>
        </w:tc>
      </w:tr>
      <w:tr w:rsidR="00E63E98" w:rsidTr="00E9599A">
        <w:trPr>
          <w:cantSplit/>
        </w:trPr>
        <w:tc>
          <w:tcPr>
            <w:tcW w:w="8771" w:type="dxa"/>
            <w:tcBorders>
              <w:top w:val="nil"/>
              <w:left w:val="nil"/>
              <w:bottom w:val="single" w:sz="6" w:space="0" w:color="78A22F"/>
              <w:right w:val="nil"/>
            </w:tcBorders>
            <w:shd w:val="clear" w:color="auto" w:fill="F2F2F2" w:themeFill="background1" w:themeFillShade="F2"/>
          </w:tcPr>
          <w:p w:rsidR="00E63E98" w:rsidRDefault="00E63E98" w:rsidP="00225D8D">
            <w:pPr>
              <w:pStyle w:val="Box"/>
              <w:keepNext w:val="0"/>
              <w:spacing w:before="0" w:line="120" w:lineRule="exact"/>
            </w:pPr>
          </w:p>
        </w:tc>
      </w:tr>
    </w:tbl>
    <w:p w:rsidR="004F3166" w:rsidRDefault="004F316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166" w:rsidTr="00E9599A">
        <w:tc>
          <w:tcPr>
            <w:tcW w:w="8771" w:type="dxa"/>
            <w:tcBorders>
              <w:top w:val="single" w:sz="6" w:space="0" w:color="78A22F"/>
              <w:left w:val="nil"/>
              <w:bottom w:val="nil"/>
              <w:right w:val="nil"/>
            </w:tcBorders>
            <w:shd w:val="clear" w:color="auto" w:fill="F2F2F2" w:themeFill="background1" w:themeFillShade="F2"/>
          </w:tcPr>
          <w:p w:rsidR="004F3166" w:rsidRDefault="004F3166" w:rsidP="004F3166">
            <w:pPr>
              <w:pStyle w:val="BoxTitle"/>
            </w:pPr>
            <w:r>
              <w:rPr>
                <w:b w:val="0"/>
              </w:rPr>
              <w:t xml:space="preserve">Box </w:t>
            </w:r>
            <w:r w:rsidR="00800D6F" w:rsidRPr="00800D6F">
              <w:rPr>
                <w:b w:val="0"/>
              </w:rPr>
              <w:t>9.17</w:t>
            </w:r>
            <w:r>
              <w:tab/>
            </w:r>
            <w:r w:rsidRPr="004F3166">
              <w:rPr>
                <w:sz w:val="18"/>
              </w:rPr>
              <w:t>(continued)</w:t>
            </w:r>
          </w:p>
        </w:tc>
      </w:tr>
      <w:tr w:rsidR="004F3166" w:rsidTr="00E9599A">
        <w:trPr>
          <w:cantSplit/>
        </w:trPr>
        <w:tc>
          <w:tcPr>
            <w:tcW w:w="8771" w:type="dxa"/>
            <w:tcBorders>
              <w:top w:val="nil"/>
              <w:left w:val="nil"/>
              <w:bottom w:val="nil"/>
              <w:right w:val="nil"/>
            </w:tcBorders>
            <w:shd w:val="clear" w:color="auto" w:fill="F2F2F2" w:themeFill="background1" w:themeFillShade="F2"/>
          </w:tcPr>
          <w:p w:rsidR="004F3166" w:rsidRPr="00C95687" w:rsidRDefault="004F3166" w:rsidP="00E9599A">
            <w:pPr>
              <w:pStyle w:val="Box"/>
              <w:keepNext w:val="0"/>
              <w:keepLines/>
            </w:pPr>
            <w:r w:rsidRPr="00C95687">
              <w:t>For this Report, response times are calculated:</w:t>
            </w:r>
          </w:p>
          <w:p w:rsidR="004F3166" w:rsidRPr="00C95687" w:rsidRDefault="004F3166" w:rsidP="00E9599A">
            <w:pPr>
              <w:pStyle w:val="BoxListBullet"/>
              <w:keepNext w:val="0"/>
              <w:keepLines/>
            </w:pPr>
            <w:r w:rsidRPr="00C95687">
              <w:t xml:space="preserve">in code 1 situations — responses to potentially life threatening situations that necessitates the use of ambulance warning devices (lights and sirens) </w:t>
            </w:r>
          </w:p>
          <w:p w:rsidR="000D46AF" w:rsidRDefault="004F3166" w:rsidP="000D46AF">
            <w:pPr>
              <w:pStyle w:val="BoxListBullet"/>
              <w:keepNext w:val="0"/>
              <w:keepLines/>
            </w:pPr>
            <w:r w:rsidRPr="00C95687">
              <w:t xml:space="preserve">at the 50th and 90th percentile — </w:t>
            </w:r>
            <w:r w:rsidR="000D46AF" w:rsidRPr="00446594">
              <w:t xml:space="preserve">the time taken for 50 per cent of the first responding ambulance resources </w:t>
            </w:r>
            <w:r w:rsidR="001206B5" w:rsidRPr="00446594">
              <w:t xml:space="preserve">to </w:t>
            </w:r>
            <w:r w:rsidR="000D46AF" w:rsidRPr="00446594">
              <w:t xml:space="preserve">arrive at the scene of an emergency is equal to or below the 50th percentile. The time taken for 90 per cent of the first responding ambulance resources </w:t>
            </w:r>
            <w:r w:rsidR="001206B5" w:rsidRPr="00446594">
              <w:t xml:space="preserve">to </w:t>
            </w:r>
            <w:r w:rsidR="000D46AF" w:rsidRPr="00446594">
              <w:t>arrive at the scene of an emergency is equal to or below the 90th percentile.</w:t>
            </w:r>
          </w:p>
          <w:p w:rsidR="004F3166" w:rsidRPr="00C95687" w:rsidRDefault="004F3166" w:rsidP="00E9599A">
            <w:pPr>
              <w:pStyle w:val="Box"/>
              <w:keepNext w:val="0"/>
            </w:pPr>
            <w:r w:rsidRPr="00C95687">
              <w:t>Although definitions of response times are consistent, not all jurisdictions have systems in place to capture all components of response time for all cases.</w:t>
            </w:r>
          </w:p>
        </w:tc>
      </w:tr>
      <w:tr w:rsidR="004F3166" w:rsidTr="00E9599A">
        <w:trPr>
          <w:cantSplit/>
        </w:trPr>
        <w:tc>
          <w:tcPr>
            <w:tcW w:w="8771" w:type="dxa"/>
            <w:tcBorders>
              <w:top w:val="nil"/>
              <w:left w:val="nil"/>
              <w:bottom w:val="single" w:sz="6" w:space="0" w:color="78A22F"/>
              <w:right w:val="nil"/>
            </w:tcBorders>
            <w:shd w:val="clear" w:color="auto" w:fill="F2F2F2" w:themeFill="background1" w:themeFillShade="F2"/>
          </w:tcPr>
          <w:p w:rsidR="004F3166" w:rsidRDefault="004F3166">
            <w:pPr>
              <w:pStyle w:val="Box"/>
              <w:spacing w:before="0" w:line="120" w:lineRule="exact"/>
            </w:pPr>
          </w:p>
        </w:tc>
      </w:tr>
      <w:tr w:rsidR="004F3166" w:rsidRPr="000863A5" w:rsidTr="00E9599A">
        <w:tc>
          <w:tcPr>
            <w:tcW w:w="8771" w:type="dxa"/>
            <w:tcBorders>
              <w:top w:val="single" w:sz="6" w:space="0" w:color="78A22F"/>
              <w:left w:val="nil"/>
              <w:bottom w:val="nil"/>
              <w:right w:val="nil"/>
            </w:tcBorders>
          </w:tcPr>
          <w:p w:rsidR="004F3166" w:rsidRPr="00626D32" w:rsidRDefault="004F3166" w:rsidP="00E9599A">
            <w:pPr>
              <w:pStyle w:val="BoxSpaceBelow"/>
            </w:pPr>
          </w:p>
        </w:tc>
      </w:tr>
    </w:tbl>
    <w:p w:rsidR="00BB36F7" w:rsidRPr="00354F65" w:rsidRDefault="00986A8B" w:rsidP="00BB36F7">
      <w:pPr>
        <w:pStyle w:val="Heading5"/>
      </w:pPr>
      <w:r w:rsidRPr="00354F65">
        <w:t>Urban centre response times</w:t>
      </w:r>
    </w:p>
    <w:p w:rsidR="00B76CFB" w:rsidRDefault="00986A8B" w:rsidP="00072568">
      <w:pPr>
        <w:pStyle w:val="BodyText"/>
      </w:pPr>
      <w:r w:rsidRPr="0054109B">
        <w:t>‘</w:t>
      </w:r>
      <w:r w:rsidRPr="00072568">
        <w:t>Urban</w:t>
      </w:r>
      <w:r w:rsidRPr="0054109B">
        <w:t xml:space="preserve"> centre response times’ is an indicator of governments’ objective of providing </w:t>
      </w:r>
      <w:r w:rsidR="007256E4" w:rsidRPr="00BB36F7">
        <w:t>equitable and accessible</w:t>
      </w:r>
      <w:r w:rsidR="007256E4" w:rsidRPr="0054109B">
        <w:t xml:space="preserve"> </w:t>
      </w:r>
      <w:r w:rsidR="00BB36F7" w:rsidRPr="00BB36F7">
        <w:t>pre</w:t>
      </w:r>
      <w:r w:rsidR="00CC7814">
        <w:noBreakHyphen/>
      </w:r>
      <w:r w:rsidR="00BB36F7" w:rsidRPr="00BB36F7">
        <w:t>hospital and out</w:t>
      </w:r>
      <w:r w:rsidR="00CC7814">
        <w:noBreakHyphen/>
      </w:r>
      <w:r w:rsidR="00BB36F7" w:rsidRPr="00BB36F7">
        <w:t>of</w:t>
      </w:r>
      <w:r w:rsidR="00CC7814">
        <w:noBreakHyphen/>
      </w:r>
      <w:r w:rsidR="00BB36F7" w:rsidRPr="00BB36F7">
        <w:t>hospital care and p</w:t>
      </w:r>
      <w:r w:rsidR="00BB36F7">
        <w:t>atient transport services</w:t>
      </w:r>
      <w:r w:rsidR="00BB36F7" w:rsidRPr="00BB36F7">
        <w:t xml:space="preserve"> </w:t>
      </w:r>
      <w:r w:rsidRPr="0054109B">
        <w:t>(box</w:t>
      </w:r>
      <w:r w:rsidR="00686A2E">
        <w:t> </w:t>
      </w:r>
      <w:r w:rsidR="00800D6F">
        <w:t>9.18</w:t>
      </w:r>
      <w:r w:rsidRPr="0054109B">
        <w:t xml:space="preserve">). </w:t>
      </w:r>
    </w:p>
    <w:p w:rsidR="004F3166" w:rsidRDefault="004F316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166" w:rsidTr="00E9599A">
        <w:tc>
          <w:tcPr>
            <w:tcW w:w="8771" w:type="dxa"/>
            <w:tcBorders>
              <w:top w:val="single" w:sz="6" w:space="0" w:color="78A22F"/>
              <w:left w:val="nil"/>
              <w:bottom w:val="nil"/>
              <w:right w:val="nil"/>
            </w:tcBorders>
            <w:shd w:val="clear" w:color="auto" w:fill="F2F2F2" w:themeFill="background1" w:themeFillShade="F2"/>
          </w:tcPr>
          <w:p w:rsidR="004F3166" w:rsidRDefault="004F3166" w:rsidP="004F3166">
            <w:pPr>
              <w:pStyle w:val="BoxTitle"/>
            </w:pPr>
            <w:r>
              <w:rPr>
                <w:b w:val="0"/>
              </w:rPr>
              <w:t xml:space="preserve">Box </w:t>
            </w:r>
            <w:bookmarkStart w:id="82" w:name="OLE_LINK44"/>
            <w:r w:rsidR="008C1F96">
              <w:rPr>
                <w:b w:val="0"/>
              </w:rPr>
              <w:t>9.</w:t>
            </w:r>
            <w:r w:rsidR="00D52162">
              <w:rPr>
                <w:b w:val="0"/>
                <w:noProof/>
              </w:rPr>
              <w:t>18</w:t>
            </w:r>
            <w:bookmarkEnd w:id="82"/>
            <w:r>
              <w:tab/>
            </w:r>
            <w:r w:rsidRPr="00C95687">
              <w:t>Urban centre response times</w:t>
            </w:r>
            <w:r>
              <w:t xml:space="preserve"> </w:t>
            </w:r>
          </w:p>
        </w:tc>
      </w:tr>
      <w:tr w:rsidR="004F3166" w:rsidTr="00E9599A">
        <w:trPr>
          <w:cantSplit/>
        </w:trPr>
        <w:tc>
          <w:tcPr>
            <w:tcW w:w="8771" w:type="dxa"/>
            <w:tcBorders>
              <w:top w:val="nil"/>
              <w:left w:val="nil"/>
              <w:bottom w:val="nil"/>
              <w:right w:val="nil"/>
            </w:tcBorders>
            <w:shd w:val="clear" w:color="auto" w:fill="F2F2F2" w:themeFill="background1" w:themeFillShade="F2"/>
          </w:tcPr>
          <w:p w:rsidR="004F3166" w:rsidRPr="00C95687" w:rsidRDefault="004F3166" w:rsidP="00E9599A">
            <w:pPr>
              <w:pStyle w:val="Box"/>
            </w:pPr>
            <w:r w:rsidRPr="00C95687">
              <w:t>‘Urban centre response times’ (as illustrated in box</w:t>
            </w:r>
            <w:r w:rsidR="00686A2E">
              <w:t> </w:t>
            </w:r>
            <w:r w:rsidR="00800D6F">
              <w:t>9.17</w:t>
            </w:r>
            <w:r w:rsidRPr="00C95687">
              <w:t xml:space="preserve">) is defined as the time taken between the arrival of the first responding ambulance resource at the scene of an emergency in code 1 situations and the initial receipt of the call for an emergency ambulance at the communications centre, in urban centres. </w:t>
            </w:r>
          </w:p>
          <w:p w:rsidR="004F3166" w:rsidRPr="00C95687" w:rsidRDefault="004F3166" w:rsidP="00E9599A">
            <w:pPr>
              <w:pStyle w:val="Box"/>
            </w:pPr>
            <w:r w:rsidRPr="00C95687">
              <w:t xml:space="preserve">Urban centre response times are currently measured by the response times within each jurisdictions’ </w:t>
            </w:r>
            <w:r w:rsidRPr="002356C5">
              <w:rPr>
                <w:i/>
              </w:rPr>
              <w:t>capital city</w:t>
            </w:r>
            <w:r w:rsidRPr="00C95687">
              <w:t xml:space="preserve"> — boundaries based on the ABS Urban Centres Localities structure. Capital cities are Sydney, Melbourne, Brisbane, Perth, Adelaide, Hobart, Canberra and Darwin. </w:t>
            </w:r>
          </w:p>
          <w:p w:rsidR="004F3166" w:rsidRDefault="004F3166" w:rsidP="00E9599A">
            <w:pPr>
              <w:pStyle w:val="Box"/>
            </w:pPr>
            <w:r w:rsidRPr="00C95687">
              <w:t xml:space="preserve">Short or </w:t>
            </w:r>
            <w:r w:rsidR="007256E4">
              <w:t>decreasing</w:t>
            </w:r>
            <w:r w:rsidRPr="00C95687">
              <w:t xml:space="preserve"> response times suggest the adverse effects on patients and the community of emergencies requiring ambulance services are reduced. </w:t>
            </w:r>
          </w:p>
          <w:p w:rsidR="004F3166" w:rsidRPr="00C95687" w:rsidRDefault="004F3166" w:rsidP="004F3166">
            <w:pPr>
              <w:pStyle w:val="Box"/>
            </w:pPr>
            <w:r w:rsidRPr="00C95687">
              <w:t>Data reported for this measure are:</w:t>
            </w:r>
          </w:p>
          <w:p w:rsidR="004F3166" w:rsidRPr="00C95687" w:rsidRDefault="004F3166" w:rsidP="004F3166">
            <w:pPr>
              <w:pStyle w:val="BoxListBullet"/>
              <w:keepNext w:val="0"/>
            </w:pPr>
            <w:r w:rsidRPr="00C95687">
              <w:t>comparable (subject to caveats) within jurisdictions over time but are not comparable across jurisdictions</w:t>
            </w:r>
          </w:p>
          <w:p w:rsidR="004F3166" w:rsidRPr="00C95687" w:rsidRDefault="004F3166" w:rsidP="004F3166">
            <w:pPr>
              <w:pStyle w:val="BoxListBullet"/>
              <w:keepNext w:val="0"/>
            </w:pPr>
            <w:r>
              <w:t>complete (subject to caveats) for the current reporting period</w:t>
            </w:r>
            <w:r w:rsidRPr="00C95687">
              <w:t xml:space="preserve">. All required </w:t>
            </w:r>
            <w:r w:rsidR="00FA5D77">
              <w:t>2013</w:t>
            </w:r>
            <w:r w:rsidR="0026487F">
              <w:noBreakHyphen/>
            </w:r>
            <w:r w:rsidR="00FA5D77">
              <w:t>14</w:t>
            </w:r>
            <w:r w:rsidRPr="00C95687">
              <w:t xml:space="preserve"> data are available for all jurisdictions.</w:t>
            </w:r>
          </w:p>
          <w:p w:rsidR="004F3166" w:rsidRPr="0055723A" w:rsidRDefault="004F3166" w:rsidP="004F3166">
            <w:pPr>
              <w:pStyle w:val="Box"/>
            </w:pPr>
            <w:r w:rsidRPr="00C95687">
              <w:t>Data quality information for this indicator is under development.</w:t>
            </w:r>
          </w:p>
        </w:tc>
      </w:tr>
      <w:tr w:rsidR="004F3166" w:rsidTr="00E9599A">
        <w:trPr>
          <w:cantSplit/>
        </w:trPr>
        <w:tc>
          <w:tcPr>
            <w:tcW w:w="8771" w:type="dxa"/>
            <w:tcBorders>
              <w:top w:val="nil"/>
              <w:left w:val="nil"/>
              <w:bottom w:val="single" w:sz="6" w:space="0" w:color="78A22F"/>
              <w:right w:val="nil"/>
            </w:tcBorders>
            <w:shd w:val="clear" w:color="auto" w:fill="F2F2F2" w:themeFill="background1" w:themeFillShade="F2"/>
          </w:tcPr>
          <w:p w:rsidR="004F3166" w:rsidRDefault="004F3166">
            <w:pPr>
              <w:pStyle w:val="Box"/>
              <w:spacing w:before="0" w:line="120" w:lineRule="exact"/>
            </w:pPr>
          </w:p>
        </w:tc>
      </w:tr>
      <w:tr w:rsidR="004F3166" w:rsidRPr="000863A5" w:rsidTr="00E9599A">
        <w:tc>
          <w:tcPr>
            <w:tcW w:w="8771" w:type="dxa"/>
            <w:tcBorders>
              <w:top w:val="single" w:sz="6" w:space="0" w:color="78A22F"/>
              <w:left w:val="nil"/>
              <w:bottom w:val="nil"/>
              <w:right w:val="nil"/>
            </w:tcBorders>
          </w:tcPr>
          <w:p w:rsidR="004F3166" w:rsidRPr="00626D32" w:rsidRDefault="004F3166" w:rsidP="00E9599A">
            <w:pPr>
              <w:pStyle w:val="BoxSpaceBelow"/>
            </w:pPr>
          </w:p>
        </w:tc>
      </w:tr>
    </w:tbl>
    <w:p w:rsidR="00C95687" w:rsidRPr="00C95687" w:rsidRDefault="00C95687" w:rsidP="00C95687">
      <w:pPr>
        <w:pStyle w:val="BodyText"/>
      </w:pPr>
      <w:r w:rsidRPr="00C95687">
        <w:t xml:space="preserve">In </w:t>
      </w:r>
      <w:r w:rsidR="00FA5D77">
        <w:t>2013</w:t>
      </w:r>
      <w:r w:rsidR="0026487F">
        <w:noBreakHyphen/>
      </w:r>
      <w:r w:rsidR="00FA5D77">
        <w:t>14</w:t>
      </w:r>
      <w:r w:rsidRPr="00C95687">
        <w:t xml:space="preserve">, </w:t>
      </w:r>
      <w:r w:rsidR="006721D2" w:rsidRPr="00C95687">
        <w:t xml:space="preserve">the </w:t>
      </w:r>
      <w:r w:rsidRPr="00C95687">
        <w:t>time within which 90</w:t>
      </w:r>
      <w:r w:rsidR="003F4B59">
        <w:t xml:space="preserve"> </w:t>
      </w:r>
      <w:r w:rsidRPr="00C95687">
        <w:t>per</w:t>
      </w:r>
      <w:r w:rsidR="003F4B59">
        <w:t xml:space="preserve"> </w:t>
      </w:r>
      <w:r w:rsidRPr="00C95687">
        <w:t>cent of the capital city first responding ambulance resources arrived at the scene of an emergency in code 1 situations rang</w:t>
      </w:r>
      <w:r w:rsidR="00DD7BEE">
        <w:t>ed</w:t>
      </w:r>
      <w:r w:rsidRPr="00C95687">
        <w:t xml:space="preserve"> from </w:t>
      </w:r>
      <w:r w:rsidR="008C1F96">
        <w:t>12.9</w:t>
      </w:r>
      <w:r w:rsidRPr="00C95687">
        <w:t xml:space="preserve"> to </w:t>
      </w:r>
      <w:r w:rsidR="008C1F96">
        <w:t>19.8</w:t>
      </w:r>
      <w:r w:rsidRPr="00C95687">
        <w:t xml:space="preserve"> minutes across jurisdictions (figure</w:t>
      </w:r>
      <w:r w:rsidR="00D23D6E">
        <w:t> </w:t>
      </w:r>
      <w:r w:rsidR="00800D6F">
        <w:t>9.25</w:t>
      </w:r>
      <w:r w:rsidRPr="00C95687">
        <w:t xml:space="preserve">). </w:t>
      </w:r>
      <w:r w:rsidR="00DD7BEE">
        <w:t xml:space="preserve">The median (50th percentile) response times </w:t>
      </w:r>
      <w:r w:rsidR="006721D2" w:rsidRPr="00C95687">
        <w:t xml:space="preserve">ranged from </w:t>
      </w:r>
      <w:r w:rsidR="008C1F96">
        <w:t>8.2</w:t>
      </w:r>
      <w:r w:rsidR="006721D2" w:rsidRPr="00C95687">
        <w:t xml:space="preserve"> to </w:t>
      </w:r>
      <w:r w:rsidR="008C1F96">
        <w:t>10.8</w:t>
      </w:r>
      <w:r w:rsidR="006721D2" w:rsidRPr="00C95687">
        <w:t xml:space="preserve"> minutes (table </w:t>
      </w:r>
      <w:r w:rsidR="00B21412">
        <w:t>9A.44</w:t>
      </w:r>
      <w:r w:rsidR="006721D2" w:rsidRPr="00C95687">
        <w:t>).</w:t>
      </w:r>
    </w:p>
    <w:p w:rsidR="00F374FC" w:rsidRDefault="00F374FC" w:rsidP="00F374FC">
      <w:pPr>
        <w:pStyle w:val="BoxSpaceAbove"/>
      </w:pPr>
      <w:bookmarkStart w:id="83" w:name="_Toc343078127"/>
      <w:bookmarkStart w:id="84" w:name="_Toc343078580"/>
      <w:bookmarkStart w:id="85" w:name="_Toc343078624"/>
      <w:bookmarkStart w:id="86" w:name="_Toc343089215"/>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374FC" w:rsidTr="002E0D39">
        <w:tc>
          <w:tcPr>
            <w:tcW w:w="8771" w:type="dxa"/>
            <w:tcBorders>
              <w:top w:val="single" w:sz="6" w:space="0" w:color="78A22F"/>
              <w:left w:val="nil"/>
              <w:bottom w:val="nil"/>
              <w:right w:val="nil"/>
            </w:tcBorders>
            <w:shd w:val="clear" w:color="auto" w:fill="auto"/>
          </w:tcPr>
          <w:p w:rsidR="00F374FC" w:rsidRPr="00176D3F" w:rsidRDefault="00F374FC" w:rsidP="002E0D39">
            <w:pPr>
              <w:pStyle w:val="FigureTitle"/>
            </w:pPr>
            <w:r w:rsidRPr="00784A05">
              <w:rPr>
                <w:b w:val="0"/>
              </w:rPr>
              <w:t xml:space="preserve">Figure </w:t>
            </w:r>
            <w:bookmarkStart w:id="87" w:name="OLE_LINK45"/>
            <w:r w:rsidR="008C1F96">
              <w:rPr>
                <w:b w:val="0"/>
              </w:rPr>
              <w:t>9.</w:t>
            </w:r>
            <w:r w:rsidR="00D52162">
              <w:rPr>
                <w:b w:val="0"/>
                <w:noProof/>
              </w:rPr>
              <w:t>25</w:t>
            </w:r>
            <w:bookmarkEnd w:id="87"/>
            <w:r>
              <w:tab/>
            </w:r>
            <w:r w:rsidRPr="002605A8">
              <w:t>Ambulance response times, capital city, 90th percentile</w:t>
            </w:r>
            <w:r w:rsidRPr="002605A8">
              <w:rPr>
                <w:rStyle w:val="NoteLabel"/>
                <w:b/>
              </w:rPr>
              <w:t>a, b, c</w:t>
            </w:r>
          </w:p>
        </w:tc>
      </w:tr>
      <w:tr w:rsidR="00F374FC" w:rsidTr="002E0D39">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F374FC" w:rsidTr="00677D4D">
              <w:tc>
                <w:tcPr>
                  <w:tcW w:w="5000" w:type="pct"/>
                  <w:tcBorders>
                    <w:top w:val="nil"/>
                    <w:bottom w:val="nil"/>
                  </w:tcBorders>
                </w:tcPr>
                <w:p w:rsidR="00F374FC" w:rsidRDefault="00F82339" w:rsidP="002E0D39">
                  <w:pPr>
                    <w:pStyle w:val="Figure"/>
                    <w:spacing w:before="60" w:after="60"/>
                  </w:pPr>
                  <w:r>
                    <w:rPr>
                      <w:noProof/>
                    </w:rPr>
                    <w:drawing>
                      <wp:inline distT="0" distB="0" distL="0" distR="0">
                        <wp:extent cx="5405755" cy="2707640"/>
                        <wp:effectExtent l="0" t="0" r="4445" b="0"/>
                        <wp:docPr id="30" name="Picture 30" descr="Figure 9.25 Ambulance response times, capital city,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F374FC" w:rsidRDefault="00F374FC" w:rsidP="002E0D39">
            <w:pPr>
              <w:pStyle w:val="Figure"/>
            </w:pPr>
          </w:p>
        </w:tc>
      </w:tr>
      <w:tr w:rsidR="00F374FC" w:rsidRPr="00176D3F" w:rsidTr="002E0D39">
        <w:tc>
          <w:tcPr>
            <w:tcW w:w="8771" w:type="dxa"/>
            <w:tcBorders>
              <w:top w:val="nil"/>
              <w:left w:val="nil"/>
              <w:bottom w:val="nil"/>
              <w:right w:val="nil"/>
            </w:tcBorders>
            <w:shd w:val="clear" w:color="auto" w:fill="auto"/>
          </w:tcPr>
          <w:p w:rsidR="00F374FC" w:rsidRPr="00176D3F" w:rsidRDefault="00F374FC" w:rsidP="003F4B59">
            <w:pPr>
              <w:pStyle w:val="Note"/>
            </w:pPr>
            <w:r w:rsidRPr="00AA70BC">
              <w:rPr>
                <w:rStyle w:val="NoteLabel"/>
              </w:rPr>
              <w:t>a</w:t>
            </w:r>
            <w:r w:rsidRPr="00AA70BC">
              <w:t xml:space="preserve"> Response times commence from the following time points: NSW, Queensland and WA from transfer to dispatch; Victoria, SA, Tasmania and the ACT from the first key stroke; and, the NT from when a crew is dispatched.</w:t>
            </w:r>
            <w:r w:rsidRPr="002605A8">
              <w:t xml:space="preserve"> </w:t>
            </w:r>
            <w:r w:rsidRPr="002605A8">
              <w:rPr>
                <w:rStyle w:val="NoteLabel"/>
              </w:rPr>
              <w:t>b</w:t>
            </w:r>
            <w:r w:rsidRPr="002605A8">
              <w:t> Capital city response times are calculated using urban centre boundaries based on the ABS Urban Centres Localities structure. Response times for NSW and SA do not strictly adhere to the urban centre boundaries.</w:t>
            </w:r>
            <w:r w:rsidRPr="002605A8" w:rsidDel="00CD47B6">
              <w:t xml:space="preserve"> </w:t>
            </w:r>
            <w:r w:rsidRPr="002605A8">
              <w:rPr>
                <w:rStyle w:val="NoteLabel"/>
              </w:rPr>
              <w:t>c</w:t>
            </w:r>
            <w:r w:rsidRPr="002605A8">
              <w:t xml:space="preserve"> Qld: Casualty room attendances are not included in response count and, therefore, are not reflected in response times data. </w:t>
            </w:r>
          </w:p>
        </w:tc>
      </w:tr>
      <w:tr w:rsidR="00F374FC" w:rsidRPr="00176D3F" w:rsidTr="002E0D39">
        <w:tc>
          <w:tcPr>
            <w:tcW w:w="8771" w:type="dxa"/>
            <w:tcBorders>
              <w:top w:val="nil"/>
              <w:left w:val="nil"/>
              <w:bottom w:val="nil"/>
              <w:right w:val="nil"/>
            </w:tcBorders>
            <w:shd w:val="clear" w:color="auto" w:fill="auto"/>
          </w:tcPr>
          <w:p w:rsidR="00F374FC" w:rsidRPr="00176D3F" w:rsidRDefault="00F374FC" w:rsidP="002E0D39">
            <w:pPr>
              <w:pStyle w:val="Source"/>
            </w:pPr>
            <w:r w:rsidRPr="002605A8">
              <w:rPr>
                <w:i/>
              </w:rPr>
              <w:t>Source</w:t>
            </w:r>
            <w:r w:rsidRPr="002605A8">
              <w:t xml:space="preserve">: ABS (2008 and unpublished) </w:t>
            </w:r>
            <w:r w:rsidRPr="002605A8">
              <w:rPr>
                <w:i/>
              </w:rPr>
              <w:t>Statistical Geography: Volume 3 — Australian Standard Geographical Classification (ASGC) Urban Centres Localities, 2006,</w:t>
            </w:r>
            <w:r w:rsidRPr="002605A8">
              <w:t xml:space="preserve"> Cat. no. 2909.0, Canberra; State and Territory governments (unpublished); table </w:t>
            </w:r>
            <w:r>
              <w:t>9A.44</w:t>
            </w:r>
            <w:r w:rsidRPr="002605A8">
              <w:t>.</w:t>
            </w:r>
          </w:p>
        </w:tc>
      </w:tr>
      <w:tr w:rsidR="00F374FC" w:rsidTr="002E0D39">
        <w:tc>
          <w:tcPr>
            <w:tcW w:w="8771" w:type="dxa"/>
            <w:tcBorders>
              <w:top w:val="nil"/>
              <w:left w:val="nil"/>
              <w:bottom w:val="single" w:sz="6" w:space="0" w:color="78A22F"/>
              <w:right w:val="nil"/>
            </w:tcBorders>
            <w:shd w:val="clear" w:color="auto" w:fill="auto"/>
          </w:tcPr>
          <w:p w:rsidR="00F374FC" w:rsidRDefault="00F374FC" w:rsidP="002E0D39">
            <w:pPr>
              <w:pStyle w:val="Figurespace"/>
            </w:pPr>
          </w:p>
        </w:tc>
      </w:tr>
      <w:tr w:rsidR="00F374FC" w:rsidRPr="000863A5" w:rsidTr="002E0D39">
        <w:tc>
          <w:tcPr>
            <w:tcW w:w="8771" w:type="dxa"/>
            <w:tcBorders>
              <w:top w:val="single" w:sz="6" w:space="0" w:color="78A22F"/>
              <w:left w:val="nil"/>
              <w:bottom w:val="nil"/>
              <w:right w:val="nil"/>
            </w:tcBorders>
          </w:tcPr>
          <w:p w:rsidR="00F374FC" w:rsidRPr="00626D32" w:rsidRDefault="00F374FC" w:rsidP="002E0D39">
            <w:pPr>
              <w:pStyle w:val="BoxSpaceBelow"/>
            </w:pPr>
          </w:p>
        </w:tc>
      </w:tr>
    </w:tbl>
    <w:p w:rsidR="00D8588F" w:rsidRPr="00C95687" w:rsidRDefault="00D8588F" w:rsidP="00D8588F">
      <w:pPr>
        <w:pStyle w:val="BodyText"/>
      </w:pPr>
      <w:r w:rsidRPr="00C95687">
        <w:t xml:space="preserve">Differences across jurisdictions in the </w:t>
      </w:r>
      <w:r>
        <w:t>geography and personnel mix can</w:t>
      </w:r>
      <w:r w:rsidRPr="00C95687">
        <w:t xml:space="preserve"> affect </w:t>
      </w:r>
      <w:r>
        <w:t xml:space="preserve">capital city </w:t>
      </w:r>
      <w:r w:rsidRPr="00C95687">
        <w:t xml:space="preserve">response times data. </w:t>
      </w:r>
      <w:r>
        <w:t xml:space="preserve">Factors that </w:t>
      </w:r>
      <w:r w:rsidRPr="00C95687">
        <w:t xml:space="preserve">can impact on </w:t>
      </w:r>
      <w:r w:rsidR="002356C5">
        <w:t xml:space="preserve">capital city </w:t>
      </w:r>
      <w:r w:rsidRPr="00C95687">
        <w:t>response time performance</w:t>
      </w:r>
      <w:r>
        <w:t xml:space="preserve"> include:</w:t>
      </w:r>
    </w:p>
    <w:p w:rsidR="00D8588F" w:rsidRPr="00C95687" w:rsidRDefault="00D8588F" w:rsidP="00D8588F">
      <w:pPr>
        <w:pStyle w:val="ListBullet"/>
      </w:pPr>
      <w:r w:rsidRPr="00C95687">
        <w:t>land area, and population size and density</w:t>
      </w:r>
      <w:r>
        <w:t>, which varies considerably</w:t>
      </w:r>
      <w:r w:rsidRPr="00C95687">
        <w:t xml:space="preserve"> across Australian capital cities </w:t>
      </w:r>
    </w:p>
    <w:p w:rsidR="00D8588F" w:rsidRPr="00C95687" w:rsidRDefault="00D8588F" w:rsidP="00D8588F">
      <w:pPr>
        <w:pStyle w:val="ListBullet"/>
      </w:pPr>
      <w:r>
        <w:t>capital city</w:t>
      </w:r>
      <w:r w:rsidRPr="00C95687">
        <w:t xml:space="preserve"> topography, road/transport infrastructure and traffic densities</w:t>
      </w:r>
    </w:p>
    <w:p w:rsidR="00D8588F" w:rsidRDefault="00D8588F" w:rsidP="00D8588F">
      <w:pPr>
        <w:pStyle w:val="ListBullet"/>
      </w:pPr>
      <w:r w:rsidRPr="00C95687">
        <w:t>crewing configurations, response systems and processes, and travel distances.</w:t>
      </w:r>
    </w:p>
    <w:bookmarkEnd w:id="83"/>
    <w:bookmarkEnd w:id="84"/>
    <w:bookmarkEnd w:id="85"/>
    <w:bookmarkEnd w:id="86"/>
    <w:p w:rsidR="00F374FC" w:rsidRDefault="00164519" w:rsidP="00D23283">
      <w:pPr>
        <w:pStyle w:val="BodyText"/>
      </w:pPr>
      <w:r>
        <w:t>Since 2009</w:t>
      </w:r>
      <w:r w:rsidR="0026487F">
        <w:noBreakHyphen/>
      </w:r>
      <w:r>
        <w:t xml:space="preserve">10, the ACT has implemented a range of strategies </w:t>
      </w:r>
      <w:r w:rsidR="00F374FC">
        <w:t>targeted at:</w:t>
      </w:r>
    </w:p>
    <w:p w:rsidR="00F374FC" w:rsidRDefault="007F3F9F" w:rsidP="00F374FC">
      <w:pPr>
        <w:pStyle w:val="ListBullet"/>
      </w:pPr>
      <w:r w:rsidRPr="007F3F9F">
        <w:t>the effective management of demand for ambulance services</w:t>
      </w:r>
    </w:p>
    <w:p w:rsidR="00F374FC" w:rsidRDefault="007F3F9F" w:rsidP="00F374FC">
      <w:pPr>
        <w:pStyle w:val="ListBullet"/>
      </w:pPr>
      <w:r w:rsidRPr="007F3F9F">
        <w:t>improved response time to priority one cases</w:t>
      </w:r>
    </w:p>
    <w:p w:rsidR="003B6368" w:rsidRDefault="007F3F9F" w:rsidP="00F374FC">
      <w:pPr>
        <w:pStyle w:val="ListBullet"/>
      </w:pPr>
      <w:r w:rsidRPr="007F3F9F">
        <w:t xml:space="preserve">appropriate triage of demand </w:t>
      </w:r>
    </w:p>
    <w:p w:rsidR="00D23283" w:rsidRDefault="007F3F9F" w:rsidP="00446594">
      <w:pPr>
        <w:pStyle w:val="ListBullet"/>
      </w:pPr>
      <w:r w:rsidRPr="007F3F9F">
        <w:t>provision of the right care to the right patient.</w:t>
      </w:r>
      <w:r w:rsidR="007C019D">
        <w:t xml:space="preserve"> (box </w:t>
      </w:r>
      <w:r w:rsidR="00800D6F">
        <w:t>9.19</w:t>
      </w:r>
      <w:r w:rsidR="007C019D">
        <w:t>)</w:t>
      </w:r>
      <w:r w:rsidR="007C019D" w:rsidRPr="007C019D">
        <w:t>.</w:t>
      </w:r>
    </w:p>
    <w:p w:rsidR="007C019D" w:rsidRDefault="007C019D" w:rsidP="0044659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C019D" w:rsidTr="00935D78">
        <w:tc>
          <w:tcPr>
            <w:tcW w:w="8771" w:type="dxa"/>
            <w:tcBorders>
              <w:top w:val="single" w:sz="6" w:space="0" w:color="78A22F"/>
              <w:left w:val="nil"/>
              <w:bottom w:val="nil"/>
              <w:right w:val="nil"/>
            </w:tcBorders>
            <w:shd w:val="clear" w:color="auto" w:fill="F2F2F2"/>
          </w:tcPr>
          <w:p w:rsidR="007C019D" w:rsidRDefault="007C019D" w:rsidP="00446594">
            <w:pPr>
              <w:pStyle w:val="BoxTitle"/>
            </w:pPr>
            <w:r>
              <w:rPr>
                <w:b w:val="0"/>
              </w:rPr>
              <w:t xml:space="preserve">Box </w:t>
            </w:r>
            <w:bookmarkStart w:id="88" w:name="OLE_LINK70"/>
            <w:r w:rsidR="008C1F96">
              <w:rPr>
                <w:b w:val="0"/>
              </w:rPr>
              <w:t>9.</w:t>
            </w:r>
            <w:r w:rsidR="00D52162">
              <w:rPr>
                <w:b w:val="0"/>
                <w:noProof/>
              </w:rPr>
              <w:t>19</w:t>
            </w:r>
            <w:bookmarkEnd w:id="88"/>
            <w:r>
              <w:tab/>
              <w:t>Mini</w:t>
            </w:r>
            <w:r w:rsidR="0026487F">
              <w:noBreakHyphen/>
            </w:r>
            <w:r>
              <w:t xml:space="preserve">case study: </w:t>
            </w:r>
            <w:r w:rsidRPr="007C019D">
              <w:t xml:space="preserve">Improving ambulance </w:t>
            </w:r>
            <w:r w:rsidR="00237D41">
              <w:t>c</w:t>
            </w:r>
            <w:r w:rsidR="00430912">
              <w:t>ode</w:t>
            </w:r>
            <w:r w:rsidR="00237D41">
              <w:t> 1</w:t>
            </w:r>
            <w:r w:rsidR="00430912">
              <w:t xml:space="preserve"> </w:t>
            </w:r>
            <w:r w:rsidRPr="007C019D">
              <w:t>response times</w:t>
            </w:r>
            <w:r>
              <w:t xml:space="preserve"> in the ACT</w:t>
            </w:r>
          </w:p>
        </w:tc>
      </w:tr>
      <w:tr w:rsidR="007C019D" w:rsidTr="00935D78">
        <w:tc>
          <w:tcPr>
            <w:tcW w:w="8771" w:type="dxa"/>
            <w:tcBorders>
              <w:top w:val="nil"/>
              <w:left w:val="nil"/>
              <w:bottom w:val="nil"/>
              <w:right w:val="nil"/>
            </w:tcBorders>
            <w:shd w:val="clear" w:color="auto" w:fill="F2F2F2"/>
          </w:tcPr>
          <w:p w:rsidR="00935D78" w:rsidRDefault="00935D78" w:rsidP="00446594">
            <w:pPr>
              <w:pStyle w:val="Box"/>
            </w:pPr>
            <w:r w:rsidRPr="00BF598A">
              <w:t xml:space="preserve">In the </w:t>
            </w:r>
            <w:r>
              <w:t>four</w:t>
            </w:r>
            <w:r w:rsidRPr="00BF598A">
              <w:t xml:space="preserve"> years to 30</w:t>
            </w:r>
            <w:r w:rsidR="0026487F">
              <w:t> </w:t>
            </w:r>
            <w:r w:rsidRPr="00BF598A">
              <w:t>June 2009</w:t>
            </w:r>
            <w:r w:rsidR="005B3C99">
              <w:t>,</w:t>
            </w:r>
            <w:r w:rsidRPr="00BF598A">
              <w:t xml:space="preserve"> the </w:t>
            </w:r>
            <w:r>
              <w:t xml:space="preserve">ACT Ambulance Service (ACTAS) </w:t>
            </w:r>
            <w:r w:rsidRPr="00BF598A">
              <w:t xml:space="preserve">experienced declining </w:t>
            </w:r>
            <w:r w:rsidR="00237D41">
              <w:t>c</w:t>
            </w:r>
            <w:r w:rsidRPr="00BF598A">
              <w:t>ode</w:t>
            </w:r>
            <w:r w:rsidR="00237D41">
              <w:t> </w:t>
            </w:r>
            <w:r w:rsidRPr="00BF598A">
              <w:t>1 response times. A key contributor to the declining response times was the management of demand for services.</w:t>
            </w:r>
          </w:p>
          <w:p w:rsidR="00935D78" w:rsidRPr="00C53E83" w:rsidRDefault="00935D78" w:rsidP="00446594">
            <w:pPr>
              <w:pStyle w:val="Box"/>
            </w:pPr>
            <w:r>
              <w:t>I</w:t>
            </w:r>
            <w:r w:rsidRPr="00C53E83">
              <w:t>n the 2009 Report on</w:t>
            </w:r>
            <w:r w:rsidR="00237D41">
              <w:t xml:space="preserve"> </w:t>
            </w:r>
            <w:r w:rsidR="00237D41" w:rsidRPr="003346A6">
              <w:rPr>
                <w:i/>
              </w:rPr>
              <w:t>Delivery of ambulance services to the ACT Community</w:t>
            </w:r>
            <w:r>
              <w:t xml:space="preserve">, the </w:t>
            </w:r>
            <w:r w:rsidRPr="00C53E83">
              <w:t xml:space="preserve">ACT Auditor General </w:t>
            </w:r>
            <w:r>
              <w:t>found</w:t>
            </w:r>
            <w:r w:rsidRPr="00C53E83">
              <w:t>:</w:t>
            </w:r>
          </w:p>
          <w:p w:rsidR="00935D78" w:rsidRPr="00C53E83" w:rsidRDefault="00935D78" w:rsidP="00446594">
            <w:pPr>
              <w:pStyle w:val="BoxListBullet"/>
            </w:pPr>
            <w:r w:rsidRPr="00C53E83">
              <w:t>demand for emergency ambulance attendance ha</w:t>
            </w:r>
            <w:r w:rsidR="00BD4743">
              <w:t>d</w:t>
            </w:r>
            <w:r w:rsidRPr="00C53E83">
              <w:t xml:space="preserve"> increased by 68 per cent between 2000</w:t>
            </w:r>
            <w:r>
              <w:noBreakHyphen/>
            </w:r>
            <w:r w:rsidRPr="00C53E83">
              <w:t>01 and 2007</w:t>
            </w:r>
            <w:r w:rsidR="0026487F">
              <w:noBreakHyphen/>
            </w:r>
            <w:r w:rsidRPr="00C53E83">
              <w:t>08. ACTAS ha</w:t>
            </w:r>
            <w:r w:rsidR="00BD4743">
              <w:t>d</w:t>
            </w:r>
            <w:r w:rsidRPr="00C53E83">
              <w:t xml:space="preserve"> managed demand periods by reprioritising emergency responses and to a lesser extent, by dispatching non</w:t>
            </w:r>
            <w:r w:rsidR="0026487F">
              <w:noBreakHyphen/>
            </w:r>
            <w:r w:rsidR="006A6984" w:rsidRPr="00C53E83">
              <w:t xml:space="preserve">Intensive Care Paramedic </w:t>
            </w:r>
            <w:r w:rsidRPr="00C53E83">
              <w:t>ambulance and fire brigade crews</w:t>
            </w:r>
            <w:r w:rsidR="005B3C99">
              <w:t>,</w:t>
            </w:r>
            <w:r w:rsidRPr="00C53E83">
              <w:t xml:space="preserve"> and using single response units (non</w:t>
            </w:r>
            <w:r w:rsidR="0026487F">
              <w:noBreakHyphen/>
            </w:r>
            <w:r w:rsidRPr="00C53E83">
              <w:t xml:space="preserve">stretcher vehicles crewed by a single </w:t>
            </w:r>
            <w:r w:rsidR="006A6984" w:rsidRPr="00C53E83">
              <w:t>Intensive Care Paramedic</w:t>
            </w:r>
            <w:r w:rsidRPr="00C53E83">
              <w:t xml:space="preserve">) as emergency response measures. Accordingly, some patients </w:t>
            </w:r>
            <w:r w:rsidR="00BD4743">
              <w:t>had</w:t>
            </w:r>
            <w:r w:rsidRPr="00C53E83">
              <w:t xml:space="preserve"> possibly not receiv</w:t>
            </w:r>
            <w:r w:rsidR="00BD4743">
              <w:t>ed</w:t>
            </w:r>
            <w:r w:rsidRPr="00C53E83">
              <w:t xml:space="preserve"> the level of care that could be provid</w:t>
            </w:r>
            <w:r>
              <w:t xml:space="preserve">ed by an </w:t>
            </w:r>
            <w:r w:rsidR="006A6984">
              <w:t>Intensive</w:t>
            </w:r>
            <w:r w:rsidR="006A6984" w:rsidRPr="00C53E83">
              <w:t xml:space="preserve"> Care Paramedic</w:t>
            </w:r>
            <w:r w:rsidR="006A6984">
              <w:t xml:space="preserve"> </w:t>
            </w:r>
            <w:r>
              <w:t>in a timely manner</w:t>
            </w:r>
          </w:p>
          <w:p w:rsidR="00935D78" w:rsidRPr="00C53E83" w:rsidRDefault="00935D78" w:rsidP="00446594">
            <w:pPr>
              <w:pStyle w:val="BoxListBullet"/>
            </w:pPr>
            <w:r w:rsidRPr="00C53E83">
              <w:t>response times to emergency incidents ha</w:t>
            </w:r>
            <w:r w:rsidR="00BD4743">
              <w:t>d</w:t>
            </w:r>
            <w:r w:rsidRPr="00C53E83">
              <w:t xml:space="preserve"> worsened in recent years and ha</w:t>
            </w:r>
            <w:r w:rsidR="00BD4743">
              <w:t>d</w:t>
            </w:r>
            <w:r w:rsidRPr="00C53E83">
              <w:t xml:space="preserve"> not met targets set by </w:t>
            </w:r>
            <w:r w:rsidR="00DC4E38">
              <w:t>the ACT G</w:t>
            </w:r>
            <w:r w:rsidR="00DC4E38" w:rsidRPr="00C53E83">
              <w:t>overnment</w:t>
            </w:r>
            <w:r w:rsidRPr="00C53E83">
              <w:t>, leading to higher risks of adverse patient outcomes, especially in life</w:t>
            </w:r>
            <w:r>
              <w:noBreakHyphen/>
            </w:r>
            <w:r w:rsidR="00BD4743">
              <w:t>threatening incidents</w:t>
            </w:r>
          </w:p>
          <w:p w:rsidR="00935D78" w:rsidRPr="00C53E83" w:rsidRDefault="00935D78" w:rsidP="00446594">
            <w:pPr>
              <w:pStyle w:val="BoxListBullet"/>
            </w:pPr>
            <w:r w:rsidRPr="00C53E83">
              <w:t xml:space="preserve">a number of factors drive demand. However, ACTAS </w:t>
            </w:r>
            <w:r w:rsidR="00BD4743">
              <w:t>had</w:t>
            </w:r>
            <w:r w:rsidRPr="00C53E83">
              <w:t xml:space="preserve"> yet to determine what demand driver data it w</w:t>
            </w:r>
            <w:r w:rsidR="00BD4743">
              <w:t>ould</w:t>
            </w:r>
            <w:r w:rsidRPr="00C53E83">
              <w:t xml:space="preserve"> collect and analyse in order to estimate and plan for future demand</w:t>
            </w:r>
            <w:r>
              <w:t xml:space="preserve">  (ACTAGO 2009)</w:t>
            </w:r>
            <w:r w:rsidRPr="00C53E83">
              <w:t>.</w:t>
            </w:r>
          </w:p>
          <w:p w:rsidR="00935D78" w:rsidRDefault="00935D78" w:rsidP="00446594">
            <w:pPr>
              <w:pStyle w:val="Box"/>
            </w:pPr>
            <w:r w:rsidRPr="00C53E83">
              <w:t xml:space="preserve">An </w:t>
            </w:r>
            <w:r w:rsidRPr="00804395">
              <w:t>independent</w:t>
            </w:r>
            <w:r w:rsidRPr="00C53E83">
              <w:t xml:space="preserve"> review (Lennox 2010) identified </w:t>
            </w:r>
            <w:r w:rsidRPr="00BF598A">
              <w:t>that ACTAS</w:t>
            </w:r>
            <w:r>
              <w:t xml:space="preserve"> </w:t>
            </w:r>
            <w:r w:rsidR="00BD4743">
              <w:t xml:space="preserve">faced </w:t>
            </w:r>
            <w:r w:rsidRPr="00C53E83">
              <w:t xml:space="preserve">a number of challenges in providing high quality and safe clinical care to </w:t>
            </w:r>
            <w:r w:rsidRPr="00BF598A">
              <w:t>every</w:t>
            </w:r>
            <w:r w:rsidRPr="00C53E83">
              <w:t xml:space="preserve"> emergency in a timely manner. One reason provided for this was escalating demand </w:t>
            </w:r>
            <w:r>
              <w:t xml:space="preserve">for ambulance services </w:t>
            </w:r>
            <w:r w:rsidRPr="00C53E83">
              <w:t xml:space="preserve">and </w:t>
            </w:r>
            <w:r w:rsidR="00BD4743">
              <w:t>the</w:t>
            </w:r>
            <w:r w:rsidRPr="00C53E83">
              <w:t xml:space="preserve"> impact </w:t>
            </w:r>
            <w:r w:rsidR="00BD4743">
              <w:t xml:space="preserve">of that demand </w:t>
            </w:r>
            <w:r w:rsidRPr="00C53E83">
              <w:t>on response capacity</w:t>
            </w:r>
            <w:r>
              <w:t>.</w:t>
            </w:r>
          </w:p>
          <w:p w:rsidR="00935D78" w:rsidRDefault="00935D78" w:rsidP="00446594">
            <w:pPr>
              <w:pStyle w:val="BoxHeading1"/>
              <w:rPr>
                <w:szCs w:val="24"/>
              </w:rPr>
            </w:pPr>
            <w:r>
              <w:t>Responses to the findings</w:t>
            </w:r>
          </w:p>
          <w:p w:rsidR="00935D78" w:rsidRDefault="00935D78" w:rsidP="00446594">
            <w:pPr>
              <w:pStyle w:val="Box"/>
            </w:pPr>
            <w:r w:rsidRPr="00BF598A">
              <w:t xml:space="preserve">To address </w:t>
            </w:r>
            <w:r>
              <w:t>worsen</w:t>
            </w:r>
            <w:r w:rsidRPr="00BF598A">
              <w:t>ing response times, ACT</w:t>
            </w:r>
            <w:r>
              <w:t>AS</w:t>
            </w:r>
            <w:r w:rsidRPr="00BF598A">
              <w:t xml:space="preserve">, with support from </w:t>
            </w:r>
            <w:r w:rsidR="00BD4743">
              <w:t xml:space="preserve">the ACT </w:t>
            </w:r>
            <w:r w:rsidRPr="00BF598A">
              <w:t>Government, implemented a range of short and long term strategies targeted at</w:t>
            </w:r>
            <w:r>
              <w:t>:</w:t>
            </w:r>
            <w:r w:rsidRPr="00BF598A">
              <w:t xml:space="preserve"> the effective management of demand for ambulance services</w:t>
            </w:r>
            <w:r>
              <w:t>;</w:t>
            </w:r>
            <w:r w:rsidRPr="00BF598A">
              <w:t xml:space="preserve"> improved response time to priority one cases</w:t>
            </w:r>
            <w:r>
              <w:t>;</w:t>
            </w:r>
            <w:r w:rsidRPr="00BF598A">
              <w:t xml:space="preserve"> appropriate triage of demand</w:t>
            </w:r>
            <w:r>
              <w:t xml:space="preserve"> and </w:t>
            </w:r>
            <w:r w:rsidRPr="00BF598A">
              <w:t xml:space="preserve">provision of </w:t>
            </w:r>
            <w:r>
              <w:t>appropriate care</w:t>
            </w:r>
            <w:r w:rsidRPr="00BF598A">
              <w:t xml:space="preserve"> </w:t>
            </w:r>
            <w:r>
              <w:t xml:space="preserve">for each patient; </w:t>
            </w:r>
            <w:r w:rsidRPr="00BF598A">
              <w:t>and significant improvements in quality assurance.</w:t>
            </w:r>
          </w:p>
          <w:p w:rsidR="00935D78" w:rsidRDefault="00935D78" w:rsidP="00446594">
            <w:pPr>
              <w:pStyle w:val="BoxHeading2"/>
            </w:pPr>
            <w:r>
              <w:t>Ambulance crewing</w:t>
            </w:r>
          </w:p>
          <w:p w:rsidR="00935D78" w:rsidRPr="00C53E83" w:rsidRDefault="00935D78" w:rsidP="00446594">
            <w:pPr>
              <w:pStyle w:val="Box"/>
              <w:rPr>
                <w:i/>
              </w:rPr>
            </w:pPr>
            <w:r w:rsidRPr="00C53E83">
              <w:t>In 2009, ACT</w:t>
            </w:r>
            <w:r>
              <w:t>AS</w:t>
            </w:r>
            <w:r w:rsidRPr="00C53E83">
              <w:t>, in collaboration with industrial representatives</w:t>
            </w:r>
            <w:r>
              <w:t>,</w:t>
            </w:r>
            <w:r w:rsidRPr="00C53E83">
              <w:t xml:space="preserve"> successfully introduced demand modelled shifts </w:t>
            </w:r>
            <w:r>
              <w:t>to</w:t>
            </w:r>
            <w:r w:rsidRPr="00C53E83">
              <w:t xml:space="preserve"> ensure </w:t>
            </w:r>
            <w:r w:rsidR="00BD4743">
              <w:t xml:space="preserve">that </w:t>
            </w:r>
            <w:r w:rsidRPr="00C53E83">
              <w:t xml:space="preserve">maximum crewing levels </w:t>
            </w:r>
            <w:r w:rsidR="00BD4743">
              <w:t xml:space="preserve">would be </w:t>
            </w:r>
            <w:r w:rsidRPr="00C53E83">
              <w:t xml:space="preserve">maintained during periods of peak community demand for services. </w:t>
            </w:r>
          </w:p>
          <w:p w:rsidR="007F3F9F" w:rsidRDefault="00935D78" w:rsidP="00446594">
            <w:pPr>
              <w:pStyle w:val="Box"/>
            </w:pPr>
            <w:r>
              <w:t>I</w:t>
            </w:r>
            <w:r w:rsidRPr="009248ED">
              <w:t xml:space="preserve">ndependent modelling </w:t>
            </w:r>
            <w:r>
              <w:t xml:space="preserve">indicated </w:t>
            </w:r>
            <w:r w:rsidRPr="009248ED">
              <w:t>that frontline resourcing of ACT</w:t>
            </w:r>
            <w:r>
              <w:t>AS</w:t>
            </w:r>
            <w:r w:rsidRPr="009248ED">
              <w:t xml:space="preserve"> was insufficient to meet existing and projected </w:t>
            </w:r>
            <w:r w:rsidR="00BD4743" w:rsidRPr="009248ED">
              <w:t xml:space="preserve">future </w:t>
            </w:r>
            <w:r w:rsidRPr="009248ED">
              <w:t>community demand. The modelling suggested that three additional 24x7 crews were necessary to meet community demand and deliver</w:t>
            </w:r>
            <w:r w:rsidR="00237D41">
              <w:t xml:space="preserve"> code 1 </w:t>
            </w:r>
            <w:r w:rsidRPr="009248ED">
              <w:t>services in an acceptable timeframe. During 2011</w:t>
            </w:r>
            <w:r w:rsidR="0026487F">
              <w:noBreakHyphen/>
            </w:r>
            <w:r w:rsidRPr="009248ED">
              <w:t>12 and 2012</w:t>
            </w:r>
            <w:r w:rsidR="0026487F">
              <w:noBreakHyphen/>
            </w:r>
            <w:r w:rsidRPr="009248ED">
              <w:t>13</w:t>
            </w:r>
            <w:r w:rsidR="00BD4743">
              <w:t>,</w:t>
            </w:r>
            <w:r w:rsidRPr="009248ED">
              <w:t xml:space="preserve"> ACT</w:t>
            </w:r>
            <w:r>
              <w:t xml:space="preserve">AS </w:t>
            </w:r>
            <w:r w:rsidRPr="009248ED">
              <w:t>introduced an additional 51</w:t>
            </w:r>
            <w:r w:rsidR="00DC4E38">
              <w:t> </w:t>
            </w:r>
            <w:r w:rsidRPr="009248ED">
              <w:t>personnel</w:t>
            </w:r>
            <w:r w:rsidR="00BD4743">
              <w:t>,</w:t>
            </w:r>
            <w:r w:rsidRPr="009248ED">
              <w:t xml:space="preserve"> of wh</w:t>
            </w:r>
            <w:r>
              <w:t>om</w:t>
            </w:r>
            <w:r w:rsidRPr="009248ED">
              <w:t xml:space="preserve"> 45 were dedicated to front line operations.</w:t>
            </w:r>
          </w:p>
          <w:p w:rsidR="00BD4743" w:rsidRDefault="00BD4743" w:rsidP="00446594">
            <w:pPr>
              <w:pStyle w:val="Box"/>
            </w:pPr>
          </w:p>
        </w:tc>
      </w:tr>
      <w:tr w:rsidR="003C5E4B" w:rsidTr="00935D78">
        <w:tc>
          <w:tcPr>
            <w:tcW w:w="8771" w:type="dxa"/>
            <w:tcBorders>
              <w:top w:val="nil"/>
              <w:left w:val="nil"/>
              <w:bottom w:val="nil"/>
              <w:right w:val="nil"/>
            </w:tcBorders>
            <w:shd w:val="clear" w:color="auto" w:fill="F2F2F2"/>
          </w:tcPr>
          <w:p w:rsidR="003C5E4B" w:rsidRPr="003C5E4B" w:rsidRDefault="003C5E4B" w:rsidP="00446594">
            <w:pPr>
              <w:pStyle w:val="Continued"/>
            </w:pPr>
            <w:r w:rsidRPr="003C5E4B">
              <w:t>Continued next page</w:t>
            </w:r>
          </w:p>
        </w:tc>
      </w:tr>
      <w:tr w:rsidR="00134024" w:rsidTr="004A1D33">
        <w:tc>
          <w:tcPr>
            <w:tcW w:w="8771" w:type="dxa"/>
            <w:tcBorders>
              <w:top w:val="nil"/>
              <w:left w:val="nil"/>
              <w:bottom w:val="single" w:sz="6" w:space="0" w:color="78A22F"/>
              <w:right w:val="nil"/>
            </w:tcBorders>
            <w:shd w:val="clear" w:color="auto" w:fill="F2F2F2"/>
          </w:tcPr>
          <w:p w:rsidR="00134024" w:rsidRDefault="00134024" w:rsidP="004A1D33">
            <w:pPr>
              <w:pStyle w:val="Box"/>
              <w:spacing w:before="0" w:line="120" w:lineRule="exact"/>
            </w:pPr>
          </w:p>
        </w:tc>
      </w:tr>
      <w:tr w:rsidR="003C5E4B" w:rsidRPr="000863A5" w:rsidTr="00446594">
        <w:tc>
          <w:tcPr>
            <w:tcW w:w="8771" w:type="dxa"/>
            <w:tcBorders>
              <w:top w:val="nil"/>
              <w:left w:val="nil"/>
              <w:bottom w:val="nil"/>
              <w:right w:val="nil"/>
            </w:tcBorders>
            <w:shd w:val="clear" w:color="auto" w:fill="auto"/>
          </w:tcPr>
          <w:p w:rsidR="003C5E4B" w:rsidRPr="00626D32" w:rsidRDefault="003C5E4B" w:rsidP="00446594">
            <w:pPr>
              <w:pStyle w:val="BoxSpaceBelow"/>
            </w:pPr>
          </w:p>
        </w:tc>
      </w:tr>
    </w:tbl>
    <w:p w:rsidR="003C5E4B" w:rsidRDefault="003C5E4B" w:rsidP="0044659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E4B" w:rsidTr="00DD14B6">
        <w:tc>
          <w:tcPr>
            <w:tcW w:w="8771" w:type="dxa"/>
            <w:tcBorders>
              <w:top w:val="single" w:sz="6" w:space="0" w:color="78A22F"/>
              <w:left w:val="nil"/>
              <w:bottom w:val="nil"/>
              <w:right w:val="nil"/>
            </w:tcBorders>
            <w:shd w:val="clear" w:color="auto" w:fill="F2F2F2"/>
          </w:tcPr>
          <w:p w:rsidR="003C5E4B" w:rsidRPr="003C5E4B" w:rsidRDefault="003C5E4B" w:rsidP="00446594">
            <w:pPr>
              <w:pStyle w:val="BoxTitle"/>
              <w:rPr>
                <w:sz w:val="18"/>
              </w:rPr>
            </w:pPr>
            <w:r>
              <w:rPr>
                <w:b w:val="0"/>
              </w:rPr>
              <w:t xml:space="preserve">Box </w:t>
            </w:r>
            <w:r w:rsidR="00800D6F" w:rsidRPr="00800D6F">
              <w:rPr>
                <w:b w:val="0"/>
              </w:rPr>
              <w:t>9.19</w:t>
            </w:r>
            <w:r>
              <w:tab/>
            </w:r>
            <w:r>
              <w:rPr>
                <w:sz w:val="18"/>
              </w:rPr>
              <w:t>continued</w:t>
            </w:r>
          </w:p>
        </w:tc>
      </w:tr>
      <w:tr w:rsidR="003C5E4B" w:rsidTr="003C5E4B">
        <w:tc>
          <w:tcPr>
            <w:tcW w:w="8771" w:type="dxa"/>
            <w:tcBorders>
              <w:top w:val="nil"/>
              <w:left w:val="nil"/>
              <w:bottom w:val="nil"/>
              <w:right w:val="nil"/>
            </w:tcBorders>
            <w:shd w:val="clear" w:color="auto" w:fill="F2F2F2"/>
          </w:tcPr>
          <w:p w:rsidR="003C5E4B" w:rsidRDefault="00935D78" w:rsidP="00446594">
            <w:pPr>
              <w:pStyle w:val="Box"/>
            </w:pPr>
            <w:r w:rsidRPr="00C53E83">
              <w:t>In 2011</w:t>
            </w:r>
            <w:r w:rsidR="0026487F">
              <w:noBreakHyphen/>
            </w:r>
            <w:r w:rsidRPr="00C53E83">
              <w:t>12</w:t>
            </w:r>
            <w:r w:rsidR="00BD4743">
              <w:t>,</w:t>
            </w:r>
            <w:r w:rsidRPr="00C53E83">
              <w:t xml:space="preserve"> ACT</w:t>
            </w:r>
            <w:r>
              <w:t xml:space="preserve">AS </w:t>
            </w:r>
            <w:r w:rsidRPr="00C53E83">
              <w:t xml:space="preserve">changed its service delivery model from two Intensive Care Paramedics per ambulance to a mix of </w:t>
            </w:r>
            <w:r w:rsidR="00237D41" w:rsidRPr="00C53E83">
              <w:t>Intensive Care Paramedics</w:t>
            </w:r>
            <w:r w:rsidRPr="00C53E83">
              <w:t xml:space="preserve"> and Ambulance Paramedics. This strategy had a positive impact on attrition and strengthened the ability of ACTAS to maintain front line crewing levels on a 24/7 basis without compromising patient care.</w:t>
            </w:r>
          </w:p>
          <w:p w:rsidR="00935D78" w:rsidRDefault="00935D78" w:rsidP="00446594">
            <w:pPr>
              <w:pStyle w:val="BoxHeading2"/>
            </w:pPr>
            <w:r w:rsidRPr="00C53E83">
              <w:t>Emergency Services Agency station upgrade</w:t>
            </w:r>
          </w:p>
          <w:p w:rsidR="00935D78" w:rsidRDefault="00935D78" w:rsidP="00446594">
            <w:pPr>
              <w:pStyle w:val="Box"/>
            </w:pPr>
            <w:r w:rsidRPr="00C53E83">
              <w:t xml:space="preserve">The modelling also </w:t>
            </w:r>
            <w:r>
              <w:t>informed</w:t>
            </w:r>
            <w:r w:rsidRPr="00C53E83">
              <w:t xml:space="preserve"> the ACT Emergency Services Agency station upgrade and relocation program</w:t>
            </w:r>
            <w:r w:rsidR="00BD4743">
              <w:t>, by helping</w:t>
            </w:r>
            <w:r w:rsidRPr="00C53E83">
              <w:t xml:space="preserve"> to identify the most appropriate locations for fire and ambulance resources to enable </w:t>
            </w:r>
            <w:r w:rsidR="00237D41">
              <w:t>code 1</w:t>
            </w:r>
            <w:r w:rsidRPr="00C53E83">
              <w:t xml:space="preserve"> responses to occur within </w:t>
            </w:r>
            <w:r>
              <w:t>target timeframes.</w:t>
            </w:r>
            <w:r w:rsidRPr="00C53E83">
              <w:t xml:space="preserve"> </w:t>
            </w:r>
            <w:r>
              <w:t>As a result</w:t>
            </w:r>
            <w:r w:rsidRPr="00C53E83">
              <w:t>, a number of ambulance and fire emergency facilities in the ACT are being constructed</w:t>
            </w:r>
            <w:r w:rsidR="00BD4743">
              <w:t>,</w:t>
            </w:r>
            <w:r w:rsidRPr="00C53E83">
              <w:t xml:space="preserve"> which will significantly strengthen ambulance and fire resource deployment in the ACT.</w:t>
            </w:r>
          </w:p>
          <w:p w:rsidR="00935D78" w:rsidRDefault="00935D78" w:rsidP="00446594">
            <w:pPr>
              <w:pStyle w:val="BoxHeading2"/>
            </w:pPr>
            <w:r w:rsidRPr="00E60AD6">
              <w:t>Communications Centre</w:t>
            </w:r>
            <w:r>
              <w:t xml:space="preserve"> — ‘</w:t>
            </w:r>
            <w:r w:rsidRPr="00E60AD6">
              <w:t xml:space="preserve">Clinician’ role </w:t>
            </w:r>
          </w:p>
          <w:p w:rsidR="00935D78" w:rsidRDefault="00935D78" w:rsidP="00446594">
            <w:pPr>
              <w:pStyle w:val="Box"/>
            </w:pPr>
            <w:r w:rsidRPr="00E60AD6">
              <w:t xml:space="preserve">Appropriate triage of demand and provision of </w:t>
            </w:r>
            <w:r>
              <w:t>appropriate care</w:t>
            </w:r>
            <w:r w:rsidRPr="00BF598A">
              <w:t xml:space="preserve"> </w:t>
            </w:r>
            <w:r>
              <w:t xml:space="preserve">for each patient </w:t>
            </w:r>
            <w:r w:rsidRPr="00E60AD6">
              <w:t>was another area of focus. In 2011</w:t>
            </w:r>
            <w:r w:rsidR="00BD4743">
              <w:t>,</w:t>
            </w:r>
            <w:r w:rsidRPr="00E60AD6">
              <w:t xml:space="preserve"> ACT</w:t>
            </w:r>
            <w:r>
              <w:t>AS</w:t>
            </w:r>
            <w:r w:rsidRPr="00E60AD6">
              <w:t xml:space="preserve"> introduced a ‘Clinician’ role into the Communications Centre. The Clinician utilises highly experienced </w:t>
            </w:r>
            <w:r w:rsidR="00237D41" w:rsidRPr="00E60AD6">
              <w:t>Intensive Care Paramedic</w:t>
            </w:r>
            <w:r w:rsidRPr="00E60AD6">
              <w:t xml:space="preserve">s to triage </w:t>
            </w:r>
            <w:r>
              <w:t>triple zero (</w:t>
            </w:r>
            <w:r w:rsidRPr="00E60AD6">
              <w:t>000</w:t>
            </w:r>
            <w:r>
              <w:t>)</w:t>
            </w:r>
            <w:r w:rsidRPr="00E60AD6">
              <w:t xml:space="preserve"> calls</w:t>
            </w:r>
            <w:r>
              <w:t>,</w:t>
            </w:r>
            <w:r w:rsidRPr="00E60AD6">
              <w:t xml:space="preserve"> ensuring that the appropriate level of response and clinical care is </w:t>
            </w:r>
            <w:r w:rsidR="00BD4743">
              <w:t>provided</w:t>
            </w:r>
            <w:r w:rsidRPr="00E60AD6">
              <w:t xml:space="preserve"> to the patient. The </w:t>
            </w:r>
            <w:r>
              <w:t>Clinician</w:t>
            </w:r>
            <w:r w:rsidRPr="00E60AD6">
              <w:t xml:space="preserve"> also endeavours to refer a patient to an alternate service provider where an emergency ambulance response is unnecessary or inappropriate for the </w:t>
            </w:r>
            <w:r>
              <w:t xml:space="preserve">patient’s </w:t>
            </w:r>
            <w:r w:rsidRPr="00E60AD6">
              <w:t>condition.</w:t>
            </w:r>
          </w:p>
          <w:p w:rsidR="00935D78" w:rsidRDefault="00935D78" w:rsidP="00446594">
            <w:pPr>
              <w:pStyle w:val="BoxHeading2"/>
            </w:pPr>
            <w:r w:rsidRPr="00C53E83">
              <w:t>Extended Care Paramedic</w:t>
            </w:r>
            <w:r>
              <w:t>s</w:t>
            </w:r>
          </w:p>
          <w:p w:rsidR="00935D78" w:rsidRPr="00E60AD6" w:rsidRDefault="00935D78" w:rsidP="00446594">
            <w:pPr>
              <w:pStyle w:val="Box"/>
            </w:pPr>
            <w:r w:rsidRPr="00C53E83">
              <w:t>In 2011</w:t>
            </w:r>
            <w:r w:rsidR="0026487F">
              <w:noBreakHyphen/>
            </w:r>
            <w:r w:rsidRPr="00C53E83">
              <w:t>12, ACT</w:t>
            </w:r>
            <w:r>
              <w:t>AS</w:t>
            </w:r>
            <w:r w:rsidRPr="00C53E83">
              <w:t xml:space="preserve">, in conjunction with Health Workforce Australia, introduced a </w:t>
            </w:r>
            <w:r>
              <w:t xml:space="preserve">pilot </w:t>
            </w:r>
            <w:r w:rsidRPr="00C53E83">
              <w:t xml:space="preserve">of an Extended Care Paramedic service. The objectives of the </w:t>
            </w:r>
            <w:r w:rsidR="00237D41" w:rsidRPr="00C53E83">
              <w:t xml:space="preserve">Extended Care Paramedic </w:t>
            </w:r>
            <w:r w:rsidRPr="00C53E83">
              <w:t>service were</w:t>
            </w:r>
            <w:r w:rsidR="00BD4743">
              <w:t>:</w:t>
            </w:r>
            <w:r w:rsidRPr="00C53E83">
              <w:t xml:space="preserve"> to strengthen consultation and collaboration between ACTAS and the primary health care network; </w:t>
            </w:r>
            <w:r>
              <w:t xml:space="preserve">to </w:t>
            </w:r>
            <w:r w:rsidRPr="00C53E83">
              <w:t xml:space="preserve">reduce the number of patients unnecessarily transported to hospital; and </w:t>
            </w:r>
            <w:r>
              <w:t xml:space="preserve">to </w:t>
            </w:r>
            <w:r w:rsidRPr="00C53E83">
              <w:t xml:space="preserve">permit choice for patients to be safely treated </w:t>
            </w:r>
            <w:r w:rsidRPr="009248ED">
              <w:t>in their own home for select</w:t>
            </w:r>
            <w:r w:rsidR="00A17B14">
              <w:t>ed</w:t>
            </w:r>
            <w:r w:rsidRPr="009248ED">
              <w:t xml:space="preserve"> conditions</w:t>
            </w:r>
            <w:r>
              <w:t xml:space="preserve">, where clinically appropriate. </w:t>
            </w:r>
          </w:p>
          <w:p w:rsidR="00935D78" w:rsidRDefault="00935D78" w:rsidP="00446594">
            <w:pPr>
              <w:pStyle w:val="Box"/>
            </w:pPr>
            <w:r>
              <w:t>A</w:t>
            </w:r>
            <w:r w:rsidRPr="00E60AD6">
              <w:t xml:space="preserve"> </w:t>
            </w:r>
            <w:r w:rsidR="00BD4743">
              <w:t xml:space="preserve">2014 </w:t>
            </w:r>
            <w:r w:rsidRPr="00E60AD6">
              <w:t xml:space="preserve">report on the </w:t>
            </w:r>
            <w:r w:rsidR="006A6984" w:rsidRPr="00C53E83">
              <w:t>Extended Care Paramedic</w:t>
            </w:r>
            <w:r w:rsidR="006A6984" w:rsidRPr="00E60AD6">
              <w:t xml:space="preserve"> </w:t>
            </w:r>
            <w:r w:rsidRPr="00E60AD6">
              <w:t>pilot indicate</w:t>
            </w:r>
            <w:r w:rsidR="00BD4743">
              <w:t>d</w:t>
            </w:r>
            <w:r w:rsidRPr="00E60AD6">
              <w:t xml:space="preserve"> that</w:t>
            </w:r>
            <w:r w:rsidR="005B3C99">
              <w:t>,</w:t>
            </w:r>
            <w:r w:rsidRPr="00E60AD6">
              <w:t xml:space="preserve"> of the 963 patients seen </w:t>
            </w:r>
            <w:r>
              <w:t xml:space="preserve">by </w:t>
            </w:r>
            <w:r w:rsidR="006A6984" w:rsidRPr="00C53E83">
              <w:t>Extended Care Paramedic</w:t>
            </w:r>
            <w:r>
              <w:t xml:space="preserve">s between </w:t>
            </w:r>
            <w:r w:rsidRPr="00EA75E8">
              <w:t>Jan</w:t>
            </w:r>
            <w:r>
              <w:t>uary </w:t>
            </w:r>
            <w:r w:rsidRPr="00EA75E8">
              <w:t xml:space="preserve">2013 </w:t>
            </w:r>
            <w:r>
              <w:t>and</w:t>
            </w:r>
            <w:r w:rsidRPr="00EA75E8">
              <w:t xml:space="preserve"> Mar</w:t>
            </w:r>
            <w:r>
              <w:t>ch</w:t>
            </w:r>
            <w:r w:rsidRPr="00EA75E8">
              <w:t xml:space="preserve"> 2014</w:t>
            </w:r>
            <w:r w:rsidRPr="00E60AD6">
              <w:t>, 70</w:t>
            </w:r>
            <w:r>
              <w:t> per cent</w:t>
            </w:r>
            <w:r w:rsidRPr="00E60AD6">
              <w:t xml:space="preserve"> were not transported. </w:t>
            </w:r>
            <w:r>
              <w:t>In comparison, in 2012</w:t>
            </w:r>
            <w:r w:rsidR="0026487F">
              <w:noBreakHyphen/>
            </w:r>
            <w:r>
              <w:t>13 20 per cent</w:t>
            </w:r>
            <w:r w:rsidRPr="00E60AD6">
              <w:t xml:space="preserve"> </w:t>
            </w:r>
            <w:r>
              <w:t xml:space="preserve">of patients seen by ACTAS operational paramedic crew </w:t>
            </w:r>
            <w:r w:rsidRPr="00E60AD6">
              <w:t>w</w:t>
            </w:r>
            <w:r>
              <w:t xml:space="preserve">ere not transported (Thompson et al. 2014). These data suggest that the </w:t>
            </w:r>
            <w:r w:rsidR="006A6984" w:rsidRPr="00C53E83">
              <w:t>Extended Care Paramedic</w:t>
            </w:r>
            <w:r w:rsidR="006A6984">
              <w:t xml:space="preserve"> </w:t>
            </w:r>
            <w:r>
              <w:t xml:space="preserve">pilot program resulted in 480 fewer hospital transports to </w:t>
            </w:r>
            <w:r w:rsidR="006A6984">
              <w:t xml:space="preserve">a hospital emergency department </w:t>
            </w:r>
            <w:r>
              <w:t xml:space="preserve">than under the existing operational procedures. This </w:t>
            </w:r>
            <w:r w:rsidRPr="00E60AD6">
              <w:t>represent</w:t>
            </w:r>
            <w:r w:rsidR="00BD4743">
              <w:t>ed</w:t>
            </w:r>
            <w:r w:rsidRPr="00E60AD6">
              <w:t xml:space="preserve"> a cost saving to </w:t>
            </w:r>
            <w:r>
              <w:t xml:space="preserve">hospital services </w:t>
            </w:r>
            <w:r w:rsidRPr="00E60AD6">
              <w:t>of approximately $4</w:t>
            </w:r>
            <w:r>
              <w:t xml:space="preserve">00 000 (based on </w:t>
            </w:r>
            <w:r w:rsidR="00BD4743">
              <w:t>the average c</w:t>
            </w:r>
            <w:r>
              <w:t xml:space="preserve">ost of </w:t>
            </w:r>
            <w:r w:rsidR="005B3C99">
              <w:t xml:space="preserve">an </w:t>
            </w:r>
            <w:r w:rsidR="00BD4743">
              <w:t>emergency department presentation</w:t>
            </w:r>
            <w:r w:rsidR="006A6984">
              <w:t xml:space="preserve"> (</w:t>
            </w:r>
            <w:r>
              <w:t>SCRGSP 2014</w:t>
            </w:r>
            <w:r w:rsidR="00A17B14">
              <w:t>, table 10A.65</w:t>
            </w:r>
            <w:r>
              <w:t>)</w:t>
            </w:r>
            <w:r w:rsidR="005B3C99">
              <w:t>.</w:t>
            </w:r>
          </w:p>
          <w:p w:rsidR="00935D78" w:rsidRDefault="00935D78" w:rsidP="00446594">
            <w:pPr>
              <w:pStyle w:val="BoxHeading2"/>
            </w:pPr>
            <w:r w:rsidRPr="00C53E83">
              <w:t xml:space="preserve">Delayed </w:t>
            </w:r>
            <w:proofErr w:type="spellStart"/>
            <w:r w:rsidRPr="00C53E83">
              <w:t>offload</w:t>
            </w:r>
            <w:proofErr w:type="spellEnd"/>
            <w:r w:rsidRPr="00C53E83">
              <w:t xml:space="preserve"> of a patient at a hospital</w:t>
            </w:r>
          </w:p>
          <w:p w:rsidR="00935D78" w:rsidRDefault="00935D78" w:rsidP="00446594">
            <w:pPr>
              <w:pStyle w:val="Box"/>
            </w:pPr>
            <w:r w:rsidRPr="00C53E83">
              <w:t xml:space="preserve">Delayed </w:t>
            </w:r>
            <w:proofErr w:type="spellStart"/>
            <w:r w:rsidRPr="00C53E83">
              <w:t>offload</w:t>
            </w:r>
            <w:proofErr w:type="spellEnd"/>
            <w:r w:rsidRPr="00C53E83">
              <w:t xml:space="preserve"> of a patient at a hospital </w:t>
            </w:r>
            <w:r>
              <w:t xml:space="preserve">— </w:t>
            </w:r>
            <w:r w:rsidRPr="00C53E83">
              <w:t xml:space="preserve">otherwise known as ‘ramping’ </w:t>
            </w:r>
            <w:r>
              <w:t xml:space="preserve">— </w:t>
            </w:r>
            <w:r w:rsidRPr="00C53E83">
              <w:t xml:space="preserve">is where an ambulance crew </w:t>
            </w:r>
            <w:r>
              <w:t>is</w:t>
            </w:r>
            <w:r w:rsidRPr="00C53E83">
              <w:t xml:space="preserve"> unable to hand</w:t>
            </w:r>
            <w:r>
              <w:t xml:space="preserve"> </w:t>
            </w:r>
            <w:r w:rsidRPr="00C53E83">
              <w:t>over a patient to a hospital for ongoing assessment or care. Where ramping occurs, the ambulance crew is unavailable to respond to new incidents</w:t>
            </w:r>
            <w:r w:rsidR="005B3C99">
              <w:t>,</w:t>
            </w:r>
            <w:r w:rsidRPr="00C53E83">
              <w:t xml:space="preserve"> placing pressure on other ambulance resources.</w:t>
            </w:r>
          </w:p>
        </w:tc>
      </w:tr>
      <w:tr w:rsidR="00935D78" w:rsidTr="0014266B">
        <w:tc>
          <w:tcPr>
            <w:tcW w:w="8771" w:type="dxa"/>
            <w:tcBorders>
              <w:top w:val="nil"/>
              <w:left w:val="nil"/>
              <w:bottom w:val="nil"/>
              <w:right w:val="nil"/>
            </w:tcBorders>
            <w:shd w:val="clear" w:color="auto" w:fill="F2F2F2"/>
          </w:tcPr>
          <w:p w:rsidR="00935D78" w:rsidRPr="003C5E4B" w:rsidRDefault="00935D78" w:rsidP="00446594">
            <w:pPr>
              <w:pStyle w:val="Continued"/>
            </w:pPr>
            <w:r w:rsidRPr="003C5E4B">
              <w:t>Continued next page</w:t>
            </w:r>
          </w:p>
        </w:tc>
      </w:tr>
      <w:tr w:rsidR="00935D78" w:rsidTr="0014266B">
        <w:tc>
          <w:tcPr>
            <w:tcW w:w="8771" w:type="dxa"/>
            <w:tcBorders>
              <w:top w:val="nil"/>
              <w:left w:val="nil"/>
              <w:bottom w:val="single" w:sz="6" w:space="0" w:color="78A22F"/>
              <w:right w:val="nil"/>
            </w:tcBorders>
            <w:shd w:val="clear" w:color="auto" w:fill="F2F2F2"/>
          </w:tcPr>
          <w:p w:rsidR="00935D78" w:rsidRDefault="00935D78" w:rsidP="00446594">
            <w:pPr>
              <w:pStyle w:val="Box"/>
              <w:spacing w:before="0" w:line="120" w:lineRule="exact"/>
            </w:pPr>
          </w:p>
        </w:tc>
      </w:tr>
      <w:tr w:rsidR="00935D78" w:rsidRPr="000863A5" w:rsidTr="0014266B">
        <w:tc>
          <w:tcPr>
            <w:tcW w:w="8771" w:type="dxa"/>
            <w:tcBorders>
              <w:top w:val="single" w:sz="6" w:space="0" w:color="78A22F"/>
              <w:left w:val="nil"/>
              <w:bottom w:val="nil"/>
              <w:right w:val="nil"/>
            </w:tcBorders>
            <w:shd w:val="clear" w:color="auto" w:fill="auto"/>
          </w:tcPr>
          <w:p w:rsidR="00935D78" w:rsidRPr="00626D32" w:rsidRDefault="00935D78" w:rsidP="00446594">
            <w:pPr>
              <w:pStyle w:val="BoxSpaceBelow"/>
            </w:pPr>
          </w:p>
        </w:tc>
      </w:tr>
    </w:tbl>
    <w:p w:rsidR="00935D78" w:rsidRDefault="00935D78" w:rsidP="0044659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5D78" w:rsidTr="00446594">
        <w:tc>
          <w:tcPr>
            <w:tcW w:w="8771" w:type="dxa"/>
            <w:tcBorders>
              <w:top w:val="single" w:sz="6" w:space="0" w:color="78A22F"/>
              <w:left w:val="nil"/>
              <w:bottom w:val="nil"/>
              <w:right w:val="nil"/>
            </w:tcBorders>
            <w:shd w:val="clear" w:color="auto" w:fill="F2F2F2"/>
          </w:tcPr>
          <w:p w:rsidR="00935D78" w:rsidRPr="003C5E4B" w:rsidRDefault="00935D78" w:rsidP="00446594">
            <w:pPr>
              <w:pStyle w:val="BoxTitle"/>
              <w:rPr>
                <w:sz w:val="18"/>
              </w:rPr>
            </w:pPr>
            <w:r>
              <w:rPr>
                <w:b w:val="0"/>
              </w:rPr>
              <w:t xml:space="preserve">Box </w:t>
            </w:r>
            <w:r w:rsidR="00800D6F" w:rsidRPr="00800D6F">
              <w:rPr>
                <w:b w:val="0"/>
              </w:rPr>
              <w:t>9.19</w:t>
            </w:r>
            <w:r>
              <w:tab/>
            </w:r>
            <w:r>
              <w:rPr>
                <w:sz w:val="18"/>
              </w:rPr>
              <w:t>continued</w:t>
            </w:r>
          </w:p>
        </w:tc>
      </w:tr>
      <w:tr w:rsidR="00935D78" w:rsidTr="0014266B">
        <w:tc>
          <w:tcPr>
            <w:tcW w:w="8771" w:type="dxa"/>
            <w:tcBorders>
              <w:top w:val="nil"/>
              <w:left w:val="nil"/>
              <w:bottom w:val="nil"/>
              <w:right w:val="nil"/>
            </w:tcBorders>
            <w:shd w:val="clear" w:color="auto" w:fill="F2F2F2"/>
          </w:tcPr>
          <w:p w:rsidR="00935D78" w:rsidRDefault="00935D78" w:rsidP="00446594">
            <w:pPr>
              <w:pStyle w:val="Box"/>
            </w:pPr>
            <w:r w:rsidRPr="00C53E83">
              <w:t xml:space="preserve">To reduce the impact of ramping on service provision, </w:t>
            </w:r>
            <w:r>
              <w:t>ACTAS</w:t>
            </w:r>
            <w:r w:rsidR="005B3C99">
              <w:t>,</w:t>
            </w:r>
            <w:r w:rsidRPr="00C53E83">
              <w:t xml:space="preserve"> </w:t>
            </w:r>
            <w:r>
              <w:t>in collaboration with ACT Health</w:t>
            </w:r>
            <w:r w:rsidR="005B3C99">
              <w:t>,</w:t>
            </w:r>
            <w:r>
              <w:t xml:space="preserve"> </w:t>
            </w:r>
            <w:r w:rsidRPr="00C53E83">
              <w:t>has established mandatory offloading protocols for a patient</w:t>
            </w:r>
            <w:r w:rsidR="005B3C99">
              <w:t>,</w:t>
            </w:r>
            <w:r w:rsidRPr="00C53E83">
              <w:t xml:space="preserve"> which </w:t>
            </w:r>
            <w:r>
              <w:t>‘</w:t>
            </w:r>
            <w:r w:rsidRPr="00C53E83">
              <w:t>trigger</w:t>
            </w:r>
            <w:r>
              <w:t>’</w:t>
            </w:r>
            <w:r w:rsidRPr="00C53E83">
              <w:t xml:space="preserve"> 20</w:t>
            </w:r>
            <w:r>
              <w:t> </w:t>
            </w:r>
            <w:r w:rsidRPr="00C53E83">
              <w:t xml:space="preserve">minutes after ambulance arrival at </w:t>
            </w:r>
            <w:r w:rsidR="006A6984">
              <w:t xml:space="preserve">a </w:t>
            </w:r>
            <w:r w:rsidRPr="00C53E83">
              <w:t xml:space="preserve">hospital </w:t>
            </w:r>
            <w:r w:rsidR="00A17B14">
              <w:t>e</w:t>
            </w:r>
            <w:r w:rsidR="00A17B14" w:rsidRPr="00C53E83">
              <w:t xml:space="preserve">mergency </w:t>
            </w:r>
            <w:r w:rsidR="00A17B14">
              <w:t>d</w:t>
            </w:r>
            <w:r w:rsidR="00A17B14" w:rsidRPr="00C53E83">
              <w:t>epartment</w:t>
            </w:r>
            <w:r w:rsidRPr="00C53E83">
              <w:t xml:space="preserve">. At the 20 minute mark, the ambulance crew </w:t>
            </w:r>
            <w:r w:rsidR="00A17B14">
              <w:t>is</w:t>
            </w:r>
            <w:r w:rsidR="00A17B14" w:rsidRPr="00C53E83">
              <w:t xml:space="preserve"> </w:t>
            </w:r>
            <w:r w:rsidRPr="00C53E83">
              <w:t>required to effect the transfer of care of the patient to the Triage Coordinator</w:t>
            </w:r>
            <w:r>
              <w:t>, allowing</w:t>
            </w:r>
            <w:r w:rsidRPr="00C53E83">
              <w:t xml:space="preserve"> the crew to return immediately to operational duties or emergency response</w:t>
            </w:r>
            <w:r>
              <w:t>s</w:t>
            </w:r>
            <w:r w:rsidRPr="00C53E83">
              <w:t>.</w:t>
            </w:r>
          </w:p>
          <w:p w:rsidR="00935D78" w:rsidRDefault="00935D78" w:rsidP="00446594">
            <w:pPr>
              <w:pStyle w:val="BoxHeading1"/>
            </w:pPr>
            <w:r>
              <w:t>Impact on the ACT code</w:t>
            </w:r>
            <w:r w:rsidR="0026487F">
              <w:noBreakHyphen/>
            </w:r>
            <w:r>
              <w:t xml:space="preserve">1 response times </w:t>
            </w:r>
          </w:p>
          <w:p w:rsidR="00935D78" w:rsidRDefault="00935D78" w:rsidP="00446594">
            <w:pPr>
              <w:pStyle w:val="Box"/>
            </w:pPr>
            <w:r>
              <w:t xml:space="preserve">The combination of these strategies has resulted in the ACT </w:t>
            </w:r>
            <w:r w:rsidR="006A6984">
              <w:t>c</w:t>
            </w:r>
            <w:r w:rsidR="0089059B">
              <w:t>ode</w:t>
            </w:r>
            <w:r w:rsidR="006A6984">
              <w:t> </w:t>
            </w:r>
            <w:r>
              <w:t>1 response times, at the 90th</w:t>
            </w:r>
            <w:r w:rsidR="006A6984">
              <w:t> </w:t>
            </w:r>
            <w:r>
              <w:t>percentile, to decrease from 16.8 minutes in 2008</w:t>
            </w:r>
            <w:r w:rsidR="0089059B">
              <w:t>-</w:t>
            </w:r>
            <w:r>
              <w:t>09 to 12.9 minutes in 2013</w:t>
            </w:r>
            <w:r w:rsidR="0026487F">
              <w:noBreakHyphen/>
            </w:r>
            <w:r>
              <w:t xml:space="preserve">14 — an improvement of 3.9 minutes. At the 50th percentile, ACT </w:t>
            </w:r>
            <w:r w:rsidR="006A6984">
              <w:t>c</w:t>
            </w:r>
            <w:r w:rsidR="0089059B">
              <w:t>ode</w:t>
            </w:r>
            <w:r w:rsidR="006A6984">
              <w:t> </w:t>
            </w:r>
            <w:r>
              <w:t>1 response times have decreased from 10.3 minutes in 2008</w:t>
            </w:r>
            <w:r w:rsidR="0089059B">
              <w:t>-</w:t>
            </w:r>
            <w:r>
              <w:t>09 to 8.2 minutes in 2013</w:t>
            </w:r>
            <w:r w:rsidR="0026487F">
              <w:noBreakHyphen/>
            </w:r>
            <w:r>
              <w:t>14 — an improvement of 2.1</w:t>
            </w:r>
            <w:r w:rsidR="005B3C99">
              <w:t> </w:t>
            </w:r>
            <w:r>
              <w:t>minutes.</w:t>
            </w:r>
          </w:p>
        </w:tc>
      </w:tr>
      <w:tr w:rsidR="00935D78" w:rsidTr="0014266B">
        <w:tc>
          <w:tcPr>
            <w:tcW w:w="8771" w:type="dxa"/>
            <w:tcBorders>
              <w:top w:val="nil"/>
              <w:left w:val="nil"/>
              <w:bottom w:val="nil"/>
              <w:right w:val="nil"/>
            </w:tcBorders>
            <w:shd w:val="clear" w:color="auto" w:fill="F2F2F2"/>
          </w:tcPr>
          <w:p w:rsidR="00935D78" w:rsidRDefault="00935D78" w:rsidP="0014266B">
            <w:pPr>
              <w:pStyle w:val="BoxSource"/>
            </w:pPr>
            <w:r>
              <w:rPr>
                <w:i/>
              </w:rPr>
              <w:t>Source</w:t>
            </w:r>
            <w:r w:rsidRPr="00167F06">
              <w:t xml:space="preserve">: </w:t>
            </w:r>
            <w:r>
              <w:t>ACT Government; ACTAGO (</w:t>
            </w:r>
            <w:r w:rsidRPr="00BF598A">
              <w:t>2009</w:t>
            </w:r>
            <w:r>
              <w:t>); Lennox (2010); Lennox (2014); SCRGSP (2014)</w:t>
            </w:r>
            <w:r w:rsidR="001206B5">
              <w:t>;</w:t>
            </w:r>
            <w:r>
              <w:t xml:space="preserve"> Thompson et al. (2014).</w:t>
            </w:r>
          </w:p>
        </w:tc>
      </w:tr>
      <w:tr w:rsidR="00935D78" w:rsidTr="0014266B">
        <w:trPr>
          <w:cantSplit/>
        </w:trPr>
        <w:tc>
          <w:tcPr>
            <w:tcW w:w="8771" w:type="dxa"/>
            <w:tcBorders>
              <w:top w:val="nil"/>
              <w:left w:val="nil"/>
              <w:bottom w:val="single" w:sz="6" w:space="0" w:color="78A22F"/>
              <w:right w:val="nil"/>
            </w:tcBorders>
            <w:shd w:val="clear" w:color="auto" w:fill="F2F2F2"/>
          </w:tcPr>
          <w:p w:rsidR="00935D78" w:rsidRDefault="00935D78" w:rsidP="0014266B">
            <w:pPr>
              <w:pStyle w:val="Box"/>
              <w:spacing w:before="0" w:line="120" w:lineRule="exact"/>
            </w:pPr>
          </w:p>
        </w:tc>
      </w:tr>
      <w:tr w:rsidR="00935D78" w:rsidRPr="000863A5" w:rsidTr="0014266B">
        <w:tc>
          <w:tcPr>
            <w:tcW w:w="8771" w:type="dxa"/>
            <w:tcBorders>
              <w:top w:val="single" w:sz="6" w:space="0" w:color="78A22F"/>
              <w:left w:val="nil"/>
              <w:bottom w:val="nil"/>
              <w:right w:val="nil"/>
            </w:tcBorders>
          </w:tcPr>
          <w:p w:rsidR="00935D78" w:rsidRPr="00626D32" w:rsidRDefault="00935D78" w:rsidP="0014266B">
            <w:pPr>
              <w:pStyle w:val="BoxSpaceBelow"/>
            </w:pPr>
          </w:p>
        </w:tc>
      </w:tr>
    </w:tbl>
    <w:p w:rsidR="00986A8B" w:rsidRPr="00DD7BEE" w:rsidRDefault="00986A8B" w:rsidP="00986A8B">
      <w:pPr>
        <w:pStyle w:val="Heading4"/>
      </w:pPr>
      <w:r w:rsidRPr="00DD7BEE">
        <w:t>Effectiveness — access</w:t>
      </w:r>
    </w:p>
    <w:p w:rsidR="00986A8B" w:rsidRDefault="00986A8B" w:rsidP="00986A8B">
      <w:pPr>
        <w:pStyle w:val="BodyText"/>
      </w:pPr>
      <w:r w:rsidRPr="00DD7BEE">
        <w:t>Effectiveness of access indicators measure how well the outputs of a service achieve the stated objective(s) of that service in a timely and affordable manner to the community.</w:t>
      </w:r>
    </w:p>
    <w:p w:rsidR="00986A8B" w:rsidRPr="00DD7BEE" w:rsidRDefault="00986A8B" w:rsidP="003E3D7E">
      <w:pPr>
        <w:pStyle w:val="Heading5"/>
        <w:rPr>
          <w:shd w:val="clear" w:color="auto" w:fill="99CCFF"/>
        </w:rPr>
      </w:pPr>
      <w:r w:rsidRPr="00DD7BEE">
        <w:t>State</w:t>
      </w:r>
      <w:r w:rsidRPr="00DD7BEE">
        <w:noBreakHyphen/>
        <w:t>wide response times</w:t>
      </w:r>
    </w:p>
    <w:p w:rsidR="00986A8B" w:rsidRDefault="00986A8B" w:rsidP="00986A8B">
      <w:pPr>
        <w:pStyle w:val="BodyText"/>
      </w:pPr>
      <w:r w:rsidRPr="00DD7BEE">
        <w:t>‘State</w:t>
      </w:r>
      <w:r w:rsidRPr="00DD7BEE">
        <w:noBreakHyphen/>
        <w:t xml:space="preserve">wide response times’ is an indicator of governments’ objective of providing </w:t>
      </w:r>
      <w:r w:rsidR="00FF3409" w:rsidRPr="00DD7BEE">
        <w:t>pre</w:t>
      </w:r>
      <w:r w:rsidR="00CC7814">
        <w:noBreakHyphen/>
      </w:r>
      <w:r w:rsidR="00FF3409" w:rsidRPr="00DD7BEE">
        <w:t>hospital and out</w:t>
      </w:r>
      <w:r w:rsidR="00CC7814">
        <w:noBreakHyphen/>
      </w:r>
      <w:r w:rsidR="00FF3409" w:rsidRPr="00DD7BEE">
        <w:t>of</w:t>
      </w:r>
      <w:r w:rsidR="00CC7814">
        <w:noBreakHyphen/>
      </w:r>
      <w:r w:rsidR="00FF3409" w:rsidRPr="00DD7BEE">
        <w:t>hospital care and patient transport services, that are high quality, timely, and meet clients’ needs through delivery of coordinated and responsive health care</w:t>
      </w:r>
      <w:r w:rsidRPr="00DD7BEE">
        <w:t xml:space="preserve"> (box </w:t>
      </w:r>
      <w:r w:rsidR="00800D6F">
        <w:t>9.20</w:t>
      </w:r>
      <w:r w:rsidRPr="00DD7BEE">
        <w:t xml:space="preserve">). </w:t>
      </w:r>
    </w:p>
    <w:p w:rsidR="004F3166" w:rsidRDefault="004F316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166" w:rsidTr="00E9599A">
        <w:tc>
          <w:tcPr>
            <w:tcW w:w="8771" w:type="dxa"/>
            <w:tcBorders>
              <w:top w:val="single" w:sz="6" w:space="0" w:color="78A22F"/>
              <w:left w:val="nil"/>
              <w:bottom w:val="nil"/>
              <w:right w:val="nil"/>
            </w:tcBorders>
            <w:shd w:val="clear" w:color="auto" w:fill="F2F2F2" w:themeFill="background1" w:themeFillShade="F2"/>
          </w:tcPr>
          <w:p w:rsidR="004F3166" w:rsidRDefault="004F3166" w:rsidP="004F3166">
            <w:pPr>
              <w:pStyle w:val="BoxTitle"/>
            </w:pPr>
            <w:r>
              <w:rPr>
                <w:b w:val="0"/>
              </w:rPr>
              <w:t xml:space="preserve">Box </w:t>
            </w:r>
            <w:bookmarkStart w:id="89" w:name="OLE_LINK46"/>
            <w:r w:rsidR="008C1F96">
              <w:rPr>
                <w:b w:val="0"/>
              </w:rPr>
              <w:t>9.</w:t>
            </w:r>
            <w:r w:rsidR="00D52162">
              <w:rPr>
                <w:b w:val="0"/>
                <w:noProof/>
              </w:rPr>
              <w:t>20</w:t>
            </w:r>
            <w:bookmarkEnd w:id="89"/>
            <w:r>
              <w:tab/>
            </w:r>
            <w:r w:rsidRPr="00E1344F">
              <w:t>State</w:t>
            </w:r>
            <w:r w:rsidRPr="00E1344F">
              <w:noBreakHyphen/>
              <w:t>wide response times</w:t>
            </w:r>
          </w:p>
        </w:tc>
      </w:tr>
      <w:tr w:rsidR="004F3166" w:rsidTr="00E9599A">
        <w:trPr>
          <w:cantSplit/>
        </w:trPr>
        <w:tc>
          <w:tcPr>
            <w:tcW w:w="8771" w:type="dxa"/>
            <w:tcBorders>
              <w:top w:val="nil"/>
              <w:left w:val="nil"/>
              <w:bottom w:val="nil"/>
              <w:right w:val="nil"/>
            </w:tcBorders>
            <w:shd w:val="clear" w:color="auto" w:fill="F2F2F2" w:themeFill="background1" w:themeFillShade="F2"/>
          </w:tcPr>
          <w:p w:rsidR="004F3166" w:rsidRPr="00E1344F" w:rsidRDefault="004F3166" w:rsidP="00E9599A">
            <w:pPr>
              <w:pStyle w:val="Box"/>
            </w:pPr>
            <w:r w:rsidRPr="00E1344F">
              <w:t>‘State</w:t>
            </w:r>
            <w:r w:rsidRPr="00E1344F">
              <w:noBreakHyphen/>
              <w:t xml:space="preserve">wide response times’ </w:t>
            </w:r>
            <w:r>
              <w:t xml:space="preserve">(as illustrated in </w:t>
            </w:r>
            <w:r w:rsidRPr="00E1344F">
              <w:t>box</w:t>
            </w:r>
            <w:r w:rsidR="00686A2E">
              <w:t> </w:t>
            </w:r>
            <w:r w:rsidR="00800D6F">
              <w:t>9.17</w:t>
            </w:r>
            <w:r>
              <w:t xml:space="preserve">) </w:t>
            </w:r>
            <w:r w:rsidRPr="00E1344F">
              <w:t>is defined as the time taken between the arrival of the first responding ambulance resource at the scene of an emergency in code 1 situations and the initial receipt of the call for an emergency ambulance at the communications centre, for state</w:t>
            </w:r>
            <w:r w:rsidRPr="00E1344F">
              <w:noBreakHyphen/>
              <w:t>wide responses.</w:t>
            </w:r>
          </w:p>
          <w:p w:rsidR="004F3166" w:rsidRPr="00E1344F" w:rsidRDefault="004F3166" w:rsidP="00E9599A">
            <w:pPr>
              <w:pStyle w:val="Box"/>
            </w:pPr>
            <w:r w:rsidRPr="00E1344F">
              <w:t>Short or reducing response times suggest the adverse effects on patients and the community of emergencies requiring ambulance services are reduced.</w:t>
            </w:r>
          </w:p>
          <w:p w:rsidR="004F3166" w:rsidRPr="00E1344F" w:rsidRDefault="004F3166" w:rsidP="00E9599A">
            <w:pPr>
              <w:pStyle w:val="Box"/>
            </w:pPr>
            <w:r w:rsidRPr="00E1344F">
              <w:t>Data reported for this measure are:</w:t>
            </w:r>
          </w:p>
          <w:p w:rsidR="004F3166" w:rsidRPr="00E1344F" w:rsidRDefault="004F3166" w:rsidP="00E9599A">
            <w:pPr>
              <w:pStyle w:val="BoxListBullet"/>
            </w:pPr>
            <w:r w:rsidRPr="00E1344F">
              <w:t>comparable (subject to caveats) within jurisdictions over time but are not comparable across jurisdictions</w:t>
            </w:r>
          </w:p>
          <w:p w:rsidR="004F3166" w:rsidRPr="00E1344F" w:rsidRDefault="004F3166" w:rsidP="00E9599A">
            <w:pPr>
              <w:pStyle w:val="BoxListBullet"/>
            </w:pPr>
            <w:r>
              <w:t>complete (subject to caveats) for the current reporting period</w:t>
            </w:r>
            <w:r w:rsidRPr="00E1344F">
              <w:t xml:space="preserve">. All required </w:t>
            </w:r>
            <w:r w:rsidR="00FA5D77">
              <w:t>2013</w:t>
            </w:r>
            <w:r w:rsidR="0026487F">
              <w:noBreakHyphen/>
            </w:r>
            <w:r w:rsidR="00FA5D77">
              <w:t>14</w:t>
            </w:r>
            <w:r w:rsidRPr="00E1344F">
              <w:t xml:space="preserve"> data are available for all jurisdictions.</w:t>
            </w:r>
          </w:p>
          <w:p w:rsidR="004F3166" w:rsidRPr="00E1344F" w:rsidRDefault="004F3166" w:rsidP="00E9599A">
            <w:pPr>
              <w:pStyle w:val="Box"/>
            </w:pPr>
            <w:r w:rsidRPr="00E1344F">
              <w:t>Data quality information for this indicator is under development.</w:t>
            </w:r>
          </w:p>
        </w:tc>
      </w:tr>
      <w:tr w:rsidR="004F3166" w:rsidTr="00E9599A">
        <w:trPr>
          <w:cantSplit/>
        </w:trPr>
        <w:tc>
          <w:tcPr>
            <w:tcW w:w="8771" w:type="dxa"/>
            <w:tcBorders>
              <w:top w:val="nil"/>
              <w:left w:val="nil"/>
              <w:bottom w:val="single" w:sz="6" w:space="0" w:color="78A22F"/>
              <w:right w:val="nil"/>
            </w:tcBorders>
            <w:shd w:val="clear" w:color="auto" w:fill="F2F2F2" w:themeFill="background1" w:themeFillShade="F2"/>
          </w:tcPr>
          <w:p w:rsidR="004F3166" w:rsidRDefault="004F3166">
            <w:pPr>
              <w:pStyle w:val="Box"/>
              <w:spacing w:before="0" w:line="120" w:lineRule="exact"/>
            </w:pPr>
          </w:p>
        </w:tc>
      </w:tr>
      <w:tr w:rsidR="004F3166" w:rsidRPr="000863A5" w:rsidTr="00E9599A">
        <w:tc>
          <w:tcPr>
            <w:tcW w:w="8771" w:type="dxa"/>
            <w:tcBorders>
              <w:top w:val="single" w:sz="6" w:space="0" w:color="78A22F"/>
              <w:left w:val="nil"/>
              <w:bottom w:val="nil"/>
              <w:right w:val="nil"/>
            </w:tcBorders>
          </w:tcPr>
          <w:p w:rsidR="004F3166" w:rsidRPr="00626D32" w:rsidRDefault="004F3166" w:rsidP="00E9599A">
            <w:pPr>
              <w:pStyle w:val="BoxSpaceBelow"/>
            </w:pPr>
          </w:p>
        </w:tc>
      </w:tr>
    </w:tbl>
    <w:p w:rsidR="00986A8B" w:rsidRDefault="00986A8B" w:rsidP="00DD7BEE">
      <w:pPr>
        <w:pStyle w:val="BodyText"/>
      </w:pPr>
      <w:r w:rsidRPr="0054109B">
        <w:t xml:space="preserve">In </w:t>
      </w:r>
      <w:r w:rsidR="00FA5D77">
        <w:t>2013</w:t>
      </w:r>
      <w:r w:rsidR="0026487F">
        <w:noBreakHyphen/>
      </w:r>
      <w:r w:rsidR="00FA5D77">
        <w:t>14</w:t>
      </w:r>
      <w:r w:rsidRPr="0054109B">
        <w:t xml:space="preserve">, </w:t>
      </w:r>
      <w:r w:rsidR="00DD7BEE" w:rsidRPr="0054109B">
        <w:t>the time within which 90 per cent of the state</w:t>
      </w:r>
      <w:r w:rsidR="00CC7814">
        <w:noBreakHyphen/>
      </w:r>
      <w:r w:rsidR="00DD7BEE" w:rsidRPr="0054109B">
        <w:t xml:space="preserve">wide first responding ambulance resources arrived at the scene of </w:t>
      </w:r>
      <w:r w:rsidR="00DD7BEE" w:rsidRPr="00DD7BEE">
        <w:t xml:space="preserve">an emergency in code 1 situations ranged from </w:t>
      </w:r>
      <w:r w:rsidR="008C1F96">
        <w:t>12.9</w:t>
      </w:r>
      <w:r w:rsidR="00DD7BEE" w:rsidRPr="00DD7BEE">
        <w:t xml:space="preserve"> to </w:t>
      </w:r>
      <w:r w:rsidR="008C1F96">
        <w:t>23.7</w:t>
      </w:r>
      <w:r w:rsidR="00DD7BEE" w:rsidRPr="00DD7BEE">
        <w:t xml:space="preserve"> minutes. </w:t>
      </w:r>
      <w:r w:rsidR="008967E5">
        <w:t>Over the past 5 years, the change in response times ha</w:t>
      </w:r>
      <w:r w:rsidR="00643F52">
        <w:t>s</w:t>
      </w:r>
      <w:r w:rsidR="008967E5">
        <w:t xml:space="preserve"> </w:t>
      </w:r>
      <w:r w:rsidR="00DD7BEE">
        <w:t xml:space="preserve">varied between jurisdictions </w:t>
      </w:r>
      <w:r w:rsidR="00DD7BEE" w:rsidRPr="00DD7BEE">
        <w:t>(figure </w:t>
      </w:r>
      <w:r w:rsidR="00800D6F">
        <w:t>9.26</w:t>
      </w:r>
      <w:r w:rsidR="00DD7BEE" w:rsidRPr="00DD7BEE">
        <w:t>)</w:t>
      </w:r>
      <w:r w:rsidR="00DD7BEE">
        <w:t>.</w:t>
      </w:r>
      <w:r w:rsidR="00032BFC">
        <w:t xml:space="preserve"> The median (50th percentile) response times </w:t>
      </w:r>
      <w:r w:rsidR="00032BFC" w:rsidRPr="00C95687">
        <w:t xml:space="preserve">ranged from </w:t>
      </w:r>
      <w:r w:rsidR="008C1F96">
        <w:t>7.6</w:t>
      </w:r>
      <w:r w:rsidR="00491169" w:rsidRPr="0054109B">
        <w:t xml:space="preserve"> to </w:t>
      </w:r>
      <w:r w:rsidR="008C1F96">
        <w:t>11.4</w:t>
      </w:r>
      <w:r w:rsidR="00491169" w:rsidRPr="0054109B">
        <w:t xml:space="preserve"> </w:t>
      </w:r>
      <w:r w:rsidRPr="0054109B">
        <w:t>minutes (table </w:t>
      </w:r>
      <w:r w:rsidR="00B21412">
        <w:t>9A.44</w:t>
      </w:r>
      <w:r w:rsidRPr="0054109B">
        <w:t xml:space="preserve">). </w:t>
      </w:r>
    </w:p>
    <w:p w:rsidR="00BF28E7" w:rsidRPr="00C95687" w:rsidRDefault="00BF28E7" w:rsidP="00BF28E7">
      <w:pPr>
        <w:pStyle w:val="BodyText"/>
      </w:pPr>
      <w:bookmarkStart w:id="90" w:name="_Toc343078128"/>
      <w:bookmarkStart w:id="91" w:name="_Toc343078581"/>
      <w:bookmarkStart w:id="92" w:name="_Toc343078625"/>
      <w:bookmarkStart w:id="93" w:name="_Toc343089216"/>
      <w:r w:rsidRPr="0054109B">
        <w:t xml:space="preserve">Differences across jurisdictions in </w:t>
      </w:r>
      <w:r>
        <w:t xml:space="preserve">the </w:t>
      </w:r>
      <w:r w:rsidRPr="0054109B">
        <w:t>geography, personnel mix, and system type for capturing data, affect</w:t>
      </w:r>
      <w:r>
        <w:t xml:space="preserve"> state</w:t>
      </w:r>
      <w:r w:rsidR="00CC7814">
        <w:noBreakHyphen/>
      </w:r>
      <w:r>
        <w:t>wide</w:t>
      </w:r>
      <w:r w:rsidRPr="0054109B">
        <w:t xml:space="preserve"> response times data</w:t>
      </w:r>
      <w:r w:rsidRPr="00C95687">
        <w:t xml:space="preserve">. </w:t>
      </w:r>
      <w:r>
        <w:t xml:space="preserve">Factors that </w:t>
      </w:r>
      <w:r w:rsidRPr="00C95687">
        <w:t xml:space="preserve">can impact on </w:t>
      </w:r>
      <w:r>
        <w:t>state</w:t>
      </w:r>
      <w:r>
        <w:noBreakHyphen/>
        <w:t xml:space="preserve">wide </w:t>
      </w:r>
      <w:r w:rsidRPr="00C95687">
        <w:t>response time performance</w:t>
      </w:r>
      <w:r>
        <w:t xml:space="preserve"> include:</w:t>
      </w:r>
    </w:p>
    <w:p w:rsidR="00BF28E7" w:rsidRPr="008967E5" w:rsidRDefault="00BF28E7" w:rsidP="00BF28E7">
      <w:pPr>
        <w:pStyle w:val="ListBullet"/>
      </w:pPr>
      <w:r>
        <w:t>t</w:t>
      </w:r>
      <w:r w:rsidRPr="008967E5">
        <w:t xml:space="preserve">he dispersion of the population (particularly rural/urban population proportions), topography, road/transport infrastructure and traffic densities </w:t>
      </w:r>
    </w:p>
    <w:p w:rsidR="00BF28E7" w:rsidRPr="00032BFC" w:rsidRDefault="00BF28E7" w:rsidP="00BF28E7">
      <w:pPr>
        <w:pStyle w:val="ListBullet"/>
      </w:pPr>
      <w:r w:rsidRPr="00032BFC">
        <w:t>crewing configurations, response systems and processes, and travel distances — for example, some jurisdictions include responses from volunteer stations (often in rural areas) where turnout times are generally longer because volunteers are on call</w:t>
      </w:r>
      <w:r>
        <w:t xml:space="preserve"> as distinct from being on duty</w:t>
      </w:r>
      <w:r w:rsidRPr="00032BFC">
        <w:t xml:space="preserve"> </w:t>
      </w:r>
    </w:p>
    <w:p w:rsidR="00FF6DDF" w:rsidRDefault="00BF28E7" w:rsidP="00FF6DDF">
      <w:pPr>
        <w:pStyle w:val="ListBullet"/>
      </w:pPr>
      <w:r w:rsidRPr="00032BFC">
        <w:t>land area, and population size and density — for example, data calculated on a state</w:t>
      </w:r>
      <w:r w:rsidR="00CC7814">
        <w:noBreakHyphen/>
      </w:r>
      <w:r w:rsidRPr="00032BFC">
        <w:t>wide basis for some jurisdictions represent responses to urban, rural and remote areas, while others include urban centres only.</w:t>
      </w:r>
      <w:r w:rsidR="00FF6DDF">
        <w:t xml:space="preserve"> </w:t>
      </w:r>
    </w:p>
    <w:p w:rsidR="00BF28E7" w:rsidRDefault="00FF6DDF" w:rsidP="00FF6DDF">
      <w:pPr>
        <w:pStyle w:val="BodyText"/>
      </w:pPr>
      <w:r>
        <w:t xml:space="preserve">For </w:t>
      </w:r>
      <w:r w:rsidRPr="00FF6DDF">
        <w:t xml:space="preserve">a range of general descriptive information for each jurisdiction, including </w:t>
      </w:r>
      <w:r>
        <w:t xml:space="preserve">information on each jurisdiction’s </w:t>
      </w:r>
      <w:r w:rsidRPr="00FF6DDF">
        <w:t xml:space="preserve">population, spatial distribution, </w:t>
      </w:r>
      <w:r>
        <w:t>and dwelling stock</w:t>
      </w:r>
      <w:r w:rsidRPr="00FF6DDF">
        <w:t xml:space="preserve"> </w:t>
      </w:r>
      <w:r>
        <w:t>see the Report’s Statistical context chapter (chapter 2)</w:t>
      </w:r>
      <w:r w:rsidRPr="00FF6DDF">
        <w:t>.</w:t>
      </w:r>
    </w:p>
    <w:p w:rsidR="004F3166" w:rsidRDefault="004F3166" w:rsidP="00E959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166" w:rsidTr="00E9599A">
        <w:tc>
          <w:tcPr>
            <w:tcW w:w="8771" w:type="dxa"/>
            <w:tcBorders>
              <w:top w:val="single" w:sz="6" w:space="0" w:color="78A22F"/>
              <w:left w:val="nil"/>
              <w:bottom w:val="nil"/>
              <w:right w:val="nil"/>
            </w:tcBorders>
            <w:shd w:val="clear" w:color="auto" w:fill="auto"/>
          </w:tcPr>
          <w:p w:rsidR="004F3166" w:rsidRPr="00176D3F" w:rsidRDefault="004F3166" w:rsidP="004F3166">
            <w:pPr>
              <w:pStyle w:val="FigureTitle"/>
            </w:pPr>
            <w:r w:rsidRPr="00784A05">
              <w:rPr>
                <w:b w:val="0"/>
              </w:rPr>
              <w:t xml:space="preserve">Figure </w:t>
            </w:r>
            <w:bookmarkStart w:id="94" w:name="OLE_LINK47"/>
            <w:r w:rsidR="008C1F96">
              <w:rPr>
                <w:b w:val="0"/>
              </w:rPr>
              <w:t>9.</w:t>
            </w:r>
            <w:r w:rsidR="00D52162">
              <w:rPr>
                <w:b w:val="0"/>
                <w:noProof/>
              </w:rPr>
              <w:t>26</w:t>
            </w:r>
            <w:bookmarkEnd w:id="94"/>
            <w:r>
              <w:tab/>
            </w:r>
            <w:r w:rsidRPr="002605A8">
              <w:t>Ambulance response times, state</w:t>
            </w:r>
            <w:r w:rsidRPr="002605A8">
              <w:noBreakHyphen/>
              <w:t>wide, 90th percentile</w:t>
            </w:r>
            <w:r w:rsidRPr="002605A8">
              <w:rPr>
                <w:rStyle w:val="NoteLabel"/>
                <w:b/>
              </w:rPr>
              <w:t>a, b</w:t>
            </w:r>
          </w:p>
        </w:tc>
      </w:tr>
      <w:tr w:rsidR="004F3166" w:rsidTr="00E9599A">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4F3166" w:rsidTr="00677D4D">
              <w:tc>
                <w:tcPr>
                  <w:tcW w:w="5000" w:type="pct"/>
                  <w:tcBorders>
                    <w:top w:val="nil"/>
                    <w:bottom w:val="nil"/>
                  </w:tcBorders>
                </w:tcPr>
                <w:p w:rsidR="004F3166" w:rsidRDefault="00F82339" w:rsidP="004F3166">
                  <w:pPr>
                    <w:pStyle w:val="Figure"/>
                    <w:spacing w:before="60" w:after="60"/>
                  </w:pPr>
                  <w:r>
                    <w:rPr>
                      <w:noProof/>
                    </w:rPr>
                    <w:drawing>
                      <wp:inline distT="0" distB="0" distL="0" distR="0">
                        <wp:extent cx="5405755" cy="2707640"/>
                        <wp:effectExtent l="0" t="0" r="4445" b="0"/>
                        <wp:docPr id="31" name="Picture 31" descr="Figure 9.26 Ambulance response times, state-wide, 90th percenti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4F3166" w:rsidRDefault="004F3166" w:rsidP="00E9599A">
            <w:pPr>
              <w:pStyle w:val="Figure"/>
            </w:pPr>
          </w:p>
        </w:tc>
      </w:tr>
      <w:tr w:rsidR="004F3166" w:rsidRPr="00176D3F" w:rsidTr="00E9599A">
        <w:tc>
          <w:tcPr>
            <w:tcW w:w="8771" w:type="dxa"/>
            <w:tcBorders>
              <w:top w:val="nil"/>
              <w:left w:val="nil"/>
              <w:bottom w:val="nil"/>
              <w:right w:val="nil"/>
            </w:tcBorders>
            <w:shd w:val="clear" w:color="auto" w:fill="auto"/>
          </w:tcPr>
          <w:p w:rsidR="004F3166" w:rsidRPr="00176D3F" w:rsidRDefault="004F3166" w:rsidP="00007899">
            <w:pPr>
              <w:pStyle w:val="Note"/>
            </w:pPr>
            <w:r w:rsidRPr="00A90E73">
              <w:rPr>
                <w:rStyle w:val="NoteLabel"/>
              </w:rPr>
              <w:t>a</w:t>
            </w:r>
            <w:r w:rsidRPr="00A90E73">
              <w:t xml:space="preserve"> Response times commence from the following time points: NSW, Queensland and WA from transfer to dispatch; Victoria SA and the ACT from the first key stroke; Tasmania from the time at which enough details to initiate an ambulance response have been recorded; and, the NT from when a crew is dispatched</w:t>
            </w:r>
            <w:r w:rsidRPr="002605A8">
              <w:t xml:space="preserve">. </w:t>
            </w:r>
            <w:r w:rsidRPr="002605A8">
              <w:rPr>
                <w:rStyle w:val="NoteLabel"/>
              </w:rPr>
              <w:t>b</w:t>
            </w:r>
            <w:r w:rsidRPr="002605A8">
              <w:t> Qld: Casualty room attendances are not included in response count and, therefore, are not reflected in response times data. Response time calculations for percentiles for state</w:t>
            </w:r>
            <w:r>
              <w:noBreakHyphen/>
            </w:r>
            <w:r w:rsidRPr="002605A8">
              <w:t xml:space="preserve">wide were sourced from the </w:t>
            </w:r>
            <w:r w:rsidR="00007899">
              <w:t>Computer Aided Dispatch</w:t>
            </w:r>
            <w:r w:rsidRPr="002605A8">
              <w:t xml:space="preserve"> system.</w:t>
            </w:r>
          </w:p>
        </w:tc>
      </w:tr>
      <w:tr w:rsidR="004F3166" w:rsidRPr="00176D3F" w:rsidTr="00E9599A">
        <w:tc>
          <w:tcPr>
            <w:tcW w:w="8771" w:type="dxa"/>
            <w:tcBorders>
              <w:top w:val="nil"/>
              <w:left w:val="nil"/>
              <w:bottom w:val="nil"/>
              <w:right w:val="nil"/>
            </w:tcBorders>
            <w:shd w:val="clear" w:color="auto" w:fill="auto"/>
          </w:tcPr>
          <w:p w:rsidR="004F3166" w:rsidRPr="00176D3F" w:rsidRDefault="004F3166" w:rsidP="00E9599A">
            <w:pPr>
              <w:pStyle w:val="Source"/>
            </w:pPr>
            <w:r w:rsidRPr="002605A8">
              <w:rPr>
                <w:i/>
              </w:rPr>
              <w:t>Source</w:t>
            </w:r>
            <w:r w:rsidRPr="002605A8">
              <w:t>: State and Territory governments (unpublished); table </w:t>
            </w:r>
            <w:r>
              <w:t>9A.44</w:t>
            </w:r>
            <w:r w:rsidRPr="002605A8">
              <w:t>.</w:t>
            </w:r>
          </w:p>
        </w:tc>
      </w:tr>
      <w:tr w:rsidR="004F3166" w:rsidTr="00E9599A">
        <w:tc>
          <w:tcPr>
            <w:tcW w:w="8771" w:type="dxa"/>
            <w:tcBorders>
              <w:top w:val="nil"/>
              <w:left w:val="nil"/>
              <w:bottom w:val="single" w:sz="6" w:space="0" w:color="78A22F"/>
              <w:right w:val="nil"/>
            </w:tcBorders>
            <w:shd w:val="clear" w:color="auto" w:fill="auto"/>
          </w:tcPr>
          <w:p w:rsidR="004F3166" w:rsidRDefault="004F3166" w:rsidP="00E9599A">
            <w:pPr>
              <w:pStyle w:val="Figurespace"/>
            </w:pPr>
          </w:p>
        </w:tc>
      </w:tr>
      <w:tr w:rsidR="004F3166" w:rsidRPr="000863A5" w:rsidTr="00E9599A">
        <w:tc>
          <w:tcPr>
            <w:tcW w:w="8771" w:type="dxa"/>
            <w:tcBorders>
              <w:top w:val="single" w:sz="6" w:space="0" w:color="78A22F"/>
              <w:left w:val="nil"/>
              <w:bottom w:val="nil"/>
              <w:right w:val="nil"/>
            </w:tcBorders>
          </w:tcPr>
          <w:p w:rsidR="004F3166" w:rsidRPr="00626D32" w:rsidRDefault="004F3166" w:rsidP="00E9599A">
            <w:pPr>
              <w:pStyle w:val="BoxSpaceBelow"/>
            </w:pPr>
          </w:p>
        </w:tc>
      </w:tr>
    </w:tbl>
    <w:bookmarkEnd w:id="90"/>
    <w:bookmarkEnd w:id="91"/>
    <w:bookmarkEnd w:id="92"/>
    <w:bookmarkEnd w:id="93"/>
    <w:p w:rsidR="00986A8B" w:rsidRPr="002605A8" w:rsidRDefault="00986A8B" w:rsidP="00235CBF">
      <w:pPr>
        <w:pStyle w:val="Heading5"/>
      </w:pPr>
      <w:r w:rsidRPr="002605A8">
        <w:t xml:space="preserve">Triple zero </w:t>
      </w:r>
      <w:r w:rsidR="00EF075E">
        <w:t xml:space="preserve">(000) </w:t>
      </w:r>
      <w:r w:rsidRPr="002605A8">
        <w:t>call answering time</w:t>
      </w:r>
    </w:p>
    <w:p w:rsidR="00FF3409" w:rsidRPr="00C57985" w:rsidRDefault="00FF3409" w:rsidP="00986A8B">
      <w:pPr>
        <w:pStyle w:val="BodyText"/>
      </w:pPr>
      <w:r w:rsidRPr="0054109B">
        <w:t xml:space="preserve">‘Triple zero </w:t>
      </w:r>
      <w:r w:rsidR="00EF075E">
        <w:t xml:space="preserve">(000) </w:t>
      </w:r>
      <w:r w:rsidRPr="0054109B">
        <w:t xml:space="preserve">call answering time’ </w:t>
      </w:r>
      <w:r w:rsidRPr="00FF3409">
        <w:t>is an indicator of governments’ objective of providing pre</w:t>
      </w:r>
      <w:r w:rsidR="00CC7814">
        <w:noBreakHyphen/>
      </w:r>
      <w:r w:rsidRPr="00FF3409">
        <w:t>hospital and out</w:t>
      </w:r>
      <w:r w:rsidR="00CC7814">
        <w:noBreakHyphen/>
      </w:r>
      <w:r w:rsidRPr="00FF3409">
        <w:t>of</w:t>
      </w:r>
      <w:r w:rsidR="00CC7814">
        <w:noBreakHyphen/>
      </w:r>
      <w:r w:rsidRPr="00FF3409">
        <w:t>hospital care and patient transport services that are high quality, timely, and meet clients’ needs through delivery of coordinated and responsive health care</w:t>
      </w:r>
      <w:r>
        <w:t xml:space="preserve"> </w:t>
      </w:r>
      <w:r w:rsidRPr="0054109B">
        <w:t>(box </w:t>
      </w:r>
      <w:r w:rsidR="00800D6F">
        <w:t>9.21</w:t>
      </w:r>
      <w:r w:rsidRPr="0054109B">
        <w:t>).</w:t>
      </w:r>
    </w:p>
    <w:p w:rsidR="00605B37" w:rsidRDefault="00BF28E7" w:rsidP="00EF075E">
      <w:pPr>
        <w:pStyle w:val="BodyText"/>
      </w:pPr>
      <w:r w:rsidRPr="00EF3F8C">
        <w:rPr>
          <w:i/>
        </w:rPr>
        <w:t>The Telecommunications (Emergency Call Persons) Determination 1999</w:t>
      </w:r>
      <w:r w:rsidR="005D7E63">
        <w:t xml:space="preserve"> (</w:t>
      </w:r>
      <w:proofErr w:type="spellStart"/>
      <w:r w:rsidR="005D7E63">
        <w:t>Cwlth</w:t>
      </w:r>
      <w:proofErr w:type="spellEnd"/>
      <w:r w:rsidR="005D7E63">
        <w:t>)</w:t>
      </w:r>
      <w:r>
        <w:t xml:space="preserve">, recognises Telstra as the </w:t>
      </w:r>
      <w:r w:rsidR="00EF075E">
        <w:t xml:space="preserve">national operator of emergency call services </w:t>
      </w:r>
      <w:r w:rsidR="00605B37">
        <w:t xml:space="preserve">for </w:t>
      </w:r>
      <w:r w:rsidR="00EF075E">
        <w:t>the triple zero</w:t>
      </w:r>
      <w:r w:rsidR="003B6368">
        <w:t> </w:t>
      </w:r>
      <w:r w:rsidR="00EF075E">
        <w:t>(000)</w:t>
      </w:r>
      <w:r w:rsidR="00EF075E" w:rsidRPr="00EF075E">
        <w:t xml:space="preserve"> </w:t>
      </w:r>
      <w:r w:rsidR="00EF075E">
        <w:t xml:space="preserve">and 112 emergency service numbers. </w:t>
      </w:r>
      <w:r w:rsidR="00605B37">
        <w:t xml:space="preserve">The emergency call service answers triple zero (000) calls and transfers them, with relevant associated information, to the requested emergency service organisation. </w:t>
      </w:r>
      <w:r w:rsidR="00EF075E">
        <w:t xml:space="preserve">The Australian Communication Exchange </w:t>
      </w:r>
      <w:r w:rsidR="00605B37" w:rsidRPr="00605B37">
        <w:t>has the same responsibility with regard to the emergency service number 106 Text Emergency Relay Service number, for callers who are deaf or who have a hearing or a speech impairment</w:t>
      </w:r>
      <w:r w:rsidR="00605B37">
        <w:t xml:space="preserve"> (AGD 2013)</w:t>
      </w:r>
      <w:r w:rsidR="00605B37" w:rsidRPr="00605B37">
        <w:t>.</w:t>
      </w:r>
    </w:p>
    <w:p w:rsidR="004F3166" w:rsidRDefault="004F316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166" w:rsidTr="00E9599A">
        <w:tc>
          <w:tcPr>
            <w:tcW w:w="8771" w:type="dxa"/>
            <w:tcBorders>
              <w:top w:val="single" w:sz="6" w:space="0" w:color="78A22F"/>
              <w:left w:val="nil"/>
              <w:bottom w:val="nil"/>
              <w:right w:val="nil"/>
            </w:tcBorders>
            <w:shd w:val="clear" w:color="auto" w:fill="F2F2F2" w:themeFill="background1" w:themeFillShade="F2"/>
          </w:tcPr>
          <w:p w:rsidR="004F3166" w:rsidRDefault="004F3166" w:rsidP="004F3166">
            <w:pPr>
              <w:pStyle w:val="BoxTitle"/>
            </w:pPr>
            <w:r>
              <w:rPr>
                <w:b w:val="0"/>
              </w:rPr>
              <w:t xml:space="preserve">Box </w:t>
            </w:r>
            <w:bookmarkStart w:id="95" w:name="OLE_LINK48"/>
            <w:r w:rsidR="008C1F96">
              <w:rPr>
                <w:b w:val="0"/>
              </w:rPr>
              <w:t>9.</w:t>
            </w:r>
            <w:r w:rsidR="00D52162">
              <w:rPr>
                <w:b w:val="0"/>
                <w:noProof/>
              </w:rPr>
              <w:t>21</w:t>
            </w:r>
            <w:bookmarkEnd w:id="95"/>
            <w:r>
              <w:tab/>
            </w:r>
            <w:r w:rsidRPr="00235CBF">
              <w:t xml:space="preserve">Triple zero </w:t>
            </w:r>
            <w:r>
              <w:t>(000)</w:t>
            </w:r>
            <w:r w:rsidRPr="00235CBF">
              <w:t xml:space="preserve"> call</w:t>
            </w:r>
            <w:r>
              <w:t xml:space="preserve"> </w:t>
            </w:r>
            <w:r w:rsidRPr="00235CBF">
              <w:t>answering time</w:t>
            </w:r>
          </w:p>
        </w:tc>
      </w:tr>
      <w:tr w:rsidR="004F3166" w:rsidTr="00E9599A">
        <w:trPr>
          <w:cantSplit/>
        </w:trPr>
        <w:tc>
          <w:tcPr>
            <w:tcW w:w="8771" w:type="dxa"/>
            <w:tcBorders>
              <w:top w:val="nil"/>
              <w:left w:val="nil"/>
              <w:bottom w:val="nil"/>
              <w:right w:val="nil"/>
            </w:tcBorders>
            <w:shd w:val="clear" w:color="auto" w:fill="F2F2F2" w:themeFill="background1" w:themeFillShade="F2"/>
          </w:tcPr>
          <w:p w:rsidR="004F3166" w:rsidRDefault="004F3166" w:rsidP="00E9599A">
            <w:pPr>
              <w:pStyle w:val="Box"/>
            </w:pPr>
            <w:r>
              <w:t>‘T</w:t>
            </w:r>
            <w:r w:rsidRPr="00A119A1">
              <w:t xml:space="preserve">riple zero </w:t>
            </w:r>
            <w:r>
              <w:t>(000)</w:t>
            </w:r>
            <w:r w:rsidRPr="00A119A1">
              <w:t xml:space="preserve"> call answering time</w:t>
            </w:r>
            <w:r>
              <w:t>’</w:t>
            </w:r>
            <w:r w:rsidRPr="00A119A1">
              <w:t xml:space="preserve"> </w:t>
            </w:r>
            <w:r>
              <w:t xml:space="preserve">for ambulance services (as illustrated in </w:t>
            </w:r>
            <w:r w:rsidRPr="00E1344F">
              <w:t>box</w:t>
            </w:r>
            <w:r w:rsidR="002F0A85">
              <w:t> </w:t>
            </w:r>
            <w:r w:rsidR="00800D6F">
              <w:t>9.17</w:t>
            </w:r>
            <w:r>
              <w:t xml:space="preserve">) </w:t>
            </w:r>
            <w:r w:rsidRPr="00A119A1">
              <w:t xml:space="preserve">is defined as the time interval commencing when the emergency call </w:t>
            </w:r>
            <w:r>
              <w:t>service</w:t>
            </w:r>
            <w:r w:rsidRPr="00A119A1">
              <w:t xml:space="preserve"> has answered the </w:t>
            </w:r>
            <w:r>
              <w:t>triple zero (000)</w:t>
            </w:r>
            <w:r w:rsidRPr="00A119A1">
              <w:t xml:space="preserve"> call and selected the desired emergency service organisation to when the </w:t>
            </w:r>
            <w:r>
              <w:t xml:space="preserve">ambulance service organisation </w:t>
            </w:r>
            <w:r w:rsidRPr="00A119A1">
              <w:t>has answered the call.</w:t>
            </w:r>
          </w:p>
          <w:p w:rsidR="004F3166" w:rsidRDefault="004F3166" w:rsidP="00E9599A">
            <w:pPr>
              <w:pStyle w:val="Box"/>
            </w:pPr>
            <w:r>
              <w:t xml:space="preserve">It is measured </w:t>
            </w:r>
            <w:r w:rsidRPr="00A90E73">
              <w:t xml:space="preserve">as </w:t>
            </w:r>
            <w:r>
              <w:t>the</w:t>
            </w:r>
            <w:r w:rsidRPr="00AF2247">
              <w:t xml:space="preserve"> percentage of triple zero </w:t>
            </w:r>
            <w:r>
              <w:t>(000)</w:t>
            </w:r>
            <w:r w:rsidRPr="00A119A1">
              <w:t xml:space="preserve"> </w:t>
            </w:r>
            <w:r w:rsidRPr="00AF2247">
              <w:t xml:space="preserve">calls that were answered by ambulance service communication centre staff in </w:t>
            </w:r>
            <w:r>
              <w:t xml:space="preserve">a time </w:t>
            </w:r>
            <w:r w:rsidRPr="00AF2247">
              <w:t xml:space="preserve">equal </w:t>
            </w:r>
            <w:r>
              <w:t xml:space="preserve">to </w:t>
            </w:r>
            <w:r w:rsidRPr="00AF2247">
              <w:t>or less than 10</w:t>
            </w:r>
            <w:r>
              <w:t> </w:t>
            </w:r>
            <w:r w:rsidRPr="00AF2247">
              <w:t>seconds.</w:t>
            </w:r>
          </w:p>
          <w:p w:rsidR="004F3166" w:rsidRDefault="007256E4" w:rsidP="00E9599A">
            <w:pPr>
              <w:pStyle w:val="Box"/>
            </w:pPr>
            <w:r>
              <w:t xml:space="preserve">A </w:t>
            </w:r>
            <w:r w:rsidR="004F3166">
              <w:t>greater percentage of triple zero (000)</w:t>
            </w:r>
            <w:r w:rsidR="004F3166" w:rsidRPr="00A119A1">
              <w:t xml:space="preserve"> </w:t>
            </w:r>
            <w:r w:rsidR="004F3166">
              <w:t>calls answered within 10</w:t>
            </w:r>
            <w:r>
              <w:t xml:space="preserve"> </w:t>
            </w:r>
            <w:r w:rsidR="004F3166">
              <w:t xml:space="preserve">seconds </w:t>
            </w:r>
            <w:r w:rsidR="004F3166" w:rsidRPr="003611A1">
              <w:t>suggest</w:t>
            </w:r>
            <w:r w:rsidR="004F3166">
              <w:t>s</w:t>
            </w:r>
            <w:r w:rsidR="004F3166" w:rsidRPr="003611A1">
              <w:t xml:space="preserve"> the adverse effects on patients and the community of emergencies requiring ambulance services are reduced.</w:t>
            </w:r>
          </w:p>
          <w:p w:rsidR="004F3166" w:rsidRPr="00107430" w:rsidRDefault="004F3166" w:rsidP="00E9599A">
            <w:pPr>
              <w:pStyle w:val="Box"/>
            </w:pPr>
            <w:r w:rsidRPr="00107430">
              <w:t xml:space="preserve">Data </w:t>
            </w:r>
            <w:r w:rsidRPr="00032BFC">
              <w:t>reported</w:t>
            </w:r>
            <w:r w:rsidRPr="00107430">
              <w:t xml:space="preserve"> for this measure are:</w:t>
            </w:r>
          </w:p>
          <w:p w:rsidR="004F3166" w:rsidRDefault="004F3166" w:rsidP="00E9599A">
            <w:pPr>
              <w:pStyle w:val="BoxListBullet"/>
            </w:pPr>
            <w:r w:rsidRPr="00107430">
              <w:t>comparable (subject to caveats) within jurisdictions over time but are not comparable across jurisdictions</w:t>
            </w:r>
          </w:p>
          <w:p w:rsidR="004F3166" w:rsidRPr="0054109B" w:rsidRDefault="004F3166" w:rsidP="00E9599A">
            <w:pPr>
              <w:pStyle w:val="BoxListBullet"/>
            </w:pPr>
            <w:r>
              <w:t>complete (subject to caveats) for the current reporting period</w:t>
            </w:r>
            <w:r w:rsidRPr="00107430">
              <w:t xml:space="preserve">. All required </w:t>
            </w:r>
            <w:r w:rsidR="00FA5D77">
              <w:t>2013</w:t>
            </w:r>
            <w:r w:rsidR="0026487F">
              <w:noBreakHyphen/>
            </w:r>
            <w:r w:rsidR="00FA5D77">
              <w:t>14</w:t>
            </w:r>
            <w:r>
              <w:t xml:space="preserve"> </w:t>
            </w:r>
            <w:r w:rsidRPr="00107430">
              <w:t>data are available for all jurisdictions.</w:t>
            </w:r>
          </w:p>
          <w:p w:rsidR="004F3166" w:rsidRPr="00A119A1" w:rsidRDefault="004F3166" w:rsidP="00E9599A">
            <w:pPr>
              <w:pStyle w:val="Box"/>
            </w:pPr>
            <w:r w:rsidRPr="0054109B">
              <w:t>Data quality information for this indicator</w:t>
            </w:r>
            <w:r w:rsidR="00DA507A">
              <w:t xml:space="preserve"> is at www.pc.gov.au</w:t>
            </w:r>
            <w:r w:rsidR="00992CC1">
              <w:t>/rogs/2015</w:t>
            </w:r>
            <w:r w:rsidRPr="0054109B">
              <w:t>.</w:t>
            </w:r>
          </w:p>
        </w:tc>
      </w:tr>
      <w:tr w:rsidR="004F3166" w:rsidTr="00E9599A">
        <w:trPr>
          <w:cantSplit/>
        </w:trPr>
        <w:tc>
          <w:tcPr>
            <w:tcW w:w="8771" w:type="dxa"/>
            <w:tcBorders>
              <w:top w:val="nil"/>
              <w:left w:val="nil"/>
              <w:bottom w:val="single" w:sz="6" w:space="0" w:color="78A22F"/>
              <w:right w:val="nil"/>
            </w:tcBorders>
            <w:shd w:val="clear" w:color="auto" w:fill="F2F2F2" w:themeFill="background1" w:themeFillShade="F2"/>
          </w:tcPr>
          <w:p w:rsidR="004F3166" w:rsidRDefault="004F3166">
            <w:pPr>
              <w:pStyle w:val="Box"/>
              <w:spacing w:before="0" w:line="120" w:lineRule="exact"/>
            </w:pPr>
          </w:p>
        </w:tc>
      </w:tr>
      <w:tr w:rsidR="004F3166" w:rsidRPr="000863A5" w:rsidTr="00E9599A">
        <w:tc>
          <w:tcPr>
            <w:tcW w:w="8771" w:type="dxa"/>
            <w:tcBorders>
              <w:top w:val="single" w:sz="6" w:space="0" w:color="78A22F"/>
              <w:left w:val="nil"/>
              <w:bottom w:val="nil"/>
              <w:right w:val="nil"/>
            </w:tcBorders>
          </w:tcPr>
          <w:p w:rsidR="004F3166" w:rsidRPr="00626D32" w:rsidRDefault="004F3166" w:rsidP="00E9599A">
            <w:pPr>
              <w:pStyle w:val="BoxSpaceBelow"/>
            </w:pPr>
          </w:p>
        </w:tc>
      </w:tr>
    </w:tbl>
    <w:p w:rsidR="00B67C47" w:rsidRDefault="00B67C47" w:rsidP="00B67C47">
      <w:pPr>
        <w:pStyle w:val="BodyText"/>
      </w:pPr>
      <w:r>
        <w:t xml:space="preserve">Nationally in </w:t>
      </w:r>
      <w:r w:rsidR="00FA5D77">
        <w:t>2013</w:t>
      </w:r>
      <w:r w:rsidR="0026487F">
        <w:noBreakHyphen/>
      </w:r>
      <w:r w:rsidR="00FA5D77">
        <w:t>14</w:t>
      </w:r>
      <w:r>
        <w:t xml:space="preserve">, ambulance service organisations answered </w:t>
      </w:r>
      <w:r w:rsidR="008C1F96">
        <w:t>89.4</w:t>
      </w:r>
      <w:r w:rsidR="003F4B59">
        <w:t xml:space="preserve"> </w:t>
      </w:r>
      <w:r>
        <w:t>per</w:t>
      </w:r>
      <w:r w:rsidR="003F4B59">
        <w:t xml:space="preserve"> </w:t>
      </w:r>
      <w:r>
        <w:t>cent of calls from the emergency call service for triple zero (000) within ten seconds or less, although this proportion varied across jurisdictions (figure</w:t>
      </w:r>
      <w:r w:rsidR="002F0A85">
        <w:t> </w:t>
      </w:r>
      <w:r w:rsidR="00800D6F">
        <w:t>9.27</w:t>
      </w:r>
      <w:r>
        <w:t>).</w:t>
      </w:r>
    </w:p>
    <w:p w:rsidR="004F3166" w:rsidRDefault="004F3166" w:rsidP="00E959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F3166" w:rsidTr="00E9599A">
        <w:tc>
          <w:tcPr>
            <w:tcW w:w="8771" w:type="dxa"/>
            <w:tcBorders>
              <w:top w:val="single" w:sz="6" w:space="0" w:color="78A22F"/>
              <w:left w:val="nil"/>
              <w:bottom w:val="nil"/>
              <w:right w:val="nil"/>
            </w:tcBorders>
            <w:shd w:val="clear" w:color="auto" w:fill="auto"/>
          </w:tcPr>
          <w:p w:rsidR="004F3166" w:rsidRPr="00176D3F" w:rsidRDefault="004F3166" w:rsidP="00C352E7">
            <w:pPr>
              <w:pStyle w:val="FigureTitle"/>
            </w:pPr>
            <w:r w:rsidRPr="00784A05">
              <w:rPr>
                <w:b w:val="0"/>
              </w:rPr>
              <w:t xml:space="preserve">Figure </w:t>
            </w:r>
            <w:bookmarkStart w:id="96" w:name="OLE_LINK49"/>
            <w:r w:rsidR="008C1F96">
              <w:rPr>
                <w:b w:val="0"/>
              </w:rPr>
              <w:t>9.</w:t>
            </w:r>
            <w:r w:rsidR="00D52162">
              <w:rPr>
                <w:b w:val="0"/>
                <w:noProof/>
              </w:rPr>
              <w:t>27</w:t>
            </w:r>
            <w:bookmarkEnd w:id="96"/>
            <w:r>
              <w:tab/>
            </w:r>
            <w:r w:rsidRPr="00275CD5">
              <w:t xml:space="preserve">Proportion </w:t>
            </w:r>
            <w:r>
              <w:t xml:space="preserve">of </w:t>
            </w:r>
            <w:r w:rsidRPr="006C3996">
              <w:t xml:space="preserve">calls from the </w:t>
            </w:r>
            <w:r>
              <w:t xml:space="preserve">emergency call </w:t>
            </w:r>
            <w:r w:rsidRPr="006C3996">
              <w:t>service answered by ambulance service communication centre staff in a time equal to or less than 10 seconds</w:t>
            </w:r>
            <w:r>
              <w:t xml:space="preserve">, </w:t>
            </w:r>
            <w:r w:rsidR="00FA5D77">
              <w:t>2013</w:t>
            </w:r>
            <w:r w:rsidR="0026487F">
              <w:noBreakHyphen/>
            </w:r>
            <w:r w:rsidR="00FA5D77">
              <w:t>14</w:t>
            </w:r>
            <w:r>
              <w:rPr>
                <w:vertAlign w:val="superscript"/>
              </w:rPr>
              <w:t xml:space="preserve">a, b, </w:t>
            </w:r>
            <w:r w:rsidRPr="00A90E73">
              <w:rPr>
                <w:vertAlign w:val="superscript"/>
              </w:rPr>
              <w:t>c</w:t>
            </w:r>
          </w:p>
        </w:tc>
      </w:tr>
      <w:tr w:rsidR="004F3166" w:rsidTr="00E9599A">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4F3166" w:rsidTr="00677D4D">
              <w:tc>
                <w:tcPr>
                  <w:tcW w:w="5000" w:type="pct"/>
                  <w:tcBorders>
                    <w:top w:val="nil"/>
                    <w:bottom w:val="nil"/>
                  </w:tcBorders>
                </w:tcPr>
                <w:p w:rsidR="004F3166" w:rsidRDefault="00F82339" w:rsidP="00C352E7">
                  <w:pPr>
                    <w:pStyle w:val="Figure"/>
                    <w:spacing w:before="60" w:after="60"/>
                  </w:pPr>
                  <w:r>
                    <w:rPr>
                      <w:noProof/>
                    </w:rPr>
                    <w:drawing>
                      <wp:inline distT="0" distB="0" distL="0" distR="0" wp14:anchorId="2C988D4D" wp14:editId="73719983">
                        <wp:extent cx="5405755" cy="2707640"/>
                        <wp:effectExtent l="0" t="0" r="4445" b="0"/>
                        <wp:docPr id="32" name="Picture 32" descr="Figure 9.27 Proportion of calls from the emergency call service answered by ambulance service communication centre staff in a time equal to or less than 10 seconds,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4F3166" w:rsidRDefault="004F3166" w:rsidP="00C352E7">
            <w:pPr>
              <w:pStyle w:val="Figure"/>
            </w:pPr>
          </w:p>
        </w:tc>
      </w:tr>
      <w:tr w:rsidR="004F3166" w:rsidRPr="00176D3F" w:rsidTr="00E9599A">
        <w:tc>
          <w:tcPr>
            <w:tcW w:w="8771" w:type="dxa"/>
            <w:tcBorders>
              <w:top w:val="nil"/>
              <w:left w:val="nil"/>
              <w:bottom w:val="nil"/>
              <w:right w:val="nil"/>
            </w:tcBorders>
            <w:shd w:val="clear" w:color="auto" w:fill="auto"/>
          </w:tcPr>
          <w:p w:rsidR="004F3166" w:rsidRPr="00176D3F" w:rsidRDefault="00C352E7" w:rsidP="00C352E7">
            <w:pPr>
              <w:pStyle w:val="Note"/>
              <w:keepNext/>
            </w:pPr>
            <w:proofErr w:type="spellStart"/>
            <w:r w:rsidRPr="002605A8">
              <w:rPr>
                <w:rStyle w:val="NoteLabel"/>
              </w:rPr>
              <w:t>a</w:t>
            </w:r>
            <w:proofErr w:type="spellEnd"/>
            <w:r w:rsidRPr="002605A8">
              <w:t xml:space="preserve"> Ambulance Service triple zero</w:t>
            </w:r>
            <w:r>
              <w:t xml:space="preserve"> (000)</w:t>
            </w:r>
            <w:r w:rsidRPr="002605A8">
              <w:t xml:space="preserve"> call answering time is defined </w:t>
            </w:r>
            <w:r>
              <w:t xml:space="preserve">as </w:t>
            </w:r>
            <w:r w:rsidRPr="00A119A1">
              <w:t xml:space="preserve">the time interval commencing when the emergency call </w:t>
            </w:r>
            <w:r>
              <w:t>service</w:t>
            </w:r>
            <w:r w:rsidRPr="00A119A1">
              <w:t xml:space="preserve"> has answered the </w:t>
            </w:r>
            <w:r>
              <w:t>triple zero (000)</w:t>
            </w:r>
            <w:r w:rsidRPr="00A119A1">
              <w:t xml:space="preserve"> call and selected the desired emergency service organisation to when the </w:t>
            </w:r>
            <w:r>
              <w:t xml:space="preserve">ambulance service organisation </w:t>
            </w:r>
            <w:r w:rsidRPr="00A119A1">
              <w:t>has answered the call.</w:t>
            </w:r>
            <w:r>
              <w:t xml:space="preserve"> </w:t>
            </w:r>
            <w:r w:rsidRPr="002605A8">
              <w:rPr>
                <w:rStyle w:val="NoteLabel"/>
              </w:rPr>
              <w:t>b</w:t>
            </w:r>
            <w:r w:rsidRPr="002605A8">
              <w:t> </w:t>
            </w:r>
            <w:r w:rsidRPr="00E10E7C">
              <w:t>Data sourced from Telstra may include additional time as the Emergency Call Person (Telstra) ensures the call has been answered which may involve some three way conversation. Some services subtract a fixed time from the Telstra reported times to allow for the time after the call is answered until the Telstra agent disconnects from the call.</w:t>
            </w:r>
            <w:r w:rsidRPr="00B84F36">
              <w:rPr>
                <w:rStyle w:val="NoteLabel"/>
              </w:rPr>
              <w:t xml:space="preserve"> </w:t>
            </w:r>
            <w:r>
              <w:rPr>
                <w:rStyle w:val="NoteLabel"/>
              </w:rPr>
              <w:t>c</w:t>
            </w:r>
            <w:r w:rsidRPr="002605A8">
              <w:t> </w:t>
            </w:r>
            <w:r w:rsidRPr="00A90E73">
              <w:t>SA: SA Ambulance Service sources data from internal systems and might not be comparable with other services where data are provided by Telstra.</w:t>
            </w:r>
          </w:p>
        </w:tc>
      </w:tr>
      <w:tr w:rsidR="004F3166" w:rsidRPr="00176D3F" w:rsidTr="00E9599A">
        <w:tc>
          <w:tcPr>
            <w:tcW w:w="8771" w:type="dxa"/>
            <w:tcBorders>
              <w:top w:val="nil"/>
              <w:left w:val="nil"/>
              <w:bottom w:val="nil"/>
              <w:right w:val="nil"/>
            </w:tcBorders>
            <w:shd w:val="clear" w:color="auto" w:fill="auto"/>
          </w:tcPr>
          <w:p w:rsidR="004F3166" w:rsidRPr="00176D3F" w:rsidRDefault="00C352E7" w:rsidP="00E9599A">
            <w:pPr>
              <w:pStyle w:val="Source"/>
            </w:pPr>
            <w:r w:rsidRPr="002605A8">
              <w:rPr>
                <w:i/>
              </w:rPr>
              <w:t>Source</w:t>
            </w:r>
            <w:r w:rsidRPr="002605A8">
              <w:t>: State and Territory governments; table</w:t>
            </w:r>
            <w:r>
              <w:t> 9A.45</w:t>
            </w:r>
            <w:r w:rsidRPr="002605A8">
              <w:t>.</w:t>
            </w:r>
          </w:p>
        </w:tc>
      </w:tr>
      <w:tr w:rsidR="004F3166" w:rsidTr="00E9599A">
        <w:tc>
          <w:tcPr>
            <w:tcW w:w="8771" w:type="dxa"/>
            <w:tcBorders>
              <w:top w:val="nil"/>
              <w:left w:val="nil"/>
              <w:bottom w:val="single" w:sz="6" w:space="0" w:color="78A22F"/>
              <w:right w:val="nil"/>
            </w:tcBorders>
            <w:shd w:val="clear" w:color="auto" w:fill="auto"/>
          </w:tcPr>
          <w:p w:rsidR="004F3166" w:rsidRDefault="004F3166" w:rsidP="00E9599A">
            <w:pPr>
              <w:pStyle w:val="Figurespace"/>
            </w:pPr>
          </w:p>
        </w:tc>
      </w:tr>
      <w:tr w:rsidR="004F3166" w:rsidRPr="000863A5" w:rsidTr="00E9599A">
        <w:tc>
          <w:tcPr>
            <w:tcW w:w="8771" w:type="dxa"/>
            <w:tcBorders>
              <w:top w:val="single" w:sz="6" w:space="0" w:color="78A22F"/>
              <w:left w:val="nil"/>
              <w:bottom w:val="nil"/>
              <w:right w:val="nil"/>
            </w:tcBorders>
          </w:tcPr>
          <w:p w:rsidR="004F3166" w:rsidRPr="00626D32" w:rsidRDefault="004F3166" w:rsidP="00E9599A">
            <w:pPr>
              <w:pStyle w:val="BoxSpaceBelow"/>
            </w:pPr>
          </w:p>
        </w:tc>
      </w:tr>
    </w:tbl>
    <w:p w:rsidR="00986A8B" w:rsidRPr="002605A8" w:rsidRDefault="00986A8B" w:rsidP="00986A8B">
      <w:pPr>
        <w:pStyle w:val="Heading4"/>
      </w:pPr>
      <w:r w:rsidRPr="002605A8">
        <w:t>Effectiveness — appropriateness</w:t>
      </w:r>
    </w:p>
    <w:p w:rsidR="00986A8B" w:rsidRDefault="00986A8B" w:rsidP="00F43F2A">
      <w:pPr>
        <w:pStyle w:val="BodyText"/>
      </w:pPr>
      <w:r w:rsidRPr="002605A8">
        <w:t xml:space="preserve">Appropriateness indicators measure governments’ objective </w:t>
      </w:r>
      <w:r w:rsidR="00F43F2A" w:rsidRPr="002605A8">
        <w:t xml:space="preserve">of providing </w:t>
      </w:r>
      <w:r w:rsidR="00F43F2A" w:rsidRPr="00F43F2A">
        <w:t>pre</w:t>
      </w:r>
      <w:r w:rsidR="00F43F2A">
        <w:noBreakHyphen/>
      </w:r>
      <w:r w:rsidR="00F43F2A" w:rsidRPr="00F43F2A">
        <w:t>hospital and out</w:t>
      </w:r>
      <w:r w:rsidR="00CC7814">
        <w:noBreakHyphen/>
      </w:r>
      <w:r w:rsidR="00F43F2A" w:rsidRPr="00F43F2A">
        <w:t>of</w:t>
      </w:r>
      <w:r w:rsidR="00CC7814">
        <w:noBreakHyphen/>
      </w:r>
      <w:r w:rsidR="00F43F2A" w:rsidRPr="00F43F2A">
        <w:t>hospital care and patient transport services, that are high quality, timely, and meet clients’ needs through delivery of coordinated and responsive health care</w:t>
      </w:r>
      <w:r w:rsidRPr="0054109B">
        <w:t xml:space="preserve"> (box</w:t>
      </w:r>
      <w:r w:rsidR="002F0A85">
        <w:t> </w:t>
      </w:r>
      <w:r w:rsidR="00800D6F">
        <w:t>9.22</w:t>
      </w:r>
      <w:r w:rsidRPr="0054109B">
        <w:t>).</w:t>
      </w:r>
    </w:p>
    <w:p w:rsidR="00C352E7" w:rsidRDefault="00C352E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352E7" w:rsidTr="00E9599A">
        <w:tc>
          <w:tcPr>
            <w:tcW w:w="8771" w:type="dxa"/>
            <w:tcBorders>
              <w:top w:val="single" w:sz="6" w:space="0" w:color="78A22F"/>
              <w:left w:val="nil"/>
              <w:bottom w:val="nil"/>
              <w:right w:val="nil"/>
            </w:tcBorders>
            <w:shd w:val="clear" w:color="auto" w:fill="F2F2F2" w:themeFill="background1" w:themeFillShade="F2"/>
          </w:tcPr>
          <w:p w:rsidR="00C352E7" w:rsidRDefault="00C352E7" w:rsidP="00C352E7">
            <w:pPr>
              <w:pStyle w:val="BoxTitle"/>
            </w:pPr>
            <w:r>
              <w:rPr>
                <w:b w:val="0"/>
              </w:rPr>
              <w:t xml:space="preserve">Box </w:t>
            </w:r>
            <w:bookmarkStart w:id="97" w:name="OLE_LINK50"/>
            <w:r w:rsidR="008C1F96">
              <w:rPr>
                <w:b w:val="0"/>
              </w:rPr>
              <w:t>9.</w:t>
            </w:r>
            <w:r w:rsidR="00D52162">
              <w:rPr>
                <w:b w:val="0"/>
                <w:noProof/>
              </w:rPr>
              <w:t>22</w:t>
            </w:r>
            <w:bookmarkEnd w:id="97"/>
            <w:r>
              <w:tab/>
            </w:r>
            <w:r w:rsidRPr="00BB5D10">
              <w:t>Performance indicator — appropriateness</w:t>
            </w:r>
          </w:p>
        </w:tc>
      </w:tr>
      <w:tr w:rsidR="00C352E7" w:rsidTr="00E9599A">
        <w:trPr>
          <w:cantSplit/>
        </w:trPr>
        <w:tc>
          <w:tcPr>
            <w:tcW w:w="8771" w:type="dxa"/>
            <w:tcBorders>
              <w:top w:val="nil"/>
              <w:left w:val="nil"/>
              <w:bottom w:val="nil"/>
              <w:right w:val="nil"/>
            </w:tcBorders>
            <w:shd w:val="clear" w:color="auto" w:fill="F2F2F2" w:themeFill="background1" w:themeFillShade="F2"/>
          </w:tcPr>
          <w:p w:rsidR="00C352E7" w:rsidRPr="00BB5D10" w:rsidRDefault="00C352E7" w:rsidP="00E9599A">
            <w:pPr>
              <w:pStyle w:val="Box"/>
            </w:pPr>
            <w:r w:rsidRPr="00BB5D10">
              <w:t>‘Appropriateness’ indicators measure how well services meet clients’ needs.</w:t>
            </w:r>
          </w:p>
          <w:p w:rsidR="00C352E7" w:rsidRPr="00BB5D10" w:rsidRDefault="00C352E7" w:rsidP="00E9599A">
            <w:pPr>
              <w:pStyle w:val="Box"/>
            </w:pPr>
            <w:r w:rsidRPr="00BB5D10">
              <w:t>Appropriateness has been identified as a key area for development in future reports.</w:t>
            </w:r>
          </w:p>
        </w:tc>
      </w:tr>
      <w:tr w:rsidR="00C352E7" w:rsidTr="00E9599A">
        <w:trPr>
          <w:cantSplit/>
        </w:trPr>
        <w:tc>
          <w:tcPr>
            <w:tcW w:w="8771" w:type="dxa"/>
            <w:tcBorders>
              <w:top w:val="nil"/>
              <w:left w:val="nil"/>
              <w:bottom w:val="single" w:sz="6" w:space="0" w:color="78A22F"/>
              <w:right w:val="nil"/>
            </w:tcBorders>
            <w:shd w:val="clear" w:color="auto" w:fill="F2F2F2" w:themeFill="background1" w:themeFillShade="F2"/>
          </w:tcPr>
          <w:p w:rsidR="00C352E7" w:rsidRDefault="00C352E7">
            <w:pPr>
              <w:pStyle w:val="Box"/>
              <w:spacing w:before="0" w:line="120" w:lineRule="exact"/>
            </w:pPr>
          </w:p>
        </w:tc>
      </w:tr>
      <w:tr w:rsidR="00C352E7" w:rsidRPr="000863A5" w:rsidTr="00E9599A">
        <w:tc>
          <w:tcPr>
            <w:tcW w:w="8771" w:type="dxa"/>
            <w:tcBorders>
              <w:top w:val="single" w:sz="6" w:space="0" w:color="78A22F"/>
              <w:left w:val="nil"/>
              <w:bottom w:val="nil"/>
              <w:right w:val="nil"/>
            </w:tcBorders>
          </w:tcPr>
          <w:p w:rsidR="00C352E7" w:rsidRPr="00626D32" w:rsidRDefault="00C352E7" w:rsidP="00E9599A">
            <w:pPr>
              <w:pStyle w:val="BoxSpaceBelow"/>
            </w:pPr>
          </w:p>
        </w:tc>
      </w:tr>
    </w:tbl>
    <w:p w:rsidR="00986A8B" w:rsidRPr="00BB5D10" w:rsidRDefault="00986A8B" w:rsidP="00986A8B">
      <w:pPr>
        <w:pStyle w:val="Heading4"/>
      </w:pPr>
      <w:r w:rsidRPr="00BB5D10">
        <w:lastRenderedPageBreak/>
        <w:t>Effectiveness — quality — safety</w:t>
      </w:r>
    </w:p>
    <w:p w:rsidR="00986A8B" w:rsidRPr="00BB5D10" w:rsidRDefault="00986A8B" w:rsidP="00986A8B">
      <w:pPr>
        <w:pStyle w:val="BodyText"/>
      </w:pPr>
      <w:r w:rsidRPr="00BB5D10">
        <w:t xml:space="preserve">Quality indicators reflect the extent to which a service is suited to its purpose and conforms to specifications </w:t>
      </w:r>
      <w:r w:rsidR="00B444CD">
        <w:t xml:space="preserve">that can measure </w:t>
      </w:r>
      <w:r w:rsidRPr="00BB5D10">
        <w:t xml:space="preserve">specific aspects of quality. </w:t>
      </w:r>
    </w:p>
    <w:p w:rsidR="00986A8B" w:rsidRPr="00BB5D10" w:rsidRDefault="00986A8B" w:rsidP="00986A8B">
      <w:pPr>
        <w:pStyle w:val="BodyText"/>
      </w:pPr>
      <w:r w:rsidRPr="00BB5D10">
        <w:t>Safety is the avoidance, or reduction to acceptable levels, of actual or potential harm from ambulance services. Safety has been identified as a key area for development in future reports.</w:t>
      </w:r>
    </w:p>
    <w:p w:rsidR="00986A8B" w:rsidRPr="00BB5D10" w:rsidRDefault="00986A8B" w:rsidP="003E3D7E">
      <w:pPr>
        <w:pStyle w:val="Heading5"/>
      </w:pPr>
      <w:r w:rsidRPr="00BB5D10">
        <w:t>Clinical incidents</w:t>
      </w:r>
    </w:p>
    <w:p w:rsidR="00986A8B" w:rsidRDefault="00986A8B" w:rsidP="00986A8B">
      <w:pPr>
        <w:pStyle w:val="BodyText"/>
      </w:pPr>
      <w:r w:rsidRPr="00BB5D10">
        <w:t>‘Clinical incidents’ ha</w:t>
      </w:r>
      <w:r w:rsidR="007256E4">
        <w:t>s</w:t>
      </w:r>
      <w:r w:rsidRPr="00BB5D10">
        <w:t xml:space="preserve"> been identified as an overarching indicator of governments’ objective </w:t>
      </w:r>
      <w:r w:rsidR="00F43F2A" w:rsidRPr="00BB5D10">
        <w:t>of providing pre</w:t>
      </w:r>
      <w:r w:rsidR="00F43F2A" w:rsidRPr="00BB5D10">
        <w:noBreakHyphen/>
        <w:t>hospital and out</w:t>
      </w:r>
      <w:r w:rsidR="00CC7814">
        <w:noBreakHyphen/>
      </w:r>
      <w:r w:rsidR="00F43F2A" w:rsidRPr="00BB5D10">
        <w:t>of</w:t>
      </w:r>
      <w:r w:rsidR="00CC7814">
        <w:noBreakHyphen/>
      </w:r>
      <w:r w:rsidR="00F43F2A" w:rsidRPr="00BB5D10">
        <w:t xml:space="preserve">hospital care and patient transport services, that are high quality, timely, and meet clients’ needs through delivery of coordinated and responsive health care </w:t>
      </w:r>
      <w:r w:rsidRPr="00BB5D10">
        <w:t>(box</w:t>
      </w:r>
      <w:r w:rsidR="002F0A85">
        <w:t> </w:t>
      </w:r>
      <w:r w:rsidR="00800D6F">
        <w:t>9.23</w:t>
      </w:r>
      <w:r w:rsidRPr="00BB5D10">
        <w:t xml:space="preserve">). </w:t>
      </w:r>
    </w:p>
    <w:p w:rsidR="00C352E7" w:rsidRDefault="00C352E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352E7" w:rsidTr="00E9599A">
        <w:tc>
          <w:tcPr>
            <w:tcW w:w="8771" w:type="dxa"/>
            <w:tcBorders>
              <w:top w:val="single" w:sz="6" w:space="0" w:color="78A22F"/>
              <w:left w:val="nil"/>
              <w:bottom w:val="nil"/>
              <w:right w:val="nil"/>
            </w:tcBorders>
            <w:shd w:val="clear" w:color="auto" w:fill="F2F2F2" w:themeFill="background1" w:themeFillShade="F2"/>
          </w:tcPr>
          <w:p w:rsidR="00C352E7" w:rsidRDefault="00C352E7" w:rsidP="00C352E7">
            <w:pPr>
              <w:pStyle w:val="BoxTitle"/>
            </w:pPr>
            <w:r>
              <w:rPr>
                <w:b w:val="0"/>
              </w:rPr>
              <w:t xml:space="preserve">Box </w:t>
            </w:r>
            <w:bookmarkStart w:id="98" w:name="OLE_LINK51"/>
            <w:r w:rsidR="008C1F96">
              <w:rPr>
                <w:b w:val="0"/>
              </w:rPr>
              <w:t>9.</w:t>
            </w:r>
            <w:r w:rsidR="00D52162">
              <w:rPr>
                <w:b w:val="0"/>
                <w:noProof/>
              </w:rPr>
              <w:t>23</w:t>
            </w:r>
            <w:bookmarkEnd w:id="98"/>
            <w:r>
              <w:tab/>
            </w:r>
            <w:r w:rsidRPr="00BB5D10">
              <w:t>Clinical incidents</w:t>
            </w:r>
          </w:p>
        </w:tc>
      </w:tr>
      <w:tr w:rsidR="00C352E7" w:rsidTr="00E9599A">
        <w:trPr>
          <w:cantSplit/>
        </w:trPr>
        <w:tc>
          <w:tcPr>
            <w:tcW w:w="8771" w:type="dxa"/>
            <w:tcBorders>
              <w:top w:val="nil"/>
              <w:left w:val="nil"/>
              <w:bottom w:val="nil"/>
              <w:right w:val="nil"/>
            </w:tcBorders>
            <w:shd w:val="clear" w:color="auto" w:fill="F2F2F2" w:themeFill="background1" w:themeFillShade="F2"/>
          </w:tcPr>
          <w:p w:rsidR="00C352E7" w:rsidRPr="00BB5D10" w:rsidRDefault="00C352E7" w:rsidP="00E9599A">
            <w:pPr>
              <w:pStyle w:val="Box"/>
            </w:pPr>
            <w:r w:rsidRPr="00BB5D10">
              <w:t>‘Clinical incidents’ are broadly defined as adverse events that occur because of ambulance service system failure, which result in death or serious harm to a patient.</w:t>
            </w:r>
          </w:p>
          <w:p w:rsidR="00C352E7" w:rsidRPr="00BB5D10" w:rsidRDefault="00C352E7" w:rsidP="00E9599A">
            <w:pPr>
              <w:pStyle w:val="Box"/>
            </w:pPr>
            <w:r w:rsidRPr="00BB5D10">
              <w:t xml:space="preserve">Clinical incidents will incorporate a wider range of categories than </w:t>
            </w:r>
            <w:r w:rsidR="0030658E" w:rsidRPr="00446594">
              <w:t>the national core set of hospital sentinel events</w:t>
            </w:r>
            <w:r w:rsidRPr="00BB5D10">
              <w:t xml:space="preserve">. </w:t>
            </w:r>
            <w:r w:rsidR="0030658E" w:rsidRPr="00446594">
              <w:t>Hospital</w:t>
            </w:r>
            <w:r w:rsidR="0030658E">
              <w:t xml:space="preserve"> </w:t>
            </w:r>
            <w:r w:rsidRPr="00BB5D10">
              <w:t>sentinel event</w:t>
            </w:r>
            <w:r w:rsidR="0030658E">
              <w:t>s</w:t>
            </w:r>
            <w:r w:rsidRPr="00BB5D10">
              <w:t xml:space="preserve"> </w:t>
            </w:r>
            <w:r w:rsidR="0030658E">
              <w:t xml:space="preserve">are adverse events that occur because of hospital system and process deficiencies, and which result in the death of, or serious harm to, a patient </w:t>
            </w:r>
            <w:r w:rsidR="0030658E" w:rsidRPr="00446594">
              <w:t>(chapter 11)</w:t>
            </w:r>
            <w:r>
              <w:t>.</w:t>
            </w:r>
            <w:r w:rsidRPr="00BB5D10">
              <w:t xml:space="preserve"> </w:t>
            </w:r>
          </w:p>
          <w:p w:rsidR="00C352E7" w:rsidRPr="00BB5D10" w:rsidRDefault="00C352E7" w:rsidP="00E9599A">
            <w:pPr>
              <w:pStyle w:val="Box"/>
            </w:pPr>
            <w:r w:rsidRPr="00BB5D10">
              <w:t>This indicator has been identified for development (through the CAA and in accordance with national health</w:t>
            </w:r>
            <w:r w:rsidRPr="00BB5D10">
              <w:noBreakHyphen/>
              <w:t>wide reporting standards) and reporting in future.</w:t>
            </w:r>
          </w:p>
        </w:tc>
      </w:tr>
      <w:tr w:rsidR="00C352E7" w:rsidTr="00E9599A">
        <w:trPr>
          <w:cantSplit/>
        </w:trPr>
        <w:tc>
          <w:tcPr>
            <w:tcW w:w="8771" w:type="dxa"/>
            <w:tcBorders>
              <w:top w:val="nil"/>
              <w:left w:val="nil"/>
              <w:bottom w:val="single" w:sz="6" w:space="0" w:color="78A22F"/>
              <w:right w:val="nil"/>
            </w:tcBorders>
            <w:shd w:val="clear" w:color="auto" w:fill="F2F2F2" w:themeFill="background1" w:themeFillShade="F2"/>
          </w:tcPr>
          <w:p w:rsidR="00C352E7" w:rsidRDefault="00C352E7">
            <w:pPr>
              <w:pStyle w:val="Box"/>
              <w:spacing w:before="0" w:line="120" w:lineRule="exact"/>
            </w:pPr>
          </w:p>
        </w:tc>
      </w:tr>
      <w:tr w:rsidR="00C352E7" w:rsidRPr="000863A5" w:rsidTr="00E9599A">
        <w:tc>
          <w:tcPr>
            <w:tcW w:w="8771" w:type="dxa"/>
            <w:tcBorders>
              <w:top w:val="single" w:sz="6" w:space="0" w:color="78A22F"/>
              <w:left w:val="nil"/>
              <w:bottom w:val="nil"/>
              <w:right w:val="nil"/>
            </w:tcBorders>
          </w:tcPr>
          <w:p w:rsidR="00C352E7" w:rsidRPr="00626D32" w:rsidRDefault="00C352E7" w:rsidP="00E9599A">
            <w:pPr>
              <w:pStyle w:val="BoxSpaceBelow"/>
            </w:pPr>
          </w:p>
        </w:tc>
      </w:tr>
    </w:tbl>
    <w:p w:rsidR="00986A8B" w:rsidRPr="00BB5D10" w:rsidRDefault="00986A8B" w:rsidP="00986A8B">
      <w:pPr>
        <w:pStyle w:val="Heading4"/>
      </w:pPr>
      <w:r w:rsidRPr="00BB5D10">
        <w:t>Effectiveness — quality — clinical</w:t>
      </w:r>
    </w:p>
    <w:p w:rsidR="00986A8B" w:rsidRPr="00BB5D10" w:rsidRDefault="00986A8B" w:rsidP="00986A8B">
      <w:pPr>
        <w:pStyle w:val="BodyText"/>
      </w:pPr>
      <w:r w:rsidRPr="00BB5D10">
        <w:t>Clinical indicators measure the effectiveness and quality of clinical interventions and treatments. Clinical indicators have been identified as a key area for development in future reports.</w:t>
      </w:r>
    </w:p>
    <w:p w:rsidR="00986A8B" w:rsidRPr="00BB5D10" w:rsidRDefault="00986A8B" w:rsidP="003E3D7E">
      <w:pPr>
        <w:pStyle w:val="Heading5"/>
      </w:pPr>
      <w:r w:rsidRPr="00BB5D10">
        <w:t>Clinical interventions and treatments</w:t>
      </w:r>
    </w:p>
    <w:p w:rsidR="00986A8B" w:rsidRPr="00BB5D10" w:rsidRDefault="00986A8B" w:rsidP="00F43F2A">
      <w:pPr>
        <w:pStyle w:val="BodyText"/>
      </w:pPr>
      <w:r w:rsidRPr="00BB5D10">
        <w:t xml:space="preserve">‘Clinical interventions and treatments’ has been identified as an overarching indicator of governments’ objective </w:t>
      </w:r>
      <w:r w:rsidR="00F43F2A" w:rsidRPr="00BB5D10">
        <w:t>of providing pre</w:t>
      </w:r>
      <w:r w:rsidR="00F43F2A" w:rsidRPr="00BB5D10">
        <w:noBreakHyphen/>
        <w:t>hospital and out</w:t>
      </w:r>
      <w:r w:rsidR="00CC7814">
        <w:noBreakHyphen/>
      </w:r>
      <w:r w:rsidR="00F43F2A" w:rsidRPr="00BB5D10">
        <w:t>of</w:t>
      </w:r>
      <w:r w:rsidR="00CC7814">
        <w:noBreakHyphen/>
      </w:r>
      <w:r w:rsidR="00F43F2A" w:rsidRPr="00BB5D10">
        <w:t xml:space="preserve">hospital care and patient transport services, that are high quality, timely, and meet clients’ needs through delivery of coordinated and responsive health care </w:t>
      </w:r>
      <w:r w:rsidRPr="00BB5D10">
        <w:t>(box</w:t>
      </w:r>
      <w:r w:rsidR="002F0A85">
        <w:t> </w:t>
      </w:r>
      <w:r w:rsidR="00800D6F">
        <w:t>9.24</w:t>
      </w:r>
      <w:r w:rsidRPr="00BB5D10">
        <w:t xml:space="preserve">). </w:t>
      </w:r>
    </w:p>
    <w:p w:rsidR="00327EDF" w:rsidRDefault="00327EDF" w:rsidP="00327EDF">
      <w:pPr>
        <w:pStyle w:val="BodyText"/>
      </w:pPr>
      <w:r w:rsidRPr="00BB5D10">
        <w:t xml:space="preserve">The indicator ‘cardiac arrest survived event rate’ reported in the outcomes section of this chapter has strong links to clinical interventions and treatments. </w:t>
      </w:r>
    </w:p>
    <w:p w:rsidR="00C352E7" w:rsidRDefault="00C352E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352E7" w:rsidTr="00E9599A">
        <w:tc>
          <w:tcPr>
            <w:tcW w:w="8771" w:type="dxa"/>
            <w:tcBorders>
              <w:top w:val="single" w:sz="6" w:space="0" w:color="78A22F"/>
              <w:left w:val="nil"/>
              <w:bottom w:val="nil"/>
              <w:right w:val="nil"/>
            </w:tcBorders>
            <w:shd w:val="clear" w:color="auto" w:fill="F2F2F2" w:themeFill="background1" w:themeFillShade="F2"/>
          </w:tcPr>
          <w:p w:rsidR="00C352E7" w:rsidRDefault="00C352E7" w:rsidP="00C352E7">
            <w:pPr>
              <w:pStyle w:val="BoxTitle"/>
            </w:pPr>
            <w:r>
              <w:rPr>
                <w:b w:val="0"/>
              </w:rPr>
              <w:t xml:space="preserve">Box </w:t>
            </w:r>
            <w:bookmarkStart w:id="99" w:name="OLE_LINK52"/>
            <w:r w:rsidR="008C1F96">
              <w:rPr>
                <w:b w:val="0"/>
              </w:rPr>
              <w:t>9.</w:t>
            </w:r>
            <w:r w:rsidR="00D52162">
              <w:rPr>
                <w:b w:val="0"/>
                <w:noProof/>
              </w:rPr>
              <w:t>24</w:t>
            </w:r>
            <w:bookmarkEnd w:id="99"/>
            <w:r>
              <w:tab/>
            </w:r>
            <w:r w:rsidRPr="00BB5D10">
              <w:t>Clinical interventions and treatments</w:t>
            </w:r>
          </w:p>
        </w:tc>
      </w:tr>
      <w:tr w:rsidR="00C352E7" w:rsidTr="00E9599A">
        <w:trPr>
          <w:cantSplit/>
        </w:trPr>
        <w:tc>
          <w:tcPr>
            <w:tcW w:w="8771" w:type="dxa"/>
            <w:tcBorders>
              <w:top w:val="nil"/>
              <w:left w:val="nil"/>
              <w:bottom w:val="nil"/>
              <w:right w:val="nil"/>
            </w:tcBorders>
            <w:shd w:val="clear" w:color="auto" w:fill="F2F2F2" w:themeFill="background1" w:themeFillShade="F2"/>
          </w:tcPr>
          <w:p w:rsidR="00C352E7" w:rsidRPr="00BB5D10" w:rsidRDefault="00C352E7" w:rsidP="00E9599A">
            <w:pPr>
              <w:pStyle w:val="Box"/>
            </w:pPr>
            <w:r w:rsidRPr="00BB5D10">
              <w:t>‘Clinical interventions and treatments’ is yet to be defined.</w:t>
            </w:r>
          </w:p>
          <w:p w:rsidR="00C352E7" w:rsidRPr="00BB5D10" w:rsidRDefault="00C352E7" w:rsidP="00E9599A">
            <w:pPr>
              <w:pStyle w:val="Box"/>
            </w:pPr>
            <w:r w:rsidRPr="00BB5D10">
              <w:t xml:space="preserve">In the short to medium term, the clinical dimension is likely to provide indicators of service outputs and outcomes. In the longer term additional clinical measures might include indicators of the effectiveness of ambulance services interventions and treatments. </w:t>
            </w:r>
          </w:p>
          <w:p w:rsidR="00C352E7" w:rsidRPr="00BB5D10" w:rsidRDefault="00C352E7" w:rsidP="00E9599A">
            <w:pPr>
              <w:pStyle w:val="Box"/>
            </w:pPr>
            <w:r w:rsidRPr="00BB5D10">
              <w:t xml:space="preserve">Current development work is focused on </w:t>
            </w:r>
            <w:r>
              <w:t>the pain management indicator</w:t>
            </w:r>
            <w:r w:rsidRPr="00BB5D10">
              <w:t xml:space="preserve"> (in the ambulance events outcomes section)</w:t>
            </w:r>
            <w:r>
              <w:t xml:space="preserve"> and </w:t>
            </w:r>
            <w:r w:rsidRPr="00BB5D10">
              <w:t>an indicator of cardiac arrest</w:t>
            </w:r>
            <w:r>
              <w:t xml:space="preserve"> survival to hospital discharge</w:t>
            </w:r>
            <w:r w:rsidRPr="00BB5D10">
              <w:t>.</w:t>
            </w:r>
          </w:p>
          <w:p w:rsidR="00C352E7" w:rsidRPr="00BB5D10" w:rsidRDefault="00C352E7" w:rsidP="00E9599A">
            <w:pPr>
              <w:pStyle w:val="Box"/>
            </w:pPr>
            <w:r w:rsidRPr="00BB5D10">
              <w:t>This indicator has been identified for development (through the CAA) and reporting in future.</w:t>
            </w:r>
          </w:p>
        </w:tc>
      </w:tr>
      <w:tr w:rsidR="00C352E7" w:rsidTr="00E9599A">
        <w:trPr>
          <w:cantSplit/>
        </w:trPr>
        <w:tc>
          <w:tcPr>
            <w:tcW w:w="8771" w:type="dxa"/>
            <w:tcBorders>
              <w:top w:val="nil"/>
              <w:left w:val="nil"/>
              <w:bottom w:val="single" w:sz="6" w:space="0" w:color="78A22F"/>
              <w:right w:val="nil"/>
            </w:tcBorders>
            <w:shd w:val="clear" w:color="auto" w:fill="F2F2F2" w:themeFill="background1" w:themeFillShade="F2"/>
          </w:tcPr>
          <w:p w:rsidR="00C352E7" w:rsidRDefault="00C352E7">
            <w:pPr>
              <w:pStyle w:val="Box"/>
              <w:spacing w:before="0" w:line="120" w:lineRule="exact"/>
            </w:pPr>
          </w:p>
        </w:tc>
      </w:tr>
      <w:tr w:rsidR="00C352E7" w:rsidRPr="000863A5" w:rsidTr="00E9599A">
        <w:tc>
          <w:tcPr>
            <w:tcW w:w="8771" w:type="dxa"/>
            <w:tcBorders>
              <w:top w:val="single" w:sz="6" w:space="0" w:color="78A22F"/>
              <w:left w:val="nil"/>
              <w:bottom w:val="nil"/>
              <w:right w:val="nil"/>
            </w:tcBorders>
          </w:tcPr>
          <w:p w:rsidR="00C352E7" w:rsidRPr="00626D32" w:rsidRDefault="00C352E7" w:rsidP="00E9599A">
            <w:pPr>
              <w:pStyle w:val="BoxSpaceBelow"/>
            </w:pPr>
          </w:p>
        </w:tc>
      </w:tr>
      <w:tr w:rsidR="00986A8B" w:rsidRPr="00BB5D10" w:rsidTr="00986A8B">
        <w:tblPrEx>
          <w:tblBorders>
            <w:top w:val="single" w:sz="6" w:space="0" w:color="auto"/>
            <w:left w:val="single" w:sz="6" w:space="0" w:color="auto"/>
            <w:bottom w:val="single" w:sz="6" w:space="0" w:color="auto"/>
            <w:right w:val="single" w:sz="6" w:space="0" w:color="auto"/>
          </w:tblBorders>
        </w:tblPrEx>
        <w:tc>
          <w:tcPr>
            <w:tcW w:w="8771" w:type="dxa"/>
            <w:tcBorders>
              <w:top w:val="nil"/>
              <w:left w:val="nil"/>
              <w:bottom w:val="nil"/>
              <w:right w:val="nil"/>
            </w:tcBorders>
          </w:tcPr>
          <w:p w:rsidR="00986A8B" w:rsidRPr="00BB5D10" w:rsidRDefault="00986A8B" w:rsidP="00C352E7">
            <w:pPr>
              <w:rPr>
                <w:b/>
                <w:sz w:val="14"/>
              </w:rPr>
            </w:pPr>
          </w:p>
        </w:tc>
      </w:tr>
    </w:tbl>
    <w:p w:rsidR="00986A8B" w:rsidRPr="00BB5D10" w:rsidRDefault="00986A8B" w:rsidP="00986A8B">
      <w:pPr>
        <w:pStyle w:val="Heading4"/>
      </w:pPr>
      <w:r w:rsidRPr="00BB5D10">
        <w:t>Effectiveness — quality — responsiveness</w:t>
      </w:r>
    </w:p>
    <w:p w:rsidR="00986A8B" w:rsidRPr="00BB5D10" w:rsidRDefault="00986A8B" w:rsidP="00986A8B">
      <w:pPr>
        <w:pStyle w:val="BodyText"/>
      </w:pPr>
      <w:r w:rsidRPr="00BB5D10">
        <w:t>Responsiveness is the provision of services that are client orientated and respectful of clients’ dignity, autonomy, confidentiality, amenity, choices, and social and cultural needs.</w:t>
      </w:r>
    </w:p>
    <w:p w:rsidR="00986A8B" w:rsidRPr="00BB5D10" w:rsidRDefault="00673AC8" w:rsidP="00986A8B">
      <w:pPr>
        <w:pStyle w:val="BodyText"/>
      </w:pPr>
      <w:r>
        <w:t>P</w:t>
      </w:r>
      <w:r w:rsidR="00986A8B" w:rsidRPr="00BB5D10">
        <w:t xml:space="preserve">atient satisfaction reported in the outcomes section of this chapter has strong links to responsiveness. </w:t>
      </w:r>
    </w:p>
    <w:p w:rsidR="00986A8B" w:rsidRPr="00BB5D10" w:rsidRDefault="00986A8B" w:rsidP="00986A8B">
      <w:pPr>
        <w:pStyle w:val="Heading4"/>
      </w:pPr>
      <w:r w:rsidRPr="00BB5D10">
        <w:t>Effectiveness — quality — continuity</w:t>
      </w:r>
    </w:p>
    <w:p w:rsidR="00986A8B" w:rsidRPr="00BB5D10" w:rsidRDefault="00986A8B" w:rsidP="00986A8B">
      <w:pPr>
        <w:pStyle w:val="BodyText"/>
      </w:pPr>
      <w:r w:rsidRPr="00BB5D10">
        <w:t>Continuity is the provision of uninterrupted, timely, coordinated healthcare, interventions and actions across programs, practitioners and organisations. The Steering Committee has identified continuity as a key area for development in future reports.</w:t>
      </w:r>
    </w:p>
    <w:p w:rsidR="00986A8B" w:rsidRPr="00BB5D10" w:rsidRDefault="00986A8B" w:rsidP="003E3D7E">
      <w:pPr>
        <w:pStyle w:val="Heading5"/>
      </w:pPr>
      <w:r w:rsidRPr="00BB5D10">
        <w:t>Continuity of care</w:t>
      </w:r>
    </w:p>
    <w:p w:rsidR="00986A8B" w:rsidRDefault="00986A8B" w:rsidP="00986A8B">
      <w:pPr>
        <w:pStyle w:val="BodyText"/>
      </w:pPr>
      <w:r w:rsidRPr="00BB5D10">
        <w:t xml:space="preserve">‘Continuity of care’ is an indicator of governments’ objective </w:t>
      </w:r>
      <w:r w:rsidR="00F43F2A" w:rsidRPr="00BB5D10">
        <w:t>of providing pre</w:t>
      </w:r>
      <w:r w:rsidR="00F43F2A" w:rsidRPr="00BB5D10">
        <w:noBreakHyphen/>
        <w:t>hospital and out</w:t>
      </w:r>
      <w:r w:rsidR="00CC7814">
        <w:noBreakHyphen/>
      </w:r>
      <w:r w:rsidR="00F43F2A" w:rsidRPr="00BB5D10">
        <w:t>of</w:t>
      </w:r>
      <w:r w:rsidR="00CC7814">
        <w:noBreakHyphen/>
      </w:r>
      <w:r w:rsidR="00F43F2A" w:rsidRPr="00BB5D10">
        <w:t xml:space="preserve">hospital care and patient transport services, that are high quality, timely, and meet clients’ needs through delivery of coordinated and responsive health care </w:t>
      </w:r>
      <w:r w:rsidRPr="00BB5D10">
        <w:t>(box </w:t>
      </w:r>
      <w:r w:rsidR="00800D6F">
        <w:t>9.25</w:t>
      </w:r>
      <w:r w:rsidRPr="00BB5D10">
        <w:t xml:space="preserve">). </w:t>
      </w:r>
    </w:p>
    <w:p w:rsidR="00C352E7" w:rsidRDefault="00C352E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352E7" w:rsidTr="00E9599A">
        <w:tc>
          <w:tcPr>
            <w:tcW w:w="8771" w:type="dxa"/>
            <w:tcBorders>
              <w:top w:val="single" w:sz="6" w:space="0" w:color="78A22F"/>
              <w:left w:val="nil"/>
              <w:bottom w:val="nil"/>
              <w:right w:val="nil"/>
            </w:tcBorders>
            <w:shd w:val="clear" w:color="auto" w:fill="F2F2F2" w:themeFill="background1" w:themeFillShade="F2"/>
          </w:tcPr>
          <w:p w:rsidR="00C352E7" w:rsidRDefault="00C352E7" w:rsidP="00C352E7">
            <w:pPr>
              <w:pStyle w:val="BoxTitle"/>
            </w:pPr>
            <w:r>
              <w:rPr>
                <w:b w:val="0"/>
              </w:rPr>
              <w:t xml:space="preserve">Box </w:t>
            </w:r>
            <w:bookmarkStart w:id="100" w:name="OLE_LINK53"/>
            <w:r w:rsidR="008C1F96">
              <w:rPr>
                <w:b w:val="0"/>
              </w:rPr>
              <w:t>9.</w:t>
            </w:r>
            <w:r w:rsidR="00D52162">
              <w:rPr>
                <w:b w:val="0"/>
                <w:noProof/>
              </w:rPr>
              <w:t>25</w:t>
            </w:r>
            <w:bookmarkEnd w:id="100"/>
            <w:r>
              <w:tab/>
            </w:r>
            <w:r w:rsidRPr="00BB5D10">
              <w:t>Continuity of care</w:t>
            </w:r>
          </w:p>
        </w:tc>
      </w:tr>
      <w:tr w:rsidR="00C352E7" w:rsidTr="00E9599A">
        <w:trPr>
          <w:cantSplit/>
        </w:trPr>
        <w:tc>
          <w:tcPr>
            <w:tcW w:w="8771" w:type="dxa"/>
            <w:tcBorders>
              <w:top w:val="nil"/>
              <w:left w:val="nil"/>
              <w:bottom w:val="nil"/>
              <w:right w:val="nil"/>
            </w:tcBorders>
            <w:shd w:val="clear" w:color="auto" w:fill="F2F2F2" w:themeFill="background1" w:themeFillShade="F2"/>
          </w:tcPr>
          <w:p w:rsidR="00C352E7" w:rsidRDefault="00C352E7" w:rsidP="00C352E7">
            <w:pPr>
              <w:pStyle w:val="Box"/>
            </w:pPr>
            <w:r>
              <w:t>‘Continuity of care’ has been broadly defined as transporting patient</w:t>
            </w:r>
            <w:r w:rsidR="007256E4">
              <w:t>s</w:t>
            </w:r>
            <w:r>
              <w:t xml:space="preserve"> to the right hospital. Some ambulance services have developed protocols under which patients with particular conditions (for example, cardiac and stroke) are transported directly to the hospital or specialised centre where the best treatment for their needs can be provided, rather than transported to the closest hospital where those services might not be available. Transporting critically injured patients directly to specialised Trauma Centres is a further example</w:t>
            </w:r>
            <w:r w:rsidR="007256E4">
              <w:t xml:space="preserve"> of these protocols</w:t>
            </w:r>
            <w:r>
              <w:t>.</w:t>
            </w:r>
          </w:p>
          <w:p w:rsidR="00C352E7" w:rsidRDefault="00C352E7" w:rsidP="00C352E7">
            <w:pPr>
              <w:pStyle w:val="Box"/>
            </w:pPr>
            <w:r>
              <w:t>This indicator has been identified for development (through the CAA) and reporting in future.</w:t>
            </w:r>
          </w:p>
        </w:tc>
      </w:tr>
      <w:tr w:rsidR="00C352E7" w:rsidTr="00E9599A">
        <w:trPr>
          <w:cantSplit/>
        </w:trPr>
        <w:tc>
          <w:tcPr>
            <w:tcW w:w="8771" w:type="dxa"/>
            <w:tcBorders>
              <w:top w:val="nil"/>
              <w:left w:val="nil"/>
              <w:bottom w:val="single" w:sz="6" w:space="0" w:color="78A22F"/>
              <w:right w:val="nil"/>
            </w:tcBorders>
            <w:shd w:val="clear" w:color="auto" w:fill="F2F2F2" w:themeFill="background1" w:themeFillShade="F2"/>
          </w:tcPr>
          <w:p w:rsidR="00C352E7" w:rsidRDefault="00C352E7">
            <w:pPr>
              <w:pStyle w:val="Box"/>
              <w:spacing w:before="0" w:line="120" w:lineRule="exact"/>
            </w:pPr>
          </w:p>
        </w:tc>
      </w:tr>
      <w:tr w:rsidR="00C352E7" w:rsidRPr="000863A5" w:rsidTr="00E9599A">
        <w:tc>
          <w:tcPr>
            <w:tcW w:w="8771" w:type="dxa"/>
            <w:tcBorders>
              <w:top w:val="single" w:sz="6" w:space="0" w:color="78A22F"/>
              <w:left w:val="nil"/>
              <w:bottom w:val="nil"/>
              <w:right w:val="nil"/>
            </w:tcBorders>
          </w:tcPr>
          <w:p w:rsidR="00C352E7" w:rsidRPr="00626D32" w:rsidRDefault="00C352E7" w:rsidP="00E9599A">
            <w:pPr>
              <w:pStyle w:val="BoxSpaceBelow"/>
            </w:pPr>
          </w:p>
        </w:tc>
      </w:tr>
    </w:tbl>
    <w:p w:rsidR="00986A8B" w:rsidRPr="00BB5D10" w:rsidRDefault="00986A8B" w:rsidP="00986A8B">
      <w:pPr>
        <w:pStyle w:val="Heading4"/>
      </w:pPr>
      <w:r w:rsidRPr="00BB5D10">
        <w:lastRenderedPageBreak/>
        <w:t>Effectiveness — sustainability</w:t>
      </w:r>
    </w:p>
    <w:p w:rsidR="00986A8B" w:rsidRDefault="00986A8B" w:rsidP="00986A8B">
      <w:pPr>
        <w:pStyle w:val="BodyText"/>
      </w:pPr>
      <w:r w:rsidRPr="00BB5D10">
        <w:t>Sustainability is the capacity to provide infrastructure (that is, workforce, facilities, and equipment) into the future, be innovative and respond to emerging needs of the community.</w:t>
      </w:r>
    </w:p>
    <w:p w:rsidR="003F4B59" w:rsidRPr="00BB5D10" w:rsidRDefault="003F4B59" w:rsidP="00FD475A">
      <w:pPr>
        <w:pStyle w:val="BodyText"/>
      </w:pPr>
      <w:r>
        <w:t xml:space="preserve">The workforce by age group, staff attrition and paramedics in training indicators should be considered </w:t>
      </w:r>
      <w:r w:rsidR="006E6EFD">
        <w:t>together</w:t>
      </w:r>
      <w:r>
        <w:t xml:space="preserve">. Each provides a different aspect </w:t>
      </w:r>
      <w:r w:rsidR="006E6EFD">
        <w:t xml:space="preserve">of </w:t>
      </w:r>
      <w:r>
        <w:t>the changing profile and sustainability of ambulance service organisations’ workforces.</w:t>
      </w:r>
      <w:r w:rsidR="00FD475A">
        <w:t xml:space="preserve"> </w:t>
      </w:r>
    </w:p>
    <w:p w:rsidR="00986A8B" w:rsidRPr="00BB5D10" w:rsidRDefault="00986A8B" w:rsidP="003E3D7E">
      <w:pPr>
        <w:pStyle w:val="Heading5"/>
        <w:rPr>
          <w:shd w:val="clear" w:color="auto" w:fill="99CCFF"/>
        </w:rPr>
      </w:pPr>
      <w:r w:rsidRPr="00BB5D10">
        <w:t>Workforce by age group</w:t>
      </w:r>
    </w:p>
    <w:p w:rsidR="00986A8B" w:rsidRDefault="00986A8B" w:rsidP="00986A8B">
      <w:pPr>
        <w:pStyle w:val="BodyText"/>
      </w:pPr>
      <w:r w:rsidRPr="00BB5D10">
        <w:t>‘Workforce by age group’ is an indicator of governments’ objective</w:t>
      </w:r>
      <w:r w:rsidR="00F43F2A" w:rsidRPr="00BB5D10">
        <w:t xml:space="preserve"> of pre</w:t>
      </w:r>
      <w:r w:rsidR="00CC7814">
        <w:noBreakHyphen/>
      </w:r>
      <w:r w:rsidR="00F43F2A" w:rsidRPr="00BB5D10">
        <w:t>hospital and out</w:t>
      </w:r>
      <w:r w:rsidR="00CC7814">
        <w:noBreakHyphen/>
      </w:r>
      <w:r w:rsidR="00F43F2A" w:rsidRPr="00BB5D10">
        <w:t>of</w:t>
      </w:r>
      <w:r w:rsidR="00CC7814">
        <w:noBreakHyphen/>
      </w:r>
      <w:r w:rsidR="00F43F2A" w:rsidRPr="00BB5D10">
        <w:t>hospital care and patient transport services, that are effectively, efficiently and sustainably delivered</w:t>
      </w:r>
      <w:r w:rsidRPr="00BB5D10">
        <w:t xml:space="preserve"> (box </w:t>
      </w:r>
      <w:r w:rsidR="00800D6F">
        <w:t>9.26</w:t>
      </w:r>
      <w:r w:rsidRPr="00BB5D10">
        <w:t xml:space="preserve">). </w:t>
      </w:r>
    </w:p>
    <w:p w:rsidR="00C352E7" w:rsidRDefault="00C352E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352E7" w:rsidTr="00E9599A">
        <w:tc>
          <w:tcPr>
            <w:tcW w:w="8771" w:type="dxa"/>
            <w:tcBorders>
              <w:top w:val="single" w:sz="6" w:space="0" w:color="78A22F"/>
              <w:left w:val="nil"/>
              <w:bottom w:val="nil"/>
              <w:right w:val="nil"/>
            </w:tcBorders>
            <w:shd w:val="clear" w:color="auto" w:fill="F2F2F2" w:themeFill="background1" w:themeFillShade="F2"/>
          </w:tcPr>
          <w:p w:rsidR="00C352E7" w:rsidRDefault="00C352E7" w:rsidP="00C352E7">
            <w:pPr>
              <w:pStyle w:val="BoxTitle"/>
            </w:pPr>
            <w:r>
              <w:rPr>
                <w:b w:val="0"/>
              </w:rPr>
              <w:t xml:space="preserve">Box </w:t>
            </w:r>
            <w:bookmarkStart w:id="101" w:name="OLE_LINK54"/>
            <w:r w:rsidR="008C1F96">
              <w:rPr>
                <w:b w:val="0"/>
              </w:rPr>
              <w:t>9.</w:t>
            </w:r>
            <w:r w:rsidR="00D52162">
              <w:rPr>
                <w:b w:val="0"/>
                <w:noProof/>
              </w:rPr>
              <w:t>26</w:t>
            </w:r>
            <w:bookmarkEnd w:id="101"/>
            <w:r>
              <w:tab/>
            </w:r>
            <w:r w:rsidRPr="00BB5D10">
              <w:t>Workforce by age group</w:t>
            </w:r>
          </w:p>
        </w:tc>
      </w:tr>
      <w:tr w:rsidR="00C352E7" w:rsidTr="00E9599A">
        <w:trPr>
          <w:cantSplit/>
        </w:trPr>
        <w:tc>
          <w:tcPr>
            <w:tcW w:w="8771" w:type="dxa"/>
            <w:tcBorders>
              <w:top w:val="nil"/>
              <w:left w:val="nil"/>
              <w:bottom w:val="nil"/>
              <w:right w:val="nil"/>
            </w:tcBorders>
            <w:shd w:val="clear" w:color="auto" w:fill="F2F2F2" w:themeFill="background1" w:themeFillShade="F2"/>
          </w:tcPr>
          <w:p w:rsidR="00C352E7" w:rsidRPr="00BB5D10" w:rsidRDefault="00C352E7" w:rsidP="00E9599A">
            <w:pPr>
              <w:pStyle w:val="Box"/>
            </w:pPr>
            <w:r w:rsidRPr="00BB5D10">
              <w:t xml:space="preserve">‘Workforce by age group’ is defined as the age profile of the workforce, measured by the proportion of the operational workforce in 10 year age brackets (under 30, 30–39, 40–49, 50–59 and 60 and over). </w:t>
            </w:r>
          </w:p>
          <w:p w:rsidR="00C352E7" w:rsidRPr="00BB5D10" w:rsidRDefault="00C352E7" w:rsidP="00E9599A">
            <w:pPr>
              <w:pStyle w:val="Box"/>
            </w:pPr>
            <w:r w:rsidRPr="00BB5D10">
              <w:t xml:space="preserve">A low or decreasing proportion of the workforce who are in the younger age groups and/or a high or increasing proportion who are closer to retirement, </w:t>
            </w:r>
            <w:r w:rsidR="006E6EFD">
              <w:t xml:space="preserve">suggests </w:t>
            </w:r>
            <w:r w:rsidRPr="00BB5D10">
              <w:t xml:space="preserve">sustainability problems </w:t>
            </w:r>
            <w:r w:rsidR="006E6EFD">
              <w:t>may</w:t>
            </w:r>
            <w:r w:rsidRPr="00BB5D10">
              <w:t xml:space="preserve"> arise in the coming decade as the older age group starts to retire.</w:t>
            </w:r>
          </w:p>
          <w:p w:rsidR="00C352E7" w:rsidRPr="00BB5D10" w:rsidRDefault="00C352E7" w:rsidP="00E9599A">
            <w:pPr>
              <w:pStyle w:val="Box"/>
            </w:pPr>
            <w:r w:rsidRPr="00BB5D10">
              <w:t>Data reported for this measure are:</w:t>
            </w:r>
          </w:p>
          <w:p w:rsidR="00C352E7" w:rsidRPr="00BB5D10" w:rsidRDefault="00C352E7" w:rsidP="00E9599A">
            <w:pPr>
              <w:pStyle w:val="BoxListBullet"/>
            </w:pPr>
            <w:r w:rsidRPr="00BB5D10">
              <w:t>comparable (subject to caveats) across jurisdictions and over time</w:t>
            </w:r>
          </w:p>
          <w:p w:rsidR="00C352E7" w:rsidRPr="00BB5D10" w:rsidRDefault="00C352E7" w:rsidP="00E9599A">
            <w:pPr>
              <w:pStyle w:val="BoxListBullet"/>
            </w:pPr>
            <w:r>
              <w:t>complete (subject to caveats) for the current reporting period</w:t>
            </w:r>
            <w:r w:rsidRPr="00BB5D10">
              <w:t xml:space="preserve">. All required </w:t>
            </w:r>
            <w:r w:rsidR="00FA5D77">
              <w:t>2013</w:t>
            </w:r>
            <w:r w:rsidR="0026487F">
              <w:noBreakHyphen/>
            </w:r>
            <w:r w:rsidR="00FA5D77">
              <w:t>14</w:t>
            </w:r>
            <w:r w:rsidRPr="00BB5D10">
              <w:t xml:space="preserve"> data are available for all jurisdictions.</w:t>
            </w:r>
          </w:p>
          <w:p w:rsidR="00C352E7" w:rsidRPr="00BB5D10" w:rsidRDefault="00C352E7" w:rsidP="00E9599A">
            <w:pPr>
              <w:pStyle w:val="Box"/>
            </w:pPr>
            <w:r w:rsidRPr="00BB5D10">
              <w:t>Data quality information for this indicator</w:t>
            </w:r>
            <w:r w:rsidR="00DA507A">
              <w:t xml:space="preserve"> is at www.pc.gov.au</w:t>
            </w:r>
            <w:r w:rsidR="00992CC1">
              <w:t>/rogs/2015</w:t>
            </w:r>
            <w:r w:rsidRPr="00BB5D10">
              <w:t>.</w:t>
            </w:r>
          </w:p>
        </w:tc>
      </w:tr>
      <w:tr w:rsidR="00C352E7" w:rsidTr="00E9599A">
        <w:trPr>
          <w:cantSplit/>
        </w:trPr>
        <w:tc>
          <w:tcPr>
            <w:tcW w:w="8771" w:type="dxa"/>
            <w:tcBorders>
              <w:top w:val="nil"/>
              <w:left w:val="nil"/>
              <w:bottom w:val="single" w:sz="6" w:space="0" w:color="78A22F"/>
              <w:right w:val="nil"/>
            </w:tcBorders>
            <w:shd w:val="clear" w:color="auto" w:fill="F2F2F2" w:themeFill="background1" w:themeFillShade="F2"/>
          </w:tcPr>
          <w:p w:rsidR="00C352E7" w:rsidRDefault="00C352E7">
            <w:pPr>
              <w:pStyle w:val="Box"/>
              <w:spacing w:before="0" w:line="120" w:lineRule="exact"/>
            </w:pPr>
          </w:p>
        </w:tc>
      </w:tr>
      <w:tr w:rsidR="00C352E7" w:rsidRPr="000863A5" w:rsidTr="00E9599A">
        <w:tc>
          <w:tcPr>
            <w:tcW w:w="8771" w:type="dxa"/>
            <w:tcBorders>
              <w:top w:val="single" w:sz="6" w:space="0" w:color="78A22F"/>
              <w:left w:val="nil"/>
              <w:bottom w:val="nil"/>
              <w:right w:val="nil"/>
            </w:tcBorders>
          </w:tcPr>
          <w:p w:rsidR="00C352E7" w:rsidRPr="00626D32" w:rsidRDefault="00C352E7" w:rsidP="00E9599A">
            <w:pPr>
              <w:pStyle w:val="BoxSpaceBelow"/>
            </w:pPr>
          </w:p>
        </w:tc>
      </w:tr>
    </w:tbl>
    <w:p w:rsidR="00986A8B" w:rsidRPr="00BB5D10" w:rsidRDefault="00986A8B" w:rsidP="008A59D3">
      <w:pPr>
        <w:pStyle w:val="BodyText"/>
        <w:rPr>
          <w:rStyle w:val="BodyTextChar"/>
        </w:rPr>
      </w:pPr>
      <w:r w:rsidRPr="00BB5D10">
        <w:rPr>
          <w:rStyle w:val="BodyTextChar"/>
        </w:rPr>
        <w:t xml:space="preserve">Nationally in </w:t>
      </w:r>
      <w:r w:rsidR="00FA5D77">
        <w:rPr>
          <w:rStyle w:val="BodyTextChar"/>
        </w:rPr>
        <w:t>2013</w:t>
      </w:r>
      <w:r w:rsidR="0026487F">
        <w:rPr>
          <w:rStyle w:val="BodyTextChar"/>
        </w:rPr>
        <w:noBreakHyphen/>
      </w:r>
      <w:r w:rsidR="00FA5D77">
        <w:rPr>
          <w:rStyle w:val="BodyTextChar"/>
        </w:rPr>
        <w:t>14</w:t>
      </w:r>
      <w:r w:rsidRPr="00BB5D10">
        <w:rPr>
          <w:rStyle w:val="BodyTextChar"/>
        </w:rPr>
        <w:t xml:space="preserve">, </w:t>
      </w:r>
      <w:r w:rsidR="008C1F96">
        <w:t>78.6</w:t>
      </w:r>
      <w:r w:rsidRPr="00BB5D10">
        <w:rPr>
          <w:rStyle w:val="BodyTextChar"/>
        </w:rPr>
        <w:t> per cent of the ambulance workforce were aged under</w:t>
      </w:r>
      <w:r w:rsidR="005D7E63">
        <w:rPr>
          <w:rStyle w:val="BodyTextChar"/>
        </w:rPr>
        <w:t> </w:t>
      </w:r>
      <w:r w:rsidRPr="00BB5D10">
        <w:rPr>
          <w:rStyle w:val="BodyTextChar"/>
        </w:rPr>
        <w:t>50</w:t>
      </w:r>
      <w:r w:rsidR="003652DF">
        <w:rPr>
          <w:rStyle w:val="BodyTextChar"/>
        </w:rPr>
        <w:t>,</w:t>
      </w:r>
      <w:r w:rsidR="008A59D3" w:rsidRPr="00BB5D10">
        <w:rPr>
          <w:rStyle w:val="BodyTextChar"/>
        </w:rPr>
        <w:t xml:space="preserve"> a</w:t>
      </w:r>
      <w:r w:rsidR="00BB5D10">
        <w:rPr>
          <w:rStyle w:val="BodyTextChar"/>
        </w:rPr>
        <w:t xml:space="preserve"> slight</w:t>
      </w:r>
      <w:r w:rsidR="008A59D3" w:rsidRPr="00BB5D10">
        <w:rPr>
          <w:rStyle w:val="BodyTextChar"/>
        </w:rPr>
        <w:t xml:space="preserve"> </w:t>
      </w:r>
      <w:r w:rsidR="00ED162F">
        <w:rPr>
          <w:rStyle w:val="BodyTextChar"/>
        </w:rPr>
        <w:t>de</w:t>
      </w:r>
      <w:r w:rsidR="008A59D3" w:rsidRPr="00BB5D10">
        <w:rPr>
          <w:rStyle w:val="BodyTextChar"/>
        </w:rPr>
        <w:t xml:space="preserve">crease from </w:t>
      </w:r>
      <w:r w:rsidR="008C1F96">
        <w:t>79.1</w:t>
      </w:r>
      <w:r w:rsidR="008A59D3" w:rsidRPr="00BB5D10">
        <w:rPr>
          <w:rStyle w:val="BodyTextChar"/>
        </w:rPr>
        <w:t xml:space="preserve"> </w:t>
      </w:r>
      <w:r w:rsidR="00BE4C12" w:rsidRPr="00BB5D10">
        <w:rPr>
          <w:rStyle w:val="BodyTextChar"/>
        </w:rPr>
        <w:t>in 20</w:t>
      </w:r>
      <w:r w:rsidR="008D2FAD">
        <w:rPr>
          <w:rStyle w:val="BodyTextChar"/>
        </w:rPr>
        <w:t>1</w:t>
      </w:r>
      <w:r w:rsidR="00ED162F">
        <w:rPr>
          <w:rStyle w:val="BodyTextChar"/>
        </w:rPr>
        <w:t>2</w:t>
      </w:r>
      <w:r w:rsidR="00CC7814">
        <w:rPr>
          <w:rStyle w:val="BodyTextChar"/>
        </w:rPr>
        <w:noBreakHyphen/>
      </w:r>
      <w:r w:rsidR="008D2FAD">
        <w:rPr>
          <w:rStyle w:val="BodyTextChar"/>
        </w:rPr>
        <w:t>1</w:t>
      </w:r>
      <w:r w:rsidR="00ED162F">
        <w:rPr>
          <w:rStyle w:val="BodyTextChar"/>
        </w:rPr>
        <w:t>3</w:t>
      </w:r>
      <w:r w:rsidR="00BE4C12" w:rsidRPr="00BB5D10">
        <w:rPr>
          <w:rStyle w:val="BodyTextChar"/>
        </w:rPr>
        <w:t xml:space="preserve"> (table</w:t>
      </w:r>
      <w:r w:rsidR="00243CD6">
        <w:rPr>
          <w:rStyle w:val="BodyTextChar"/>
        </w:rPr>
        <w:t> </w:t>
      </w:r>
      <w:r w:rsidR="00B21412">
        <w:t>9A.3</w:t>
      </w:r>
      <w:r w:rsidR="003B6368">
        <w:t>6</w:t>
      </w:r>
      <w:r w:rsidR="0079487C">
        <w:t xml:space="preserve"> and </w:t>
      </w:r>
      <w:r w:rsidR="0079487C" w:rsidRPr="00BB5D10">
        <w:rPr>
          <w:rStyle w:val="BodyTextChar"/>
        </w:rPr>
        <w:t>figure </w:t>
      </w:r>
      <w:r w:rsidR="00800D6F">
        <w:t>9.28</w:t>
      </w:r>
      <w:r w:rsidR="00BE4C12" w:rsidRPr="00BB5D10">
        <w:t>)</w:t>
      </w:r>
      <w:r w:rsidRPr="00BB5D10">
        <w:t>.</w:t>
      </w:r>
    </w:p>
    <w:p w:rsidR="00C352E7" w:rsidRDefault="00C352E7" w:rsidP="00E959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352E7" w:rsidTr="00E9599A">
        <w:tc>
          <w:tcPr>
            <w:tcW w:w="8771" w:type="dxa"/>
            <w:tcBorders>
              <w:top w:val="single" w:sz="6" w:space="0" w:color="78A22F"/>
              <w:left w:val="nil"/>
              <w:bottom w:val="nil"/>
              <w:right w:val="nil"/>
            </w:tcBorders>
            <w:shd w:val="clear" w:color="auto" w:fill="auto"/>
          </w:tcPr>
          <w:p w:rsidR="00C352E7" w:rsidRPr="00176D3F" w:rsidRDefault="00C352E7" w:rsidP="00BC1776">
            <w:pPr>
              <w:pStyle w:val="FigureTitle"/>
            </w:pPr>
            <w:r w:rsidRPr="00784A05">
              <w:rPr>
                <w:b w:val="0"/>
              </w:rPr>
              <w:t xml:space="preserve">Figure </w:t>
            </w:r>
            <w:bookmarkStart w:id="102" w:name="OLE_LINK55"/>
            <w:r w:rsidR="008C1F96">
              <w:rPr>
                <w:b w:val="0"/>
              </w:rPr>
              <w:t>9.</w:t>
            </w:r>
            <w:r w:rsidR="00D52162">
              <w:rPr>
                <w:b w:val="0"/>
                <w:noProof/>
              </w:rPr>
              <w:t>28</w:t>
            </w:r>
            <w:bookmarkEnd w:id="102"/>
            <w:r>
              <w:tab/>
            </w:r>
            <w:r w:rsidR="00BC1776" w:rsidRPr="002605A8">
              <w:t xml:space="preserve">Ambulance workforce, by age group, </w:t>
            </w:r>
            <w:r w:rsidR="00FA5D77">
              <w:t>2013</w:t>
            </w:r>
            <w:r w:rsidR="0026487F">
              <w:noBreakHyphen/>
            </w:r>
            <w:r w:rsidR="00FA5D77">
              <w:t>14</w:t>
            </w:r>
          </w:p>
        </w:tc>
      </w:tr>
      <w:tr w:rsidR="00C352E7" w:rsidTr="00E9599A">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C352E7" w:rsidTr="00677D4D">
              <w:tc>
                <w:tcPr>
                  <w:tcW w:w="5000" w:type="pct"/>
                  <w:tcBorders>
                    <w:top w:val="nil"/>
                    <w:bottom w:val="nil"/>
                  </w:tcBorders>
                </w:tcPr>
                <w:p w:rsidR="00C352E7" w:rsidRDefault="00F82339" w:rsidP="00BC1776">
                  <w:pPr>
                    <w:pStyle w:val="Figure"/>
                    <w:spacing w:before="60" w:after="60"/>
                  </w:pPr>
                  <w:r>
                    <w:rPr>
                      <w:noProof/>
                    </w:rPr>
                    <w:drawing>
                      <wp:inline distT="0" distB="0" distL="0" distR="0">
                        <wp:extent cx="5405755" cy="2877820"/>
                        <wp:effectExtent l="0" t="0" r="4445" b="0"/>
                        <wp:docPr id="33" name="Picture 33" descr="Figure 9.28 Ambulance workforce, by age group,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405755" cy="2877820"/>
                                </a:xfrm>
                                <a:prstGeom prst="rect">
                                  <a:avLst/>
                                </a:prstGeom>
                                <a:noFill/>
                                <a:ln>
                                  <a:noFill/>
                                </a:ln>
                              </pic:spPr>
                            </pic:pic>
                          </a:graphicData>
                        </a:graphic>
                      </wp:inline>
                    </w:drawing>
                  </w:r>
                </w:p>
              </w:tc>
            </w:tr>
          </w:tbl>
          <w:p w:rsidR="00C352E7" w:rsidRDefault="00C352E7" w:rsidP="00E9599A">
            <w:pPr>
              <w:pStyle w:val="Figure"/>
            </w:pPr>
          </w:p>
        </w:tc>
      </w:tr>
      <w:tr w:rsidR="00C352E7" w:rsidRPr="00176D3F" w:rsidTr="00E9599A">
        <w:tc>
          <w:tcPr>
            <w:tcW w:w="8771" w:type="dxa"/>
            <w:tcBorders>
              <w:top w:val="nil"/>
              <w:left w:val="nil"/>
              <w:bottom w:val="nil"/>
              <w:right w:val="nil"/>
            </w:tcBorders>
            <w:shd w:val="clear" w:color="auto" w:fill="auto"/>
          </w:tcPr>
          <w:p w:rsidR="00C352E7" w:rsidRPr="00176D3F" w:rsidRDefault="00BC1776" w:rsidP="003B6368">
            <w:pPr>
              <w:pStyle w:val="Source"/>
            </w:pPr>
            <w:r w:rsidRPr="002605A8">
              <w:rPr>
                <w:i/>
              </w:rPr>
              <w:t>Source</w:t>
            </w:r>
            <w:r w:rsidRPr="002605A8">
              <w:t>: State and Territory governments (unpublished), table </w:t>
            </w:r>
            <w:r>
              <w:t>9A.3</w:t>
            </w:r>
            <w:r w:rsidR="003B6368">
              <w:t>6</w:t>
            </w:r>
            <w:r w:rsidRPr="002605A8">
              <w:t>.</w:t>
            </w:r>
          </w:p>
        </w:tc>
      </w:tr>
      <w:tr w:rsidR="00C352E7" w:rsidTr="00E9599A">
        <w:tc>
          <w:tcPr>
            <w:tcW w:w="8771" w:type="dxa"/>
            <w:tcBorders>
              <w:top w:val="nil"/>
              <w:left w:val="nil"/>
              <w:bottom w:val="single" w:sz="6" w:space="0" w:color="78A22F"/>
              <w:right w:val="nil"/>
            </w:tcBorders>
            <w:shd w:val="clear" w:color="auto" w:fill="auto"/>
          </w:tcPr>
          <w:p w:rsidR="00C352E7" w:rsidRDefault="00C352E7" w:rsidP="00E9599A">
            <w:pPr>
              <w:pStyle w:val="Figurespace"/>
            </w:pPr>
          </w:p>
        </w:tc>
      </w:tr>
      <w:tr w:rsidR="00C352E7" w:rsidRPr="000863A5" w:rsidTr="00E9599A">
        <w:tc>
          <w:tcPr>
            <w:tcW w:w="8771" w:type="dxa"/>
            <w:tcBorders>
              <w:top w:val="single" w:sz="6" w:space="0" w:color="78A22F"/>
              <w:left w:val="nil"/>
              <w:bottom w:val="nil"/>
              <w:right w:val="nil"/>
            </w:tcBorders>
          </w:tcPr>
          <w:p w:rsidR="00C352E7" w:rsidRPr="00626D32" w:rsidRDefault="00C352E7" w:rsidP="00E9599A">
            <w:pPr>
              <w:pStyle w:val="BoxSpaceBelow"/>
            </w:pPr>
          </w:p>
        </w:tc>
      </w:tr>
    </w:tbl>
    <w:p w:rsidR="00986A8B" w:rsidRPr="00BB5D10" w:rsidRDefault="00986A8B" w:rsidP="003E3D7E">
      <w:pPr>
        <w:pStyle w:val="Heading5"/>
        <w:rPr>
          <w:shd w:val="clear" w:color="auto" w:fill="99CCFF"/>
        </w:rPr>
      </w:pPr>
      <w:r w:rsidRPr="00BB5D10">
        <w:t>Staff attrition</w:t>
      </w:r>
    </w:p>
    <w:p w:rsidR="00986A8B" w:rsidRDefault="00986A8B" w:rsidP="00986A8B">
      <w:pPr>
        <w:pStyle w:val="BodyText"/>
      </w:pPr>
      <w:r w:rsidRPr="00BB5D10">
        <w:t xml:space="preserve">‘Staff attrition’ is an indicator of governments’ objective </w:t>
      </w:r>
      <w:r w:rsidR="00F43F2A" w:rsidRPr="00BB5D10">
        <w:t>of providing pre</w:t>
      </w:r>
      <w:r w:rsidR="00CC7814">
        <w:noBreakHyphen/>
      </w:r>
      <w:r w:rsidR="00F43F2A" w:rsidRPr="00BB5D10">
        <w:t>hospital and out</w:t>
      </w:r>
      <w:r w:rsidR="00CC7814">
        <w:noBreakHyphen/>
      </w:r>
      <w:r w:rsidR="00F43F2A" w:rsidRPr="00BB5D10">
        <w:t>of</w:t>
      </w:r>
      <w:r w:rsidR="00CC7814">
        <w:noBreakHyphen/>
      </w:r>
      <w:r w:rsidR="00F43F2A" w:rsidRPr="00BB5D10">
        <w:t>hospital care and patient transport services, that are effectively, efficiently and sustainably delivered</w:t>
      </w:r>
      <w:r w:rsidRPr="00BB5D10">
        <w:t xml:space="preserve"> (box </w:t>
      </w:r>
      <w:r w:rsidR="00800D6F">
        <w:t>9.27</w:t>
      </w:r>
      <w:r w:rsidRPr="00BB5D10">
        <w:t xml:space="preserve">). </w:t>
      </w:r>
    </w:p>
    <w:p w:rsidR="005F04C4" w:rsidRDefault="005F04C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F04C4" w:rsidTr="00E9599A">
        <w:tc>
          <w:tcPr>
            <w:tcW w:w="8771" w:type="dxa"/>
            <w:tcBorders>
              <w:top w:val="single" w:sz="6" w:space="0" w:color="78A22F"/>
              <w:left w:val="nil"/>
              <w:bottom w:val="nil"/>
              <w:right w:val="nil"/>
            </w:tcBorders>
            <w:shd w:val="clear" w:color="auto" w:fill="F2F2F2" w:themeFill="background1" w:themeFillShade="F2"/>
          </w:tcPr>
          <w:p w:rsidR="005F04C4" w:rsidRDefault="005F04C4" w:rsidP="005F04C4">
            <w:pPr>
              <w:pStyle w:val="BoxTitle"/>
            </w:pPr>
            <w:r>
              <w:rPr>
                <w:b w:val="0"/>
              </w:rPr>
              <w:t xml:space="preserve">Box </w:t>
            </w:r>
            <w:bookmarkStart w:id="103" w:name="OLE_LINK56"/>
            <w:r w:rsidR="008C1F96">
              <w:rPr>
                <w:b w:val="0"/>
              </w:rPr>
              <w:t>9.</w:t>
            </w:r>
            <w:r w:rsidR="00D52162">
              <w:rPr>
                <w:b w:val="0"/>
                <w:noProof/>
              </w:rPr>
              <w:t>27</w:t>
            </w:r>
            <w:bookmarkEnd w:id="103"/>
            <w:r>
              <w:tab/>
            </w:r>
            <w:r w:rsidRPr="00931A60">
              <w:t>Staff attrition</w:t>
            </w:r>
          </w:p>
        </w:tc>
      </w:tr>
      <w:tr w:rsidR="005F04C4" w:rsidTr="00E9599A">
        <w:trPr>
          <w:cantSplit/>
        </w:trPr>
        <w:tc>
          <w:tcPr>
            <w:tcW w:w="8771" w:type="dxa"/>
            <w:tcBorders>
              <w:top w:val="nil"/>
              <w:left w:val="nil"/>
              <w:bottom w:val="nil"/>
              <w:right w:val="nil"/>
            </w:tcBorders>
            <w:shd w:val="clear" w:color="auto" w:fill="F2F2F2" w:themeFill="background1" w:themeFillShade="F2"/>
          </w:tcPr>
          <w:p w:rsidR="005F04C4" w:rsidRDefault="005F04C4" w:rsidP="00E9599A">
            <w:pPr>
              <w:pStyle w:val="Box"/>
            </w:pPr>
            <w:r w:rsidRPr="00931A60">
              <w:t>‘Staff attrition’ is defined as level of attrition in the operational workforce. It is calculated as the number of FTE employees who exit the organisation as a proportion of the number of FTE employees. It is based on staff FTE defined as operational positions where paramedic qualifications are either essential or desirable to the role.</w:t>
            </w:r>
          </w:p>
          <w:p w:rsidR="005F04C4" w:rsidRPr="00931A60" w:rsidRDefault="005F04C4" w:rsidP="00E9599A">
            <w:pPr>
              <w:pStyle w:val="Box"/>
            </w:pPr>
            <w:r w:rsidRPr="00931A60">
              <w:t>Low or decreasing levels of staff attrition are desirable.</w:t>
            </w:r>
          </w:p>
          <w:p w:rsidR="005F04C4" w:rsidRPr="00BB5D10" w:rsidRDefault="005F04C4" w:rsidP="00E9599A">
            <w:pPr>
              <w:pStyle w:val="Box"/>
            </w:pPr>
            <w:r w:rsidRPr="00BB5D10">
              <w:t>Data reported for this measure are:</w:t>
            </w:r>
          </w:p>
          <w:p w:rsidR="005F04C4" w:rsidRPr="00BB5D10" w:rsidRDefault="005F04C4" w:rsidP="00E9599A">
            <w:pPr>
              <w:pStyle w:val="BoxListBullet"/>
            </w:pPr>
            <w:r w:rsidRPr="00BB5D10">
              <w:t>comparable (subject to caveats) across jurisdictions and over time</w:t>
            </w:r>
          </w:p>
          <w:p w:rsidR="005F04C4" w:rsidRPr="00BB5D10" w:rsidRDefault="005F04C4" w:rsidP="00E9599A">
            <w:pPr>
              <w:pStyle w:val="BoxListBullet"/>
            </w:pPr>
            <w:r>
              <w:t>complete (subject to caveats) for the current reporting period</w:t>
            </w:r>
            <w:r w:rsidRPr="00BB5D10">
              <w:t xml:space="preserve">. All required </w:t>
            </w:r>
            <w:r w:rsidR="00FA5D77">
              <w:t>2013</w:t>
            </w:r>
            <w:r w:rsidR="0026487F">
              <w:noBreakHyphen/>
            </w:r>
            <w:r w:rsidR="00FA5D77">
              <w:t>14</w:t>
            </w:r>
            <w:r w:rsidRPr="00BB5D10">
              <w:t xml:space="preserve"> data are available for all jurisdictions.</w:t>
            </w:r>
          </w:p>
          <w:p w:rsidR="005F04C4" w:rsidRPr="00931A60" w:rsidRDefault="005F04C4" w:rsidP="00E9599A">
            <w:pPr>
              <w:pStyle w:val="Box"/>
              <w:tabs>
                <w:tab w:val="left" w:pos="5480"/>
              </w:tabs>
            </w:pPr>
            <w:r w:rsidRPr="00BB5D10">
              <w:t>Data quality information for this indicator</w:t>
            </w:r>
            <w:r w:rsidR="00DA507A">
              <w:t xml:space="preserve"> is at www.pc.gov.au</w:t>
            </w:r>
            <w:r w:rsidR="00992CC1">
              <w:t>/rogs/2015</w:t>
            </w:r>
            <w:r w:rsidRPr="00BB5D10">
              <w:t>.</w:t>
            </w:r>
          </w:p>
        </w:tc>
      </w:tr>
      <w:tr w:rsidR="005F04C4" w:rsidTr="00E9599A">
        <w:trPr>
          <w:cantSplit/>
        </w:trPr>
        <w:tc>
          <w:tcPr>
            <w:tcW w:w="8771" w:type="dxa"/>
            <w:tcBorders>
              <w:top w:val="nil"/>
              <w:left w:val="nil"/>
              <w:bottom w:val="single" w:sz="6" w:space="0" w:color="78A22F"/>
              <w:right w:val="nil"/>
            </w:tcBorders>
            <w:shd w:val="clear" w:color="auto" w:fill="F2F2F2" w:themeFill="background1" w:themeFillShade="F2"/>
          </w:tcPr>
          <w:p w:rsidR="005F04C4" w:rsidRDefault="005F04C4">
            <w:pPr>
              <w:pStyle w:val="Box"/>
              <w:spacing w:before="0" w:line="120" w:lineRule="exact"/>
            </w:pPr>
          </w:p>
        </w:tc>
      </w:tr>
      <w:tr w:rsidR="005F04C4" w:rsidRPr="000863A5" w:rsidTr="00E9599A">
        <w:tc>
          <w:tcPr>
            <w:tcW w:w="8771" w:type="dxa"/>
            <w:tcBorders>
              <w:top w:val="single" w:sz="6" w:space="0" w:color="78A22F"/>
              <w:left w:val="nil"/>
              <w:bottom w:val="nil"/>
              <w:right w:val="nil"/>
            </w:tcBorders>
          </w:tcPr>
          <w:p w:rsidR="005F04C4" w:rsidRPr="00626D32" w:rsidRDefault="005F04C4" w:rsidP="00E9599A">
            <w:pPr>
              <w:pStyle w:val="BoxSpaceBelow"/>
            </w:pPr>
          </w:p>
        </w:tc>
      </w:tr>
    </w:tbl>
    <w:p w:rsidR="00986A8B" w:rsidRDefault="008D2FAD" w:rsidP="00986A8B">
      <w:pPr>
        <w:pStyle w:val="BodyText"/>
      </w:pPr>
      <w:r>
        <w:t>Nationally</w:t>
      </w:r>
      <w:r w:rsidR="00986A8B" w:rsidRPr="00CC4105">
        <w:t xml:space="preserve">, </w:t>
      </w:r>
      <w:r w:rsidR="005121B5" w:rsidRPr="00CC4105">
        <w:t xml:space="preserve">the </w:t>
      </w:r>
      <w:r w:rsidR="00986A8B" w:rsidRPr="00CC4105">
        <w:t xml:space="preserve">staff attrition </w:t>
      </w:r>
      <w:r w:rsidR="005121B5" w:rsidRPr="00CC4105">
        <w:t xml:space="preserve">rate was </w:t>
      </w:r>
      <w:r w:rsidR="008C1F96">
        <w:t>3.6</w:t>
      </w:r>
      <w:r w:rsidR="003F4B59">
        <w:t xml:space="preserve"> </w:t>
      </w:r>
      <w:r w:rsidR="00986A8B" w:rsidRPr="00CC4105">
        <w:t>per</w:t>
      </w:r>
      <w:r w:rsidR="003F4B59">
        <w:t xml:space="preserve"> </w:t>
      </w:r>
      <w:r w:rsidR="00986A8B" w:rsidRPr="00CC4105">
        <w:t xml:space="preserve">cent in </w:t>
      </w:r>
      <w:r w:rsidR="00FA5D77">
        <w:t>2013</w:t>
      </w:r>
      <w:r w:rsidR="0026487F">
        <w:noBreakHyphen/>
      </w:r>
      <w:r w:rsidR="00FA5D77">
        <w:t>14</w:t>
      </w:r>
      <w:r w:rsidR="0076591F">
        <w:t>, which varied across jurisdictions</w:t>
      </w:r>
      <w:r w:rsidR="003B6368">
        <w:t xml:space="preserve"> (</w:t>
      </w:r>
      <w:r w:rsidR="003B6368" w:rsidRPr="00CC4105">
        <w:t>figure </w:t>
      </w:r>
      <w:r w:rsidR="00800D6F">
        <w:t>9.29</w:t>
      </w:r>
      <w:r w:rsidR="003B6368">
        <w:t>)</w:t>
      </w:r>
      <w:r w:rsidR="00986A8B" w:rsidRPr="00CC4105">
        <w:t>.</w:t>
      </w:r>
    </w:p>
    <w:p w:rsidR="005F04C4" w:rsidRDefault="005F04C4" w:rsidP="00E959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F04C4" w:rsidTr="00E9599A">
        <w:tc>
          <w:tcPr>
            <w:tcW w:w="8771" w:type="dxa"/>
            <w:tcBorders>
              <w:top w:val="single" w:sz="6" w:space="0" w:color="78A22F"/>
              <w:left w:val="nil"/>
              <w:bottom w:val="nil"/>
              <w:right w:val="nil"/>
            </w:tcBorders>
            <w:shd w:val="clear" w:color="auto" w:fill="auto"/>
          </w:tcPr>
          <w:p w:rsidR="005F04C4" w:rsidRPr="00176D3F" w:rsidRDefault="005F04C4" w:rsidP="005F04C4">
            <w:pPr>
              <w:pStyle w:val="FigureTitle"/>
            </w:pPr>
            <w:r w:rsidRPr="00784A05">
              <w:rPr>
                <w:b w:val="0"/>
              </w:rPr>
              <w:t xml:space="preserve">Figure </w:t>
            </w:r>
            <w:bookmarkStart w:id="104" w:name="OLE_LINK57"/>
            <w:r w:rsidR="008C1F96">
              <w:rPr>
                <w:b w:val="0"/>
              </w:rPr>
              <w:t>9.</w:t>
            </w:r>
            <w:r w:rsidR="00D52162">
              <w:rPr>
                <w:b w:val="0"/>
                <w:noProof/>
              </w:rPr>
              <w:t>29</w:t>
            </w:r>
            <w:bookmarkEnd w:id="104"/>
            <w:r>
              <w:tab/>
            </w:r>
            <w:r w:rsidRPr="002605A8">
              <w:t>Ambulance staff attrition</w:t>
            </w:r>
            <w:r>
              <w:rPr>
                <w:rStyle w:val="NoteLabel"/>
                <w:b/>
              </w:rPr>
              <w:t>a</w:t>
            </w:r>
          </w:p>
        </w:tc>
      </w:tr>
      <w:tr w:rsidR="005F04C4" w:rsidTr="00E9599A">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5F04C4" w:rsidTr="00677D4D">
              <w:tc>
                <w:tcPr>
                  <w:tcW w:w="5000" w:type="pct"/>
                  <w:tcBorders>
                    <w:top w:val="nil"/>
                    <w:bottom w:val="nil"/>
                  </w:tcBorders>
                </w:tcPr>
                <w:p w:rsidR="005F04C4" w:rsidRDefault="00F82339" w:rsidP="00E9599A">
                  <w:pPr>
                    <w:pStyle w:val="Figure"/>
                    <w:spacing w:before="60" w:after="60"/>
                  </w:pPr>
                  <w:r>
                    <w:rPr>
                      <w:noProof/>
                    </w:rPr>
                    <w:drawing>
                      <wp:inline distT="0" distB="0" distL="0" distR="0" wp14:anchorId="461B0107" wp14:editId="15033573">
                        <wp:extent cx="5405755" cy="2707640"/>
                        <wp:effectExtent l="0" t="0" r="4445" b="0"/>
                        <wp:docPr id="34" name="Picture 34" descr="Figure 9.29 Ambulance staff attri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5F04C4" w:rsidRDefault="005F04C4" w:rsidP="00E9599A">
            <w:pPr>
              <w:pStyle w:val="Figure"/>
            </w:pPr>
          </w:p>
        </w:tc>
      </w:tr>
      <w:tr w:rsidR="005F04C4" w:rsidRPr="00176D3F" w:rsidTr="00E9599A">
        <w:tc>
          <w:tcPr>
            <w:tcW w:w="8771" w:type="dxa"/>
            <w:tcBorders>
              <w:top w:val="nil"/>
              <w:left w:val="nil"/>
              <w:bottom w:val="nil"/>
              <w:right w:val="nil"/>
            </w:tcBorders>
            <w:shd w:val="clear" w:color="auto" w:fill="auto"/>
          </w:tcPr>
          <w:p w:rsidR="005F04C4" w:rsidRPr="00176D3F" w:rsidRDefault="005F04C4" w:rsidP="005F04C4">
            <w:pPr>
              <w:pStyle w:val="Note"/>
            </w:pPr>
            <w:r w:rsidRPr="002605A8">
              <w:rPr>
                <w:rStyle w:val="NoteLabel"/>
              </w:rPr>
              <w:t>a</w:t>
            </w:r>
            <w:r w:rsidRPr="002605A8">
              <w:t xml:space="preserve"> </w:t>
            </w:r>
            <w:r>
              <w:t>Staff attrition volatility in some jurisdictions is partially due to the relatively small number of staff</w:t>
            </w:r>
            <w:r w:rsidRPr="002605A8">
              <w:t>.</w:t>
            </w:r>
          </w:p>
        </w:tc>
      </w:tr>
      <w:tr w:rsidR="005F04C4" w:rsidRPr="00176D3F" w:rsidTr="00E9599A">
        <w:tc>
          <w:tcPr>
            <w:tcW w:w="8771" w:type="dxa"/>
            <w:tcBorders>
              <w:top w:val="nil"/>
              <w:left w:val="nil"/>
              <w:bottom w:val="nil"/>
              <w:right w:val="nil"/>
            </w:tcBorders>
            <w:shd w:val="clear" w:color="auto" w:fill="auto"/>
          </w:tcPr>
          <w:p w:rsidR="005F04C4" w:rsidRPr="00176D3F" w:rsidRDefault="005F04C4" w:rsidP="003B6368">
            <w:pPr>
              <w:pStyle w:val="Source"/>
            </w:pPr>
            <w:r w:rsidRPr="002605A8">
              <w:rPr>
                <w:i/>
              </w:rPr>
              <w:t>Source</w:t>
            </w:r>
            <w:r w:rsidRPr="002605A8">
              <w:t>: State and Territory governments (unpublished), table </w:t>
            </w:r>
            <w:r>
              <w:t>9A.3</w:t>
            </w:r>
            <w:r w:rsidR="003B6368">
              <w:t>6</w:t>
            </w:r>
            <w:r w:rsidRPr="002605A8">
              <w:t>.</w:t>
            </w:r>
          </w:p>
        </w:tc>
      </w:tr>
      <w:tr w:rsidR="005F04C4" w:rsidTr="00E9599A">
        <w:tc>
          <w:tcPr>
            <w:tcW w:w="8771" w:type="dxa"/>
            <w:tcBorders>
              <w:top w:val="nil"/>
              <w:left w:val="nil"/>
              <w:bottom w:val="single" w:sz="6" w:space="0" w:color="78A22F"/>
              <w:right w:val="nil"/>
            </w:tcBorders>
            <w:shd w:val="clear" w:color="auto" w:fill="auto"/>
          </w:tcPr>
          <w:p w:rsidR="005F04C4" w:rsidRDefault="005F04C4" w:rsidP="00E9599A">
            <w:pPr>
              <w:pStyle w:val="Figurespace"/>
            </w:pPr>
          </w:p>
        </w:tc>
      </w:tr>
      <w:tr w:rsidR="005F04C4" w:rsidRPr="000863A5" w:rsidTr="00E9599A">
        <w:tc>
          <w:tcPr>
            <w:tcW w:w="8771" w:type="dxa"/>
            <w:tcBorders>
              <w:top w:val="single" w:sz="6" w:space="0" w:color="78A22F"/>
              <w:left w:val="nil"/>
              <w:bottom w:val="nil"/>
              <w:right w:val="nil"/>
            </w:tcBorders>
          </w:tcPr>
          <w:p w:rsidR="005F04C4" w:rsidRPr="00626D32" w:rsidRDefault="005F04C4" w:rsidP="00E9599A">
            <w:pPr>
              <w:pStyle w:val="BoxSpaceBelow"/>
            </w:pPr>
          </w:p>
        </w:tc>
      </w:tr>
    </w:tbl>
    <w:p w:rsidR="0075233D" w:rsidRDefault="00D34C28" w:rsidP="0075233D">
      <w:pPr>
        <w:pStyle w:val="Heading5"/>
      </w:pPr>
      <w:r>
        <w:t>Paramedics in training</w:t>
      </w:r>
    </w:p>
    <w:p w:rsidR="0075233D" w:rsidRDefault="0075233D" w:rsidP="0075233D">
      <w:pPr>
        <w:pStyle w:val="BodyText"/>
      </w:pPr>
      <w:r w:rsidRPr="00BB5D10">
        <w:t>‘</w:t>
      </w:r>
      <w:r w:rsidR="00D34C28">
        <w:t>Paramedics in training</w:t>
      </w:r>
      <w:r w:rsidRPr="00BB5D10">
        <w:t>’ is an indicator of governments’ objective of providing pre</w:t>
      </w:r>
      <w:r>
        <w:noBreakHyphen/>
      </w:r>
      <w:r w:rsidRPr="00BB5D10">
        <w:t>hospital and out</w:t>
      </w:r>
      <w:r>
        <w:noBreakHyphen/>
      </w:r>
      <w:r w:rsidRPr="00BB5D10">
        <w:t>of</w:t>
      </w:r>
      <w:r>
        <w:noBreakHyphen/>
      </w:r>
      <w:r w:rsidRPr="00BB5D10">
        <w:t>hospital care and patient transport services, that are effectively, efficiently and sustainably delivered (box </w:t>
      </w:r>
      <w:r w:rsidR="00800D6F">
        <w:t>9.28</w:t>
      </w:r>
      <w:r w:rsidRPr="00BB5D10">
        <w:t xml:space="preserve">). </w:t>
      </w:r>
    </w:p>
    <w:p w:rsidR="0075233D" w:rsidRDefault="0075233D" w:rsidP="0075233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233D" w:rsidTr="0092750F">
        <w:tc>
          <w:tcPr>
            <w:tcW w:w="8771" w:type="dxa"/>
            <w:tcBorders>
              <w:top w:val="single" w:sz="6" w:space="0" w:color="78A22F"/>
              <w:left w:val="nil"/>
              <w:bottom w:val="nil"/>
              <w:right w:val="nil"/>
            </w:tcBorders>
            <w:shd w:val="clear" w:color="auto" w:fill="F2F2F2" w:themeFill="background1" w:themeFillShade="F2"/>
          </w:tcPr>
          <w:p w:rsidR="0075233D" w:rsidRDefault="0075233D" w:rsidP="00D34C28">
            <w:pPr>
              <w:pStyle w:val="BoxTitle"/>
            </w:pPr>
            <w:r>
              <w:rPr>
                <w:b w:val="0"/>
              </w:rPr>
              <w:t xml:space="preserve">Box </w:t>
            </w:r>
            <w:bookmarkStart w:id="105" w:name="OLE_LINK3"/>
            <w:r w:rsidR="008C1F96">
              <w:rPr>
                <w:b w:val="0"/>
              </w:rPr>
              <w:t>9.</w:t>
            </w:r>
            <w:r w:rsidR="00D52162">
              <w:rPr>
                <w:b w:val="0"/>
                <w:noProof/>
              </w:rPr>
              <w:t>28</w:t>
            </w:r>
            <w:bookmarkEnd w:id="105"/>
            <w:r>
              <w:tab/>
            </w:r>
            <w:r w:rsidR="00D34C28">
              <w:t>Paramedics in training</w:t>
            </w:r>
          </w:p>
        </w:tc>
      </w:tr>
      <w:tr w:rsidR="0075233D" w:rsidTr="0092750F">
        <w:trPr>
          <w:cantSplit/>
        </w:trPr>
        <w:tc>
          <w:tcPr>
            <w:tcW w:w="8771" w:type="dxa"/>
            <w:tcBorders>
              <w:top w:val="nil"/>
              <w:left w:val="nil"/>
              <w:bottom w:val="nil"/>
              <w:right w:val="nil"/>
            </w:tcBorders>
            <w:shd w:val="clear" w:color="auto" w:fill="F2F2F2" w:themeFill="background1" w:themeFillShade="F2"/>
          </w:tcPr>
          <w:p w:rsidR="00975C21" w:rsidRDefault="0075233D" w:rsidP="00975C21">
            <w:pPr>
              <w:pStyle w:val="Box"/>
            </w:pPr>
            <w:r w:rsidRPr="00931A60">
              <w:t>‘</w:t>
            </w:r>
            <w:r w:rsidR="00D34C28">
              <w:t>Paramedics in training</w:t>
            </w:r>
            <w:r w:rsidRPr="00931A60">
              <w:t xml:space="preserve">’ </w:t>
            </w:r>
            <w:r w:rsidR="00975C21">
              <w:t xml:space="preserve">is defined as the number of students enrolled in paramedic training courses accredited by the Paramedic Education Programs Accreditation Scheme per </w:t>
            </w:r>
            <w:r w:rsidR="006E6EFD">
              <w:t>million</w:t>
            </w:r>
            <w:r w:rsidR="00975C21">
              <w:t xml:space="preserve"> people in the population. Two measures are presented:</w:t>
            </w:r>
          </w:p>
          <w:p w:rsidR="00975C21" w:rsidRDefault="00975C21" w:rsidP="00975C21">
            <w:pPr>
              <w:pStyle w:val="BoxListBullet"/>
            </w:pPr>
            <w:r>
              <w:t xml:space="preserve">total number of students enrolled in accredited paramedic training courses </w:t>
            </w:r>
            <w:r w:rsidR="006E6EFD">
              <w:t>per million people in the population</w:t>
            </w:r>
          </w:p>
          <w:p w:rsidR="00975C21" w:rsidRDefault="00975C21" w:rsidP="00975C21">
            <w:pPr>
              <w:pStyle w:val="BoxListBullet"/>
            </w:pPr>
            <w:r>
              <w:t>students enrolled in the final year of accredited paramedic training courses. This segment is reported to show the number of potential new trained paramedics who will enter the workforce in the coming year.</w:t>
            </w:r>
          </w:p>
          <w:p w:rsidR="0075233D" w:rsidRPr="00931A60" w:rsidRDefault="00924F0C" w:rsidP="0092750F">
            <w:pPr>
              <w:pStyle w:val="Box"/>
            </w:pPr>
            <w:r>
              <w:t>High o</w:t>
            </w:r>
            <w:r w:rsidR="0075233D" w:rsidRPr="00931A60">
              <w:t xml:space="preserve">r </w:t>
            </w:r>
            <w:r>
              <w:t>in</w:t>
            </w:r>
            <w:r w:rsidR="0075233D" w:rsidRPr="00931A60">
              <w:t xml:space="preserve">creasing levels of </w:t>
            </w:r>
            <w:r>
              <w:t xml:space="preserve">enrolments </w:t>
            </w:r>
            <w:r w:rsidR="0075233D" w:rsidRPr="00931A60">
              <w:t>are desirable.</w:t>
            </w:r>
          </w:p>
          <w:p w:rsidR="0075233D" w:rsidRPr="00BB5D10" w:rsidRDefault="0075233D" w:rsidP="0092750F">
            <w:pPr>
              <w:pStyle w:val="Box"/>
            </w:pPr>
            <w:r w:rsidRPr="00BB5D10">
              <w:t>Data reported for this measure are:</w:t>
            </w:r>
          </w:p>
          <w:p w:rsidR="0075233D" w:rsidRPr="00BB5D10" w:rsidRDefault="0075233D" w:rsidP="0092750F">
            <w:pPr>
              <w:pStyle w:val="BoxListBullet"/>
            </w:pPr>
            <w:r w:rsidRPr="00BB5D10">
              <w:t>comparable (subject to caveats) across jurisdictions and over time</w:t>
            </w:r>
          </w:p>
          <w:p w:rsidR="0075233D" w:rsidRPr="00BB5D10" w:rsidRDefault="0075233D" w:rsidP="0092750F">
            <w:pPr>
              <w:pStyle w:val="BoxListBullet"/>
            </w:pPr>
            <w:r>
              <w:t>complete (subject to caveats) for the current reporting period</w:t>
            </w:r>
            <w:r w:rsidRPr="00BB5D10">
              <w:t xml:space="preserve">. All required </w:t>
            </w:r>
            <w:r>
              <w:t>2013</w:t>
            </w:r>
            <w:r w:rsidR="0026487F">
              <w:noBreakHyphen/>
            </w:r>
            <w:r>
              <w:t>14</w:t>
            </w:r>
            <w:r w:rsidRPr="00BB5D10">
              <w:t xml:space="preserve"> data are available for all jurisdictions.</w:t>
            </w:r>
          </w:p>
          <w:p w:rsidR="0075233D" w:rsidRPr="00931A60" w:rsidRDefault="0075233D" w:rsidP="0092750F">
            <w:pPr>
              <w:pStyle w:val="Box"/>
              <w:tabs>
                <w:tab w:val="left" w:pos="5480"/>
              </w:tabs>
            </w:pPr>
            <w:r w:rsidRPr="00BB5D10">
              <w:t>Data quality information for this indicator</w:t>
            </w:r>
            <w:r w:rsidR="00DA507A">
              <w:t xml:space="preserve"> is at www.pc.gov.au</w:t>
            </w:r>
            <w:r>
              <w:t>/rogs/2015</w:t>
            </w:r>
            <w:r w:rsidRPr="00BB5D10">
              <w:t>.</w:t>
            </w:r>
          </w:p>
        </w:tc>
      </w:tr>
      <w:tr w:rsidR="0075233D" w:rsidTr="0092750F">
        <w:trPr>
          <w:cantSplit/>
        </w:trPr>
        <w:tc>
          <w:tcPr>
            <w:tcW w:w="8771" w:type="dxa"/>
            <w:tcBorders>
              <w:top w:val="nil"/>
              <w:left w:val="nil"/>
              <w:bottom w:val="single" w:sz="6" w:space="0" w:color="78A22F"/>
              <w:right w:val="nil"/>
            </w:tcBorders>
            <w:shd w:val="clear" w:color="auto" w:fill="F2F2F2" w:themeFill="background1" w:themeFillShade="F2"/>
          </w:tcPr>
          <w:p w:rsidR="0075233D" w:rsidRDefault="0075233D" w:rsidP="0092750F">
            <w:pPr>
              <w:pStyle w:val="Box"/>
              <w:spacing w:before="0" w:line="120" w:lineRule="exact"/>
            </w:pPr>
          </w:p>
        </w:tc>
      </w:tr>
      <w:tr w:rsidR="0075233D" w:rsidRPr="000863A5" w:rsidTr="0092750F">
        <w:tc>
          <w:tcPr>
            <w:tcW w:w="8771" w:type="dxa"/>
            <w:tcBorders>
              <w:top w:val="single" w:sz="6" w:space="0" w:color="78A22F"/>
              <w:left w:val="nil"/>
              <w:bottom w:val="nil"/>
              <w:right w:val="nil"/>
            </w:tcBorders>
          </w:tcPr>
          <w:p w:rsidR="0075233D" w:rsidRPr="00626D32" w:rsidRDefault="0075233D" w:rsidP="0092750F">
            <w:pPr>
              <w:pStyle w:val="BoxSpaceBelow"/>
            </w:pPr>
          </w:p>
        </w:tc>
      </w:tr>
    </w:tbl>
    <w:p w:rsidR="00924F0C" w:rsidRDefault="00924F0C" w:rsidP="00924F0C">
      <w:pPr>
        <w:pStyle w:val="BodyText"/>
      </w:pPr>
      <w:r>
        <w:t>The Paramedic Education Programs Accreditation Scheme is administered by the CAA in cooperation with professional bodies and the tertiary sector</w:t>
      </w:r>
      <w:r w:rsidR="00D34C28">
        <w:t xml:space="preserve"> — 16 universities are at various stages of accreditation or evaluation of their programs.</w:t>
      </w:r>
      <w:r>
        <w:t xml:space="preserve"> The accreditation of tertiary courses is designed to ensure paramedic graduates are equipped to meet the needs of ambulance service organisations. </w:t>
      </w:r>
    </w:p>
    <w:p w:rsidR="00004B16" w:rsidRDefault="006E6EFD" w:rsidP="00924F0C">
      <w:pPr>
        <w:pStyle w:val="BodyText"/>
      </w:pPr>
      <w:r>
        <w:t>Nationally, t</w:t>
      </w:r>
      <w:r w:rsidR="00067248">
        <w:t xml:space="preserve">here was a </w:t>
      </w:r>
      <w:r w:rsidR="00924F0C">
        <w:t>total of 5</w:t>
      </w:r>
      <w:r w:rsidR="005868BD">
        <w:t>871</w:t>
      </w:r>
      <w:r w:rsidR="00924F0C">
        <w:t xml:space="preserve"> students were enrolled at accredited paramedic training courses </w:t>
      </w:r>
      <w:r w:rsidR="00067248">
        <w:t>for the</w:t>
      </w:r>
      <w:r w:rsidR="00924F0C">
        <w:t xml:space="preserve"> 201</w:t>
      </w:r>
      <w:r w:rsidR="00261250">
        <w:t>3</w:t>
      </w:r>
      <w:r w:rsidR="00924F0C">
        <w:t xml:space="preserve"> </w:t>
      </w:r>
      <w:r w:rsidR="00D34C28">
        <w:t xml:space="preserve">course </w:t>
      </w:r>
      <w:r w:rsidR="00067248">
        <w:t>year</w:t>
      </w:r>
      <w:r>
        <w:t>, representing 253.8 enrolments per million people in the population</w:t>
      </w:r>
      <w:r w:rsidR="00067248">
        <w:t xml:space="preserve"> (</w:t>
      </w:r>
      <w:r w:rsidR="00067248" w:rsidRPr="00CC4105">
        <w:t>figure </w:t>
      </w:r>
      <w:r w:rsidR="00800D6F">
        <w:t>9.30</w:t>
      </w:r>
      <w:r>
        <w:t xml:space="preserve"> and table 9A.37</w:t>
      </w:r>
      <w:r w:rsidR="00067248">
        <w:t>)</w:t>
      </w:r>
      <w:r w:rsidR="00924F0C">
        <w:t>.</w:t>
      </w:r>
      <w:r w:rsidR="00067248">
        <w:t xml:space="preserve"> </w:t>
      </w:r>
      <w:r>
        <w:t>Nationally</w:t>
      </w:r>
      <w:r w:rsidR="00067248">
        <w:t xml:space="preserve">, </w:t>
      </w:r>
      <w:r w:rsidR="00C20C86" w:rsidRPr="00446594">
        <w:t>984</w:t>
      </w:r>
      <w:r w:rsidR="00067248" w:rsidRPr="00446594">
        <w:t xml:space="preserve"> students</w:t>
      </w:r>
      <w:r w:rsidR="00067248">
        <w:t xml:space="preserve"> were enrolled in the final year of their course </w:t>
      </w:r>
      <w:r>
        <w:t xml:space="preserve">in 2013 </w:t>
      </w:r>
      <w:r w:rsidR="00067248">
        <w:t>(table 9A.</w:t>
      </w:r>
      <w:r w:rsidR="00F14EC8">
        <w:t>37</w:t>
      </w:r>
      <w:r w:rsidR="00067248">
        <w:t>)</w:t>
      </w:r>
      <w:r w:rsidR="00261250">
        <w:t>.</w:t>
      </w:r>
      <w:r w:rsidR="005868BD">
        <w:t xml:space="preserve"> </w:t>
      </w:r>
    </w:p>
    <w:p w:rsidR="0075233D" w:rsidRDefault="0075233D" w:rsidP="0075233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5233D" w:rsidTr="0092750F">
        <w:tc>
          <w:tcPr>
            <w:tcW w:w="8771" w:type="dxa"/>
            <w:tcBorders>
              <w:top w:val="single" w:sz="6" w:space="0" w:color="78A22F"/>
              <w:left w:val="nil"/>
              <w:bottom w:val="nil"/>
              <w:right w:val="nil"/>
            </w:tcBorders>
            <w:shd w:val="clear" w:color="auto" w:fill="auto"/>
          </w:tcPr>
          <w:p w:rsidR="0075233D" w:rsidRPr="00FD475A" w:rsidRDefault="0075233D" w:rsidP="0092750F">
            <w:pPr>
              <w:pStyle w:val="FigureTitle"/>
              <w:rPr>
                <w:vertAlign w:val="superscript"/>
              </w:rPr>
            </w:pPr>
            <w:r w:rsidRPr="00784A05">
              <w:rPr>
                <w:b w:val="0"/>
              </w:rPr>
              <w:t xml:space="preserve">Figure </w:t>
            </w:r>
            <w:bookmarkStart w:id="106" w:name="OLE_LINK4"/>
            <w:r w:rsidR="008C1F96">
              <w:rPr>
                <w:b w:val="0"/>
              </w:rPr>
              <w:t>9.</w:t>
            </w:r>
            <w:r w:rsidR="00D52162">
              <w:rPr>
                <w:b w:val="0"/>
                <w:noProof/>
              </w:rPr>
              <w:t>30</w:t>
            </w:r>
            <w:bookmarkEnd w:id="106"/>
            <w:r>
              <w:tab/>
            </w:r>
            <w:r w:rsidR="00924F0C" w:rsidRPr="00216911">
              <w:t>Enrolments in accredited paramedic training courses</w:t>
            </w:r>
            <w:r w:rsidR="00FD475A">
              <w:t xml:space="preserve">, </w:t>
            </w:r>
            <w:r w:rsidR="00FD475A" w:rsidRPr="00FD475A">
              <w:t>per million people in the population</w:t>
            </w:r>
            <w:r w:rsidR="005868BD">
              <w:t>, 2013</w:t>
            </w:r>
            <w:r w:rsidR="00FD475A" w:rsidRPr="00FD475A">
              <w:rPr>
                <w:rStyle w:val="NoteLabel"/>
                <w:b/>
              </w:rPr>
              <w:t>a, b, c</w:t>
            </w:r>
            <w:r w:rsidR="001A0E9E" w:rsidRPr="00446594">
              <w:rPr>
                <w:rStyle w:val="NoteLabel"/>
                <w:b/>
              </w:rPr>
              <w:t>, d</w:t>
            </w:r>
          </w:p>
        </w:tc>
      </w:tr>
      <w:tr w:rsidR="0075233D" w:rsidTr="0092750F">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75233D" w:rsidTr="00677D4D">
              <w:tc>
                <w:tcPr>
                  <w:tcW w:w="5000" w:type="pct"/>
                  <w:tcBorders>
                    <w:top w:val="nil"/>
                    <w:bottom w:val="nil"/>
                  </w:tcBorders>
                </w:tcPr>
                <w:p w:rsidR="0075233D" w:rsidRDefault="00F82339" w:rsidP="0092750F">
                  <w:pPr>
                    <w:pStyle w:val="Figure"/>
                    <w:spacing w:before="60" w:after="60"/>
                  </w:pPr>
                  <w:r>
                    <w:rPr>
                      <w:noProof/>
                    </w:rPr>
                    <w:drawing>
                      <wp:inline distT="0" distB="0" distL="0" distR="0" wp14:anchorId="4242DF4A" wp14:editId="1A7CFED0">
                        <wp:extent cx="5405755" cy="2707640"/>
                        <wp:effectExtent l="0" t="0" r="4445" b="0"/>
                        <wp:docPr id="35" name="Picture 35" descr="Figure 9.30 Enrolments in accredited paramedic training courses, per million people in the population,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75233D" w:rsidRDefault="0075233D" w:rsidP="0092750F">
            <w:pPr>
              <w:pStyle w:val="Figure"/>
            </w:pPr>
          </w:p>
        </w:tc>
      </w:tr>
      <w:tr w:rsidR="0075233D" w:rsidRPr="00176D3F" w:rsidTr="0092750F">
        <w:tc>
          <w:tcPr>
            <w:tcW w:w="8771" w:type="dxa"/>
            <w:tcBorders>
              <w:top w:val="nil"/>
              <w:left w:val="nil"/>
              <w:bottom w:val="nil"/>
              <w:right w:val="nil"/>
            </w:tcBorders>
            <w:shd w:val="clear" w:color="auto" w:fill="auto"/>
          </w:tcPr>
          <w:p w:rsidR="0075233D" w:rsidRPr="00176D3F" w:rsidRDefault="0075233D" w:rsidP="00891694">
            <w:pPr>
              <w:pStyle w:val="Note"/>
            </w:pPr>
            <w:r w:rsidRPr="002605A8">
              <w:rPr>
                <w:rStyle w:val="NoteLabel"/>
              </w:rPr>
              <w:t>a</w:t>
            </w:r>
            <w:r w:rsidRPr="002605A8">
              <w:t xml:space="preserve"> </w:t>
            </w:r>
            <w:r w:rsidR="004E4012">
              <w:t>Student enrolments are compiled by the Council of Ambulance Authorities, as administrative data from tertiary institutions participating in the Paramedic Education Programs Accreditation Scheme. The scheme is a voluntary program and as such might not represent all students enrolled in paramedic courses around Australia.</w:t>
            </w:r>
            <w:r w:rsidR="004E4012" w:rsidRPr="002605A8">
              <w:rPr>
                <w:rStyle w:val="NoteLabel"/>
              </w:rPr>
              <w:t xml:space="preserve"> </w:t>
            </w:r>
            <w:r w:rsidR="004E4012">
              <w:rPr>
                <w:rStyle w:val="NoteLabel"/>
              </w:rPr>
              <w:t>b </w:t>
            </w:r>
            <w:r w:rsidR="004E4012">
              <w:t xml:space="preserve">Data are counted as the number of students enrolled as at 31 December for the </w:t>
            </w:r>
            <w:r w:rsidR="00261250">
              <w:t>completed</w:t>
            </w:r>
            <w:r w:rsidR="004E4012">
              <w:t xml:space="preserve"> course year.</w:t>
            </w:r>
            <w:r w:rsidR="004E4012" w:rsidRPr="002605A8">
              <w:rPr>
                <w:rStyle w:val="NoteLabel"/>
              </w:rPr>
              <w:t xml:space="preserve"> </w:t>
            </w:r>
            <w:r w:rsidR="004E4012">
              <w:rPr>
                <w:rStyle w:val="NoteLabel"/>
              </w:rPr>
              <w:t>c </w:t>
            </w:r>
            <w:r w:rsidR="004E4012">
              <w:t>Population data used to derive rates are as at 3</w:t>
            </w:r>
            <w:r w:rsidR="00261250">
              <w:t>0</w:t>
            </w:r>
            <w:r w:rsidR="004E4012">
              <w:t xml:space="preserve"> </w:t>
            </w:r>
            <w:r w:rsidR="00261250">
              <w:t>June</w:t>
            </w:r>
            <w:r w:rsidR="004E4012">
              <w:t xml:space="preserve">. Estimated Resident Population (ERP) data are </w:t>
            </w:r>
            <w:r w:rsidR="00261250">
              <w:t>preliminary</w:t>
            </w:r>
            <w:r w:rsidR="004E4012">
              <w:t>. See chapter 2 (table 2A.2) for details.</w:t>
            </w:r>
            <w:r w:rsidR="001A0E9E">
              <w:t xml:space="preserve"> </w:t>
            </w:r>
            <w:r w:rsidR="001A0E9E" w:rsidRPr="00446594">
              <w:rPr>
                <w:rStyle w:val="NoteLabel"/>
              </w:rPr>
              <w:t>d </w:t>
            </w:r>
            <w:r w:rsidR="001A0E9E" w:rsidRPr="00446594">
              <w:t xml:space="preserve">NT: There are no </w:t>
            </w:r>
            <w:r w:rsidR="00891694" w:rsidRPr="00446594">
              <w:t xml:space="preserve">higher education providers based in the NT that offer </w:t>
            </w:r>
            <w:r w:rsidR="001A0E9E" w:rsidRPr="00446594">
              <w:t>courses accredited by the Paramedic Education Programs Accreditation Scheme.</w:t>
            </w:r>
            <w:r w:rsidR="00EC7BE9" w:rsidRPr="00446594">
              <w:t xml:space="preserve"> Student paramedics employed by St John Ambulance NT study at Edith Cowan University, WA.</w:t>
            </w:r>
          </w:p>
        </w:tc>
      </w:tr>
      <w:tr w:rsidR="0075233D" w:rsidRPr="00176D3F" w:rsidTr="0092750F">
        <w:tc>
          <w:tcPr>
            <w:tcW w:w="8771" w:type="dxa"/>
            <w:tcBorders>
              <w:top w:val="nil"/>
              <w:left w:val="nil"/>
              <w:bottom w:val="nil"/>
              <w:right w:val="nil"/>
            </w:tcBorders>
            <w:shd w:val="clear" w:color="auto" w:fill="auto"/>
          </w:tcPr>
          <w:p w:rsidR="0075233D" w:rsidRPr="00176D3F" w:rsidRDefault="0075233D" w:rsidP="00F14EC8">
            <w:pPr>
              <w:pStyle w:val="Source"/>
            </w:pPr>
            <w:r w:rsidRPr="002605A8">
              <w:rPr>
                <w:i/>
              </w:rPr>
              <w:t>Source</w:t>
            </w:r>
            <w:r w:rsidRPr="002605A8">
              <w:t>: State and Territory governments (unpublished), table </w:t>
            </w:r>
            <w:r>
              <w:t>9A.3</w:t>
            </w:r>
            <w:r w:rsidR="00F14EC8">
              <w:t>7</w:t>
            </w:r>
            <w:r w:rsidRPr="002605A8">
              <w:t>.</w:t>
            </w:r>
          </w:p>
        </w:tc>
      </w:tr>
      <w:tr w:rsidR="0075233D" w:rsidTr="0092750F">
        <w:tc>
          <w:tcPr>
            <w:tcW w:w="8771" w:type="dxa"/>
            <w:tcBorders>
              <w:top w:val="nil"/>
              <w:left w:val="nil"/>
              <w:bottom w:val="single" w:sz="6" w:space="0" w:color="78A22F"/>
              <w:right w:val="nil"/>
            </w:tcBorders>
            <w:shd w:val="clear" w:color="auto" w:fill="auto"/>
          </w:tcPr>
          <w:p w:rsidR="0075233D" w:rsidRDefault="0075233D" w:rsidP="0092750F">
            <w:pPr>
              <w:pStyle w:val="Figurespace"/>
            </w:pPr>
          </w:p>
        </w:tc>
      </w:tr>
      <w:tr w:rsidR="0075233D" w:rsidRPr="000863A5" w:rsidTr="0092750F">
        <w:tc>
          <w:tcPr>
            <w:tcW w:w="8771" w:type="dxa"/>
            <w:tcBorders>
              <w:top w:val="single" w:sz="6" w:space="0" w:color="78A22F"/>
              <w:left w:val="nil"/>
              <w:bottom w:val="nil"/>
              <w:right w:val="nil"/>
            </w:tcBorders>
          </w:tcPr>
          <w:p w:rsidR="0075233D" w:rsidRPr="00626D32" w:rsidRDefault="0075233D" w:rsidP="0092750F">
            <w:pPr>
              <w:pStyle w:val="BoxSpaceBelow"/>
            </w:pPr>
          </w:p>
        </w:tc>
      </w:tr>
    </w:tbl>
    <w:p w:rsidR="00986A8B" w:rsidRPr="00CC4105" w:rsidRDefault="00986A8B" w:rsidP="00986A8B">
      <w:pPr>
        <w:pStyle w:val="Heading4"/>
      </w:pPr>
      <w:r w:rsidRPr="00CC4105">
        <w:t>Efficiency</w:t>
      </w:r>
    </w:p>
    <w:p w:rsidR="00986A8B" w:rsidRPr="00CC4105" w:rsidRDefault="00986A8B" w:rsidP="00986A8B">
      <w:pPr>
        <w:pStyle w:val="BodyText"/>
      </w:pPr>
      <w:r w:rsidRPr="00CC4105">
        <w:t>Care needs to be taken when comparing efficiency data across jurisdictions because there are differences in the reporting of a range of cost items and funding arrangements (funding policies and taxing regimes). Some jurisdictions, for example, have a greater proportion of government funding relative to levies compared with other jurisdictions. Also, differences in geographic size, terrain, climate, and population dispersal may affect costs of infrastructure and numbers of service delivery locations per person.</w:t>
      </w:r>
    </w:p>
    <w:p w:rsidR="00986A8B" w:rsidRPr="00CC4105" w:rsidRDefault="00986A8B" w:rsidP="00986A8B">
      <w:pPr>
        <w:pStyle w:val="Heading5"/>
      </w:pPr>
      <w:r w:rsidRPr="00CC4105">
        <w:t>Ambulance service organisation</w:t>
      </w:r>
      <w:r w:rsidR="000864C2" w:rsidRPr="00CC4105">
        <w:t>’</w:t>
      </w:r>
      <w:r w:rsidRPr="00CC4105">
        <w:t>s expenditure per person</w:t>
      </w:r>
    </w:p>
    <w:p w:rsidR="00986A8B" w:rsidRPr="00CC4105" w:rsidRDefault="00986A8B" w:rsidP="00F43F2A">
      <w:pPr>
        <w:pStyle w:val="BodyText"/>
      </w:pPr>
      <w:r w:rsidRPr="00CC4105">
        <w:t xml:space="preserve">‘Ambulance service organisations’ expenditure per person’ is an indicator of governments’ objective </w:t>
      </w:r>
      <w:r w:rsidR="00F43F2A" w:rsidRPr="00CC4105">
        <w:t>of providing pre</w:t>
      </w:r>
      <w:r w:rsidR="00CC7814">
        <w:noBreakHyphen/>
      </w:r>
      <w:r w:rsidR="00F43F2A" w:rsidRPr="00CC4105">
        <w:t>hospital and out</w:t>
      </w:r>
      <w:r w:rsidR="00CC7814">
        <w:noBreakHyphen/>
      </w:r>
      <w:r w:rsidR="00F43F2A" w:rsidRPr="00CC4105">
        <w:t>of</w:t>
      </w:r>
      <w:r w:rsidR="00CC7814">
        <w:noBreakHyphen/>
      </w:r>
      <w:r w:rsidR="00F43F2A" w:rsidRPr="00CC4105">
        <w:t>hospital care and patient transport services, that are effectively, efficiently and sustainably delivered</w:t>
      </w:r>
      <w:r w:rsidRPr="00CC4105">
        <w:t xml:space="preserve"> (box </w:t>
      </w:r>
      <w:r w:rsidR="00800D6F">
        <w:t>9.29</w:t>
      </w:r>
      <w:r w:rsidRPr="00CC4105">
        <w:t xml:space="preserve">). </w:t>
      </w:r>
    </w:p>
    <w:p w:rsidR="00D03D2B" w:rsidRDefault="00963693" w:rsidP="00D03D2B">
      <w:pPr>
        <w:pStyle w:val="BodyText"/>
      </w:pPr>
      <w:r>
        <w:lastRenderedPageBreak/>
        <w:t xml:space="preserve">Both the </w:t>
      </w:r>
      <w:r w:rsidRPr="00CC4105">
        <w:t xml:space="preserve">total </w:t>
      </w:r>
      <w:r w:rsidR="00D03D2B" w:rsidRPr="00CC4105">
        <w:t>cost of ambulance service organisations and the cost to government of funding ambulance ser</w:t>
      </w:r>
      <w:r>
        <w:t>vice organisations are reported</w:t>
      </w:r>
      <w:r w:rsidR="00D03D2B" w:rsidRPr="00CC4105">
        <w:t xml:space="preserve">, because revenue from transport fees is significant for a number of jurisdictions. </w:t>
      </w:r>
    </w:p>
    <w:p w:rsidR="00034DE5" w:rsidRDefault="00034DE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34DE5" w:rsidTr="00E9599A">
        <w:tc>
          <w:tcPr>
            <w:tcW w:w="8771" w:type="dxa"/>
            <w:tcBorders>
              <w:top w:val="single" w:sz="6" w:space="0" w:color="78A22F"/>
              <w:left w:val="nil"/>
              <w:bottom w:val="nil"/>
              <w:right w:val="nil"/>
            </w:tcBorders>
            <w:shd w:val="clear" w:color="auto" w:fill="F2F2F2" w:themeFill="background1" w:themeFillShade="F2"/>
          </w:tcPr>
          <w:p w:rsidR="00034DE5" w:rsidRDefault="00034DE5" w:rsidP="00034DE5">
            <w:pPr>
              <w:pStyle w:val="BoxTitle"/>
            </w:pPr>
            <w:r>
              <w:rPr>
                <w:b w:val="0"/>
              </w:rPr>
              <w:t xml:space="preserve">Box </w:t>
            </w:r>
            <w:bookmarkStart w:id="107" w:name="OLE_LINK59"/>
            <w:r w:rsidR="008C1F96">
              <w:rPr>
                <w:b w:val="0"/>
              </w:rPr>
              <w:t>9.</w:t>
            </w:r>
            <w:r w:rsidR="00D52162">
              <w:rPr>
                <w:b w:val="0"/>
                <w:noProof/>
              </w:rPr>
              <w:t>29</w:t>
            </w:r>
            <w:bookmarkEnd w:id="107"/>
            <w:r>
              <w:tab/>
            </w:r>
            <w:r w:rsidRPr="00CC4105">
              <w:t>Ambulance service expenditure per person</w:t>
            </w:r>
          </w:p>
        </w:tc>
      </w:tr>
      <w:tr w:rsidR="00034DE5" w:rsidTr="00E9599A">
        <w:trPr>
          <w:cantSplit/>
        </w:trPr>
        <w:tc>
          <w:tcPr>
            <w:tcW w:w="8771" w:type="dxa"/>
            <w:tcBorders>
              <w:top w:val="nil"/>
              <w:left w:val="nil"/>
              <w:bottom w:val="nil"/>
              <w:right w:val="nil"/>
            </w:tcBorders>
            <w:shd w:val="clear" w:color="auto" w:fill="F2F2F2" w:themeFill="background1" w:themeFillShade="F2"/>
          </w:tcPr>
          <w:p w:rsidR="00034DE5" w:rsidRPr="00CC4105" w:rsidRDefault="00034DE5" w:rsidP="00E9599A">
            <w:pPr>
              <w:pStyle w:val="Box"/>
              <w:keepNext w:val="0"/>
              <w:keepLines/>
            </w:pPr>
            <w:r w:rsidRPr="00CC4105">
              <w:t>‘Ambulance service organisations’ expenditure per person’ is defined as total ambulance service organisation expenditure per person in the population.</w:t>
            </w:r>
          </w:p>
          <w:p w:rsidR="00F14EC8" w:rsidRDefault="00F14EC8" w:rsidP="00E9599A">
            <w:pPr>
              <w:pStyle w:val="Box"/>
              <w:keepNext w:val="0"/>
              <w:keepLines/>
            </w:pPr>
            <w:r w:rsidRPr="002C5FB5">
              <w:t xml:space="preserve">Expenditure per person is employed as a proxy for efficiency. </w:t>
            </w:r>
            <w:r w:rsidR="00034DE5" w:rsidRPr="00CC4105">
              <w:t xml:space="preserve">All else being equal, lower expenditure per person represents greater efficiency. However, efficiency data are difficult to interpret. </w:t>
            </w:r>
            <w:r>
              <w:t>For example:</w:t>
            </w:r>
          </w:p>
          <w:p w:rsidR="00F14EC8" w:rsidRDefault="00034DE5" w:rsidP="00F14EC8">
            <w:pPr>
              <w:pStyle w:val="BoxListBullet"/>
            </w:pPr>
            <w:r w:rsidRPr="00CC4105">
              <w:t>high or increasing expenditure per person may reflect deteriorating efficiency</w:t>
            </w:r>
            <w:r w:rsidR="00F14EC8">
              <w:t>. Alternatively</w:t>
            </w:r>
            <w:r w:rsidRPr="00CC4105">
              <w:t xml:space="preserve">, it may reflect changes </w:t>
            </w:r>
            <w:r w:rsidR="00FD475A">
              <w:t xml:space="preserve">in: </w:t>
            </w:r>
            <w:r w:rsidRPr="00CC4105">
              <w:t>aspects of the service (such as improved response</w:t>
            </w:r>
            <w:r w:rsidR="00FD475A">
              <w:t xml:space="preserve">); </w:t>
            </w:r>
            <w:r w:rsidR="00F14EC8">
              <w:t>resourcing for</w:t>
            </w:r>
            <w:r w:rsidR="00FD475A">
              <w:t xml:space="preserve"> first aid and community safety;</w:t>
            </w:r>
            <w:r w:rsidRPr="00CC4105">
              <w:t xml:space="preserve"> or </w:t>
            </w:r>
            <w:r w:rsidR="00FD475A">
              <w:t xml:space="preserve">the </w:t>
            </w:r>
            <w:r w:rsidRPr="00CC4105">
              <w:t>characteristics of events requiring ambulance service response (such as more se</w:t>
            </w:r>
            <w:r w:rsidR="00F14EC8">
              <w:t>rious para</w:t>
            </w:r>
            <w:r w:rsidR="00F14EC8">
              <w:noBreakHyphen/>
              <w:t>medical challenges)</w:t>
            </w:r>
          </w:p>
          <w:p w:rsidR="00034DE5" w:rsidRPr="00CC4105" w:rsidRDefault="00034DE5" w:rsidP="00F14EC8">
            <w:pPr>
              <w:pStyle w:val="BoxListBullet"/>
            </w:pPr>
            <w:r w:rsidRPr="00CC4105">
              <w:t>low or declining expenditure per person may reflect improving efficiency</w:t>
            </w:r>
            <w:r w:rsidR="00F14EC8">
              <w:t>. Alternatively,</w:t>
            </w:r>
            <w:r w:rsidRPr="00CC4105">
              <w:t xml:space="preserve"> </w:t>
            </w:r>
            <w:r w:rsidR="00F14EC8">
              <w:t xml:space="preserve">it may reflect </w:t>
            </w:r>
            <w:r w:rsidRPr="00CC4105">
              <w:t>lower quality responses or less challenging cases.</w:t>
            </w:r>
          </w:p>
          <w:p w:rsidR="00034DE5" w:rsidRPr="00CC4105" w:rsidRDefault="00034DE5" w:rsidP="00E9599A">
            <w:pPr>
              <w:pStyle w:val="Box"/>
            </w:pPr>
            <w:r w:rsidRPr="00CC4105">
              <w:t>Expenditure per</w:t>
            </w:r>
            <w:r w:rsidR="00FD475A">
              <w:t xml:space="preserve"> ambulance patient i</w:t>
            </w:r>
            <w:r w:rsidR="006E6EFD">
              <w:t>s</w:t>
            </w:r>
            <w:r w:rsidR="00FD475A">
              <w:t xml:space="preserve"> not </w:t>
            </w:r>
            <w:r w:rsidRPr="00CC4105">
              <w:t xml:space="preserve">employed as a </w:t>
            </w:r>
            <w:r w:rsidR="00F14EC8">
              <w:t xml:space="preserve">measure of efficiency </w:t>
            </w:r>
            <w:r w:rsidRPr="00CC4105">
              <w:t xml:space="preserve">because an organisation that applies more resources to the prevention and preparedness components of community safety </w:t>
            </w:r>
            <w:r w:rsidR="00FD475A">
              <w:t xml:space="preserve">— </w:t>
            </w:r>
            <w:r w:rsidRPr="00CC4105">
              <w:t xml:space="preserve">to reduce the demand for ambulance services </w:t>
            </w:r>
            <w:r w:rsidR="00FD475A">
              <w:t xml:space="preserve">—- </w:t>
            </w:r>
            <w:r w:rsidRPr="00CC4105">
              <w:t>could erroneously appear to be less efficient.</w:t>
            </w:r>
          </w:p>
          <w:p w:rsidR="00034DE5" w:rsidRPr="00CC4105" w:rsidRDefault="00034DE5" w:rsidP="00E9599A">
            <w:pPr>
              <w:pStyle w:val="Box"/>
            </w:pPr>
            <w:r w:rsidRPr="00CC4105">
              <w:t>Data reported for this measure are:</w:t>
            </w:r>
          </w:p>
          <w:p w:rsidR="00034DE5" w:rsidRPr="00CC4105" w:rsidRDefault="00034DE5" w:rsidP="00E9599A">
            <w:pPr>
              <w:pStyle w:val="BoxListBullet"/>
            </w:pPr>
            <w:r w:rsidRPr="00CC4105">
              <w:t>comparable (subject to caveats) within jurisdictions over time but are not comparable across jurisdictions</w:t>
            </w:r>
          </w:p>
          <w:p w:rsidR="00034DE5" w:rsidRPr="00CC4105" w:rsidRDefault="00034DE5" w:rsidP="00E9599A">
            <w:pPr>
              <w:pStyle w:val="BoxListBullet"/>
            </w:pPr>
            <w:r>
              <w:t>complete (subject to caveats) for the current reporting period</w:t>
            </w:r>
            <w:r w:rsidRPr="00CC4105">
              <w:t xml:space="preserve">. All required </w:t>
            </w:r>
            <w:r w:rsidR="00FA5D77">
              <w:t>2013</w:t>
            </w:r>
            <w:r w:rsidR="0026487F">
              <w:noBreakHyphen/>
            </w:r>
            <w:r w:rsidR="00FA5D77">
              <w:t>14</w:t>
            </w:r>
            <w:r w:rsidRPr="00CC4105">
              <w:t xml:space="preserve"> data are available for all jurisdictions.</w:t>
            </w:r>
          </w:p>
          <w:p w:rsidR="00034DE5" w:rsidRPr="00CC4105" w:rsidRDefault="00034DE5" w:rsidP="00E9599A">
            <w:pPr>
              <w:pStyle w:val="Box"/>
            </w:pPr>
            <w:r w:rsidRPr="00CC4105">
              <w:t>Data quality information for this indicator is under development.</w:t>
            </w:r>
          </w:p>
        </w:tc>
      </w:tr>
      <w:tr w:rsidR="00034DE5" w:rsidTr="00E9599A">
        <w:trPr>
          <w:cantSplit/>
        </w:trPr>
        <w:tc>
          <w:tcPr>
            <w:tcW w:w="8771" w:type="dxa"/>
            <w:tcBorders>
              <w:top w:val="nil"/>
              <w:left w:val="nil"/>
              <w:bottom w:val="single" w:sz="6" w:space="0" w:color="78A22F"/>
              <w:right w:val="nil"/>
            </w:tcBorders>
            <w:shd w:val="clear" w:color="auto" w:fill="F2F2F2" w:themeFill="background1" w:themeFillShade="F2"/>
          </w:tcPr>
          <w:p w:rsidR="00034DE5" w:rsidRDefault="00034DE5">
            <w:pPr>
              <w:pStyle w:val="Box"/>
              <w:spacing w:before="0" w:line="120" w:lineRule="exact"/>
            </w:pPr>
          </w:p>
        </w:tc>
      </w:tr>
      <w:tr w:rsidR="00034DE5" w:rsidRPr="000863A5" w:rsidTr="00E9599A">
        <w:tc>
          <w:tcPr>
            <w:tcW w:w="8771" w:type="dxa"/>
            <w:tcBorders>
              <w:top w:val="single" w:sz="6" w:space="0" w:color="78A22F"/>
              <w:left w:val="nil"/>
              <w:bottom w:val="nil"/>
              <w:right w:val="nil"/>
            </w:tcBorders>
          </w:tcPr>
          <w:p w:rsidR="00034DE5" w:rsidRPr="00626D32" w:rsidRDefault="00034DE5" w:rsidP="00E9599A">
            <w:pPr>
              <w:pStyle w:val="BoxSpaceBelow"/>
            </w:pPr>
          </w:p>
        </w:tc>
      </w:tr>
    </w:tbl>
    <w:p w:rsidR="00986A8B" w:rsidRPr="00CC4105" w:rsidRDefault="00986A8B" w:rsidP="00BA0550">
      <w:pPr>
        <w:pStyle w:val="BodyText"/>
      </w:pPr>
      <w:r w:rsidRPr="00CC4105">
        <w:t>Nationally, total expenditure on ambulance service organisations was</w:t>
      </w:r>
      <w:r w:rsidR="00354F65">
        <w:t xml:space="preserve"> $2.</w:t>
      </w:r>
      <w:r w:rsidR="00080C7E">
        <w:t>7</w:t>
      </w:r>
      <w:r w:rsidR="00354F65">
        <w:t> billion, or</w:t>
      </w:r>
      <w:r w:rsidRPr="00CC4105">
        <w:t xml:space="preserve"> </w:t>
      </w:r>
      <w:r w:rsidR="00522AA0" w:rsidRPr="00446594">
        <w:t>$</w:t>
      </w:r>
      <w:r w:rsidR="0012599B" w:rsidRPr="00607C97">
        <w:rPr>
          <w:bCs/>
          <w:lang w:val="en-US"/>
        </w:rPr>
        <w:t>113.90</w:t>
      </w:r>
      <w:r w:rsidRPr="00607C97">
        <w:t xml:space="preserve"> </w:t>
      </w:r>
      <w:r w:rsidR="008D2314" w:rsidRPr="00607C97">
        <w:t>per person</w:t>
      </w:r>
      <w:r w:rsidR="008D2314" w:rsidRPr="00CC4105">
        <w:t xml:space="preserve"> </w:t>
      </w:r>
      <w:r w:rsidRPr="00CC4105">
        <w:t xml:space="preserve">in </w:t>
      </w:r>
      <w:r w:rsidR="00FA5D77">
        <w:t>2013</w:t>
      </w:r>
      <w:r w:rsidR="0026487F">
        <w:noBreakHyphen/>
      </w:r>
      <w:r w:rsidR="00FA5D77">
        <w:t>14</w:t>
      </w:r>
      <w:r w:rsidRPr="00CC4105">
        <w:t xml:space="preserve"> (</w:t>
      </w:r>
      <w:r w:rsidR="00354F65">
        <w:t>table</w:t>
      </w:r>
      <w:r w:rsidR="00243CD6">
        <w:t> </w:t>
      </w:r>
      <w:r w:rsidR="00354F65">
        <w:t>9A.</w:t>
      </w:r>
      <w:r w:rsidR="0089059B">
        <w:t>47</w:t>
      </w:r>
      <w:r w:rsidR="006A6984">
        <w:t xml:space="preserve"> </w:t>
      </w:r>
      <w:r w:rsidR="00354F65">
        <w:t xml:space="preserve">and </w:t>
      </w:r>
      <w:r w:rsidRPr="00CC4105">
        <w:t>figure </w:t>
      </w:r>
      <w:r w:rsidR="0012599B">
        <w:t>9.31</w:t>
      </w:r>
      <w:r w:rsidRPr="00CC4105">
        <w:t>).</w:t>
      </w:r>
    </w:p>
    <w:p w:rsidR="00034DE5" w:rsidRDefault="00034DE5" w:rsidP="00E9599A">
      <w:pPr>
        <w:pStyle w:val="BoxSpaceAbove"/>
      </w:pPr>
      <w:bookmarkStart w:id="108" w:name="_Toc343078131"/>
      <w:bookmarkStart w:id="109" w:name="_Toc343078584"/>
      <w:bookmarkStart w:id="110" w:name="_Toc343078628"/>
      <w:bookmarkStart w:id="111" w:name="_Toc343089219"/>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34DE5" w:rsidTr="00E9599A">
        <w:tc>
          <w:tcPr>
            <w:tcW w:w="8771" w:type="dxa"/>
            <w:tcBorders>
              <w:top w:val="single" w:sz="6" w:space="0" w:color="78A22F"/>
              <w:left w:val="nil"/>
              <w:bottom w:val="nil"/>
              <w:right w:val="nil"/>
            </w:tcBorders>
            <w:shd w:val="clear" w:color="auto" w:fill="auto"/>
          </w:tcPr>
          <w:p w:rsidR="00034DE5" w:rsidRPr="00176D3F" w:rsidRDefault="00034DE5" w:rsidP="00034DE5">
            <w:pPr>
              <w:pStyle w:val="FigureTitle"/>
            </w:pPr>
            <w:r w:rsidRPr="00784A05">
              <w:rPr>
                <w:b w:val="0"/>
              </w:rPr>
              <w:t xml:space="preserve">Figure </w:t>
            </w:r>
            <w:bookmarkStart w:id="112" w:name="OLE_LINK5"/>
            <w:r w:rsidR="008C1F96">
              <w:rPr>
                <w:b w:val="0"/>
              </w:rPr>
              <w:t>9.</w:t>
            </w:r>
            <w:r w:rsidR="00D52162">
              <w:rPr>
                <w:b w:val="0"/>
                <w:noProof/>
              </w:rPr>
              <w:t>31</w:t>
            </w:r>
            <w:bookmarkEnd w:id="112"/>
            <w:r>
              <w:tab/>
            </w:r>
            <w:r w:rsidRPr="002605A8">
              <w:t>Ambulance service organisations’ expenditure per person (</w:t>
            </w:r>
            <w:r w:rsidR="00FA5D77">
              <w:t>2013</w:t>
            </w:r>
            <w:r w:rsidR="0026487F">
              <w:noBreakHyphen/>
            </w:r>
            <w:r w:rsidR="00FA5D77">
              <w:t>14</w:t>
            </w:r>
            <w:r w:rsidRPr="002605A8">
              <w:t> dollars)</w:t>
            </w:r>
            <w:r w:rsidRPr="002605A8">
              <w:rPr>
                <w:vertAlign w:val="superscript"/>
              </w:rPr>
              <w:t>a, b, c, d</w:t>
            </w:r>
          </w:p>
        </w:tc>
      </w:tr>
      <w:tr w:rsidR="00034DE5" w:rsidTr="00607C97">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034DE5" w:rsidTr="00446594">
              <w:tc>
                <w:tcPr>
                  <w:tcW w:w="5000" w:type="pct"/>
                  <w:tcBorders>
                    <w:top w:val="nil"/>
                    <w:bottom w:val="nil"/>
                  </w:tcBorders>
                  <w:shd w:val="clear" w:color="auto" w:fill="auto"/>
                </w:tcPr>
                <w:p w:rsidR="00034DE5" w:rsidRDefault="00F82339" w:rsidP="00034DE5">
                  <w:pPr>
                    <w:pStyle w:val="Figure"/>
                    <w:spacing w:before="60" w:after="60"/>
                  </w:pPr>
                  <w:r>
                    <w:rPr>
                      <w:noProof/>
                    </w:rPr>
                    <w:drawing>
                      <wp:inline distT="0" distB="0" distL="0" distR="0" wp14:anchorId="4D195826" wp14:editId="60578C42">
                        <wp:extent cx="5405755" cy="2707640"/>
                        <wp:effectExtent l="0" t="0" r="4445" b="0"/>
                        <wp:docPr id="36" name="Picture 36" descr="Figure 9.31 Ambulance service organisations' expenditure per person (2013-14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034DE5" w:rsidRDefault="00034DE5" w:rsidP="00E9599A">
            <w:pPr>
              <w:pStyle w:val="Figure"/>
            </w:pPr>
          </w:p>
        </w:tc>
      </w:tr>
      <w:tr w:rsidR="00034DE5" w:rsidRPr="00176D3F" w:rsidTr="00E9599A">
        <w:tc>
          <w:tcPr>
            <w:tcW w:w="8771" w:type="dxa"/>
            <w:tcBorders>
              <w:top w:val="nil"/>
              <w:left w:val="nil"/>
              <w:bottom w:val="nil"/>
              <w:right w:val="nil"/>
            </w:tcBorders>
            <w:shd w:val="clear" w:color="auto" w:fill="auto"/>
          </w:tcPr>
          <w:p w:rsidR="00034DE5" w:rsidRPr="00176D3F" w:rsidRDefault="00034DE5" w:rsidP="00D767EF">
            <w:pPr>
              <w:pStyle w:val="Note"/>
            </w:pPr>
            <w:r w:rsidRPr="002605A8">
              <w:rPr>
                <w:rStyle w:val="NoteLabel"/>
              </w:rPr>
              <w:t>a</w:t>
            </w:r>
            <w:r w:rsidRPr="002605A8">
              <w:t> </w:t>
            </w:r>
            <w:r w:rsidR="00554D80" w:rsidRPr="009432C9">
              <w:t>Time series financial data are adjusted to 2013</w:t>
            </w:r>
            <w:r w:rsidR="0026487F">
              <w:noBreakHyphen/>
            </w:r>
            <w:r w:rsidR="00554D80" w:rsidRPr="009432C9">
              <w:t>14 dollars using the General Government Final Consumption Expenditure (GGFCE) chain price deflator (2013</w:t>
            </w:r>
            <w:r w:rsidR="0026487F">
              <w:noBreakHyphen/>
            </w:r>
            <w:r w:rsidR="00554D80" w:rsidRPr="009432C9">
              <w:t>14 = 100) (table 2A.51). See chapter 2 (sections 2.5</w:t>
            </w:r>
            <w:r w:rsidR="0026487F">
              <w:noBreakHyphen/>
            </w:r>
            <w:r w:rsidR="00554D80" w:rsidRPr="009432C9">
              <w:t>6) for details.</w:t>
            </w:r>
            <w:r w:rsidRPr="002605A8">
              <w:t xml:space="preserve"> </w:t>
            </w:r>
            <w:r w:rsidRPr="002605A8">
              <w:rPr>
                <w:rStyle w:val="NoteLabel"/>
              </w:rPr>
              <w:t>b</w:t>
            </w:r>
            <w:r w:rsidRPr="002605A8">
              <w:t> </w:t>
            </w:r>
            <w:r w:rsidR="009811B9" w:rsidRPr="00D802A1">
              <w:t xml:space="preserve">Population data used to derive rates are revised to the ABS’ final 2011 Census rebased estimates. </w:t>
            </w:r>
            <w:r w:rsidR="009811B9" w:rsidRPr="00854E63">
              <w:t xml:space="preserve">See </w:t>
            </w:r>
            <w:r w:rsidR="009811B9">
              <w:t>c</w:t>
            </w:r>
            <w:r w:rsidR="009811B9" w:rsidRPr="00854E63">
              <w:t>hapter</w:t>
            </w:r>
            <w:r w:rsidR="009811B9">
              <w:t> </w:t>
            </w:r>
            <w:r w:rsidR="009811B9" w:rsidRPr="00854E63">
              <w:t>2 (table</w:t>
            </w:r>
            <w:r w:rsidR="009811B9">
              <w:t> </w:t>
            </w:r>
            <w:r w:rsidR="009811B9" w:rsidRPr="00854E63">
              <w:t>2A.1</w:t>
            </w:r>
            <w:r w:rsidR="009811B9">
              <w:noBreakHyphen/>
            </w:r>
            <w:r w:rsidR="009811B9" w:rsidRPr="00854E63">
              <w:t>2) for details.</w:t>
            </w:r>
            <w:r w:rsidR="009811B9">
              <w:t xml:space="preserve"> </w:t>
            </w:r>
            <w:r w:rsidRPr="002605A8">
              <w:rPr>
                <w:rStyle w:val="NoteLabel"/>
              </w:rPr>
              <w:t>c</w:t>
            </w:r>
            <w:r w:rsidRPr="002605A8">
              <w:t xml:space="preserve"> WA and NT: use a contracted service model for ambulance services. </w:t>
            </w:r>
            <w:r w:rsidRPr="002605A8">
              <w:rPr>
                <w:rStyle w:val="NoteLabel"/>
              </w:rPr>
              <w:t>d</w:t>
            </w:r>
            <w:r w:rsidRPr="002605A8">
              <w:t xml:space="preserve"> SA: </w:t>
            </w:r>
            <w:r w:rsidRPr="002605A8">
              <w:rPr>
                <w:rFonts w:cs="Arial"/>
                <w:iCs/>
              </w:rPr>
              <w:t>2011</w:t>
            </w:r>
            <w:r>
              <w:rPr>
                <w:rFonts w:cs="Arial"/>
                <w:iCs/>
              </w:rPr>
              <w:noBreakHyphen/>
            </w:r>
            <w:r w:rsidRPr="002605A8">
              <w:rPr>
                <w:rFonts w:cs="Arial"/>
                <w:iCs/>
              </w:rPr>
              <w:t>12 SA Ambulance Service results include some significant once</w:t>
            </w:r>
            <w:r>
              <w:rPr>
                <w:rFonts w:cs="Arial"/>
                <w:iCs/>
              </w:rPr>
              <w:noBreakHyphen/>
            </w:r>
            <w:r w:rsidRPr="002605A8">
              <w:rPr>
                <w:rFonts w:cs="Arial"/>
                <w:iCs/>
              </w:rPr>
              <w:t xml:space="preserve">off items. In 2012 revaluations caused increases in (1) Long Service Leave Liability, </w:t>
            </w:r>
            <w:r w:rsidR="006E6EFD">
              <w:rPr>
                <w:rFonts w:cs="Arial"/>
                <w:iCs/>
              </w:rPr>
              <w:t>rising</w:t>
            </w:r>
            <w:r w:rsidRPr="002605A8">
              <w:rPr>
                <w:rFonts w:cs="Arial"/>
                <w:iCs/>
              </w:rPr>
              <w:t xml:space="preserve"> </w:t>
            </w:r>
            <w:r w:rsidR="006E6EFD">
              <w:rPr>
                <w:rFonts w:cs="Arial"/>
                <w:iCs/>
              </w:rPr>
              <w:t xml:space="preserve">approximately </w:t>
            </w:r>
            <w:r w:rsidRPr="002605A8">
              <w:rPr>
                <w:rFonts w:cs="Arial"/>
                <w:iCs/>
              </w:rPr>
              <w:t>$9 million, and (2) the Defined Benefit Superannuation Fund liability which experienced an actuarial loss of about $24 million. The 2011</w:t>
            </w:r>
            <w:r>
              <w:rPr>
                <w:rFonts w:cs="Arial"/>
                <w:iCs/>
              </w:rPr>
              <w:noBreakHyphen/>
            </w:r>
            <w:r w:rsidRPr="002605A8">
              <w:rPr>
                <w:rFonts w:cs="Arial"/>
                <w:iCs/>
              </w:rPr>
              <w:t>12 results also include back</w:t>
            </w:r>
            <w:r>
              <w:rPr>
                <w:rFonts w:cs="Arial"/>
                <w:iCs/>
              </w:rPr>
              <w:noBreakHyphen/>
            </w:r>
            <w:r w:rsidRPr="002605A8">
              <w:rPr>
                <w:rFonts w:cs="Arial"/>
                <w:iCs/>
              </w:rPr>
              <w:t xml:space="preserve">pay for an Enterprise Bargaining Agreement resulting in a retrospective adjustment of approximately $4 million. </w:t>
            </w:r>
          </w:p>
        </w:tc>
      </w:tr>
      <w:tr w:rsidR="00034DE5" w:rsidRPr="00176D3F" w:rsidTr="00E9599A">
        <w:tc>
          <w:tcPr>
            <w:tcW w:w="8771" w:type="dxa"/>
            <w:tcBorders>
              <w:top w:val="nil"/>
              <w:left w:val="nil"/>
              <w:bottom w:val="nil"/>
              <w:right w:val="nil"/>
            </w:tcBorders>
            <w:shd w:val="clear" w:color="auto" w:fill="auto"/>
          </w:tcPr>
          <w:p w:rsidR="00034DE5" w:rsidRPr="00176D3F" w:rsidRDefault="00034DE5" w:rsidP="00E9599A">
            <w:pPr>
              <w:pStyle w:val="Source"/>
            </w:pPr>
            <w:r w:rsidRPr="002605A8">
              <w:rPr>
                <w:i/>
              </w:rPr>
              <w:t>Source</w:t>
            </w:r>
            <w:r w:rsidRPr="002605A8">
              <w:t>: State and Territory governments (unpublished); table </w:t>
            </w:r>
            <w:r>
              <w:t>9A.47</w:t>
            </w:r>
            <w:r w:rsidRPr="002605A8">
              <w:t>.</w:t>
            </w:r>
          </w:p>
        </w:tc>
      </w:tr>
      <w:tr w:rsidR="00034DE5" w:rsidTr="00E9599A">
        <w:tc>
          <w:tcPr>
            <w:tcW w:w="8771" w:type="dxa"/>
            <w:tcBorders>
              <w:top w:val="nil"/>
              <w:left w:val="nil"/>
              <w:bottom w:val="single" w:sz="6" w:space="0" w:color="78A22F"/>
              <w:right w:val="nil"/>
            </w:tcBorders>
            <w:shd w:val="clear" w:color="auto" w:fill="auto"/>
          </w:tcPr>
          <w:p w:rsidR="00034DE5" w:rsidRDefault="00034DE5" w:rsidP="00E9599A">
            <w:pPr>
              <w:pStyle w:val="Figurespace"/>
            </w:pPr>
          </w:p>
        </w:tc>
      </w:tr>
      <w:tr w:rsidR="00034DE5" w:rsidRPr="000863A5" w:rsidTr="00E9599A">
        <w:tc>
          <w:tcPr>
            <w:tcW w:w="8771" w:type="dxa"/>
            <w:tcBorders>
              <w:top w:val="single" w:sz="6" w:space="0" w:color="78A22F"/>
              <w:left w:val="nil"/>
              <w:bottom w:val="nil"/>
              <w:right w:val="nil"/>
            </w:tcBorders>
          </w:tcPr>
          <w:p w:rsidR="00034DE5" w:rsidRPr="00626D32" w:rsidRDefault="00034DE5" w:rsidP="00E9599A">
            <w:pPr>
              <w:pStyle w:val="BoxSpaceBelow"/>
            </w:pPr>
          </w:p>
        </w:tc>
      </w:tr>
    </w:tbl>
    <w:p w:rsidR="00963693" w:rsidRDefault="00963693" w:rsidP="00963693">
      <w:pPr>
        <w:pStyle w:val="BodyText"/>
      </w:pPr>
      <w:bookmarkStart w:id="113" w:name="_Toc343078132"/>
      <w:bookmarkStart w:id="114" w:name="_Toc343078585"/>
      <w:bookmarkStart w:id="115" w:name="_Toc343078629"/>
      <w:bookmarkStart w:id="116" w:name="_Toc343089220"/>
      <w:bookmarkEnd w:id="108"/>
      <w:bookmarkEnd w:id="109"/>
      <w:bookmarkEnd w:id="110"/>
      <w:bookmarkEnd w:id="111"/>
      <w:r>
        <w:t>Within Australia, different jurisdictions have selected different funding models to provide resourcing to ambulance service organisations</w:t>
      </w:r>
      <w:r w:rsidRPr="0054109B">
        <w:t>.</w:t>
      </w:r>
      <w:r>
        <w:t xml:space="preserve"> </w:t>
      </w:r>
      <w:r w:rsidRPr="00D202DC">
        <w:t>The proportions of funding sources varied across jurisdictions (figure </w:t>
      </w:r>
      <w:r w:rsidR="00800D6F">
        <w:t>9.32</w:t>
      </w:r>
      <w:r w:rsidRPr="00D202DC">
        <w:t>).</w:t>
      </w:r>
      <w:r>
        <w:t xml:space="preserve"> </w:t>
      </w:r>
      <w:r w:rsidRPr="0054109B">
        <w:t xml:space="preserve">Nationally in </w:t>
      </w:r>
      <w:r>
        <w:t>2013</w:t>
      </w:r>
      <w:r w:rsidR="0026487F">
        <w:noBreakHyphen/>
      </w:r>
      <w:r>
        <w:t>14:</w:t>
      </w:r>
    </w:p>
    <w:p w:rsidR="00963693" w:rsidRDefault="00963693" w:rsidP="00963693">
      <w:pPr>
        <w:pStyle w:val="ListBullet"/>
      </w:pPr>
      <w:r w:rsidRPr="0054109B">
        <w:t xml:space="preserve">total government grants and indirect government funding </w:t>
      </w:r>
      <w:r>
        <w:t xml:space="preserve">formed the greatest proportion </w:t>
      </w:r>
      <w:r w:rsidRPr="0054109B">
        <w:t xml:space="preserve">of ambulance service organisations </w:t>
      </w:r>
      <w:r>
        <w:t xml:space="preserve">funding at </w:t>
      </w:r>
      <w:r w:rsidRPr="00607C97">
        <w:t>$</w:t>
      </w:r>
      <w:r w:rsidR="0012599B" w:rsidRPr="00607C97">
        <w:rPr>
          <w:bCs/>
          <w:lang w:val="en-US"/>
        </w:rPr>
        <w:t>76.20</w:t>
      </w:r>
      <w:r w:rsidRPr="00607C97">
        <w:t xml:space="preserve"> per person </w:t>
      </w:r>
      <w:r>
        <w:t xml:space="preserve">in the population </w:t>
      </w:r>
      <w:r w:rsidRPr="002200FA">
        <w:t>(</w:t>
      </w:r>
      <w:r w:rsidR="0012599B" w:rsidRPr="00607C97">
        <w:rPr>
          <w:bCs/>
          <w:lang w:val="en-US"/>
        </w:rPr>
        <w:t>67.3</w:t>
      </w:r>
      <w:r w:rsidRPr="00607C97">
        <w:t xml:space="preserve"> per cent </w:t>
      </w:r>
      <w:r w:rsidRPr="0054109B">
        <w:t>of total funding for ambulance service organisations)</w:t>
      </w:r>
    </w:p>
    <w:p w:rsidR="00963693" w:rsidRDefault="00963693" w:rsidP="00963693">
      <w:pPr>
        <w:pStyle w:val="ListBullet"/>
      </w:pPr>
      <w:r w:rsidRPr="0054109B">
        <w:t xml:space="preserve">transport fees </w:t>
      </w:r>
      <w:r>
        <w:t xml:space="preserve">(such as fees collected from (uninsured) citizens or from motor accident insurers) </w:t>
      </w:r>
      <w:r w:rsidRPr="0054109B">
        <w:t xml:space="preserve">in </w:t>
      </w:r>
      <w:r>
        <w:t>2013</w:t>
      </w:r>
      <w:r w:rsidR="0026487F">
        <w:noBreakHyphen/>
      </w:r>
      <w:r>
        <w:t>14</w:t>
      </w:r>
      <w:r w:rsidRPr="0054109B">
        <w:t xml:space="preserve"> averaged $</w:t>
      </w:r>
      <w:r w:rsidR="0012599B" w:rsidRPr="0012599B">
        <w:rPr>
          <w:bCs/>
          <w:lang w:val="en-US"/>
        </w:rPr>
        <w:t>29.22</w:t>
      </w:r>
      <w:r w:rsidRPr="00446594">
        <w:t xml:space="preserve"> per person (</w:t>
      </w:r>
      <w:r w:rsidR="0012599B" w:rsidRPr="00607C97">
        <w:t>25.8</w:t>
      </w:r>
      <w:r w:rsidRPr="00607C97">
        <w:t> per cent</w:t>
      </w:r>
      <w:r w:rsidRPr="00446594">
        <w:t xml:space="preserve"> o</w:t>
      </w:r>
      <w:r w:rsidRPr="0054109B">
        <w:t>f total funding for ambulance service organisations)</w:t>
      </w:r>
    </w:p>
    <w:p w:rsidR="00963693" w:rsidRDefault="00963693" w:rsidP="00963693">
      <w:pPr>
        <w:pStyle w:val="ListBullet"/>
      </w:pPr>
      <w:r w:rsidRPr="002200FA">
        <w:t xml:space="preserve">funding </w:t>
      </w:r>
      <w:r w:rsidRPr="0054109B">
        <w:t xml:space="preserve">from other revenue </w:t>
      </w:r>
      <w:r>
        <w:t xml:space="preserve">was </w:t>
      </w:r>
      <w:r w:rsidRPr="002200FA">
        <w:t>$</w:t>
      </w:r>
      <w:r w:rsidR="00C53EDE" w:rsidRPr="00C53EDE">
        <w:rPr>
          <w:bCs/>
          <w:lang w:val="en-US"/>
        </w:rPr>
        <w:t>7.44</w:t>
      </w:r>
      <w:r w:rsidRPr="002200FA">
        <w:t xml:space="preserve"> per person</w:t>
      </w:r>
      <w:r w:rsidRPr="0054109B">
        <w:t xml:space="preserve"> (table </w:t>
      </w:r>
      <w:r>
        <w:t>9A.48</w:t>
      </w:r>
      <w:r w:rsidRPr="0054109B">
        <w:t>)</w:t>
      </w:r>
      <w:r>
        <w:t>, which includes subscription (or ambulance membership) fees, which are substantial in some jurisdictions</w:t>
      </w:r>
      <w:r w:rsidR="00C53EDE">
        <w:t xml:space="preserve"> (table 9A.32 and 9A.48)</w:t>
      </w:r>
      <w:r w:rsidRPr="0054109B">
        <w:t>.</w:t>
      </w:r>
    </w:p>
    <w:p w:rsidR="00034DE5" w:rsidRDefault="00034DE5" w:rsidP="00E959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34DE5" w:rsidTr="00E9599A">
        <w:tc>
          <w:tcPr>
            <w:tcW w:w="8771" w:type="dxa"/>
            <w:tcBorders>
              <w:top w:val="single" w:sz="6" w:space="0" w:color="78A22F"/>
              <w:left w:val="nil"/>
              <w:bottom w:val="nil"/>
              <w:right w:val="nil"/>
            </w:tcBorders>
            <w:shd w:val="clear" w:color="auto" w:fill="auto"/>
          </w:tcPr>
          <w:p w:rsidR="00034DE5" w:rsidRPr="00176D3F" w:rsidRDefault="00034DE5" w:rsidP="00747822">
            <w:pPr>
              <w:pStyle w:val="FigureTitle"/>
            </w:pPr>
            <w:r w:rsidRPr="00784A05">
              <w:rPr>
                <w:b w:val="0"/>
              </w:rPr>
              <w:t xml:space="preserve">Figure </w:t>
            </w:r>
            <w:bookmarkStart w:id="117" w:name="OLE_LINK72"/>
            <w:r w:rsidR="008C1F96">
              <w:rPr>
                <w:b w:val="0"/>
              </w:rPr>
              <w:t>9.</w:t>
            </w:r>
            <w:r w:rsidR="00D52162">
              <w:rPr>
                <w:b w:val="0"/>
                <w:noProof/>
              </w:rPr>
              <w:t>32</w:t>
            </w:r>
            <w:bookmarkEnd w:id="117"/>
            <w:r>
              <w:tab/>
            </w:r>
            <w:r w:rsidRPr="002605A8">
              <w:t xml:space="preserve">Sources of ambulance service organisations’ revenue per person, </w:t>
            </w:r>
            <w:r w:rsidR="00FA5D77">
              <w:t>2013</w:t>
            </w:r>
            <w:r w:rsidR="0026487F">
              <w:noBreakHyphen/>
            </w:r>
            <w:r w:rsidR="00FA5D77">
              <w:t>14</w:t>
            </w:r>
            <w:r w:rsidRPr="002605A8">
              <w:rPr>
                <w:rStyle w:val="NoteLabel"/>
                <w:b/>
              </w:rPr>
              <w:t>a,</w:t>
            </w:r>
            <w:r w:rsidR="00747822">
              <w:rPr>
                <w:rStyle w:val="NoteLabel"/>
                <w:b/>
              </w:rPr>
              <w:t xml:space="preserve"> </w:t>
            </w:r>
            <w:r w:rsidRPr="002605A8">
              <w:rPr>
                <w:rStyle w:val="NoteLabel"/>
                <w:b/>
              </w:rPr>
              <w:t>b, c</w:t>
            </w:r>
            <w:r w:rsidR="00747822">
              <w:rPr>
                <w:rStyle w:val="NoteLabel"/>
                <w:b/>
              </w:rPr>
              <w:t>, d</w:t>
            </w:r>
          </w:p>
        </w:tc>
      </w:tr>
      <w:tr w:rsidR="00034DE5" w:rsidTr="00607C97">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034DE5" w:rsidTr="00677D4D">
              <w:tc>
                <w:tcPr>
                  <w:tcW w:w="5000" w:type="pct"/>
                  <w:tcBorders>
                    <w:top w:val="nil"/>
                    <w:bottom w:val="nil"/>
                  </w:tcBorders>
                </w:tcPr>
                <w:p w:rsidR="00034DE5" w:rsidRDefault="00F82339" w:rsidP="00034DE5">
                  <w:pPr>
                    <w:pStyle w:val="Figure"/>
                    <w:spacing w:before="60" w:after="60"/>
                  </w:pPr>
                  <w:r>
                    <w:rPr>
                      <w:noProof/>
                    </w:rPr>
                    <w:drawing>
                      <wp:inline distT="0" distB="0" distL="0" distR="0" wp14:anchorId="19ACB3BE" wp14:editId="11784BDB">
                        <wp:extent cx="5405755" cy="2877820"/>
                        <wp:effectExtent l="0" t="0" r="4445" b="0"/>
                        <wp:docPr id="37" name="Picture 37" descr="Figure 9.32 Sources of ambulance service organisations' revenue per person,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405755" cy="2877820"/>
                                </a:xfrm>
                                <a:prstGeom prst="rect">
                                  <a:avLst/>
                                </a:prstGeom>
                                <a:noFill/>
                                <a:ln>
                                  <a:noFill/>
                                </a:ln>
                              </pic:spPr>
                            </pic:pic>
                          </a:graphicData>
                        </a:graphic>
                      </wp:inline>
                    </w:drawing>
                  </w:r>
                </w:p>
              </w:tc>
            </w:tr>
          </w:tbl>
          <w:p w:rsidR="00034DE5" w:rsidRDefault="00034DE5" w:rsidP="00E9599A">
            <w:pPr>
              <w:pStyle w:val="Figure"/>
            </w:pPr>
          </w:p>
        </w:tc>
      </w:tr>
      <w:tr w:rsidR="00034DE5" w:rsidRPr="00176D3F" w:rsidTr="00E9599A">
        <w:tc>
          <w:tcPr>
            <w:tcW w:w="8771" w:type="dxa"/>
            <w:tcBorders>
              <w:top w:val="nil"/>
              <w:left w:val="nil"/>
              <w:bottom w:val="nil"/>
              <w:right w:val="nil"/>
            </w:tcBorders>
            <w:shd w:val="clear" w:color="auto" w:fill="auto"/>
          </w:tcPr>
          <w:p w:rsidR="00034DE5" w:rsidRPr="00176D3F" w:rsidRDefault="00034DE5" w:rsidP="00747822">
            <w:pPr>
              <w:pStyle w:val="Note"/>
            </w:pPr>
            <w:r w:rsidRPr="002605A8">
              <w:rPr>
                <w:rStyle w:val="NoteLabel"/>
              </w:rPr>
              <w:t>a</w:t>
            </w:r>
            <w:r w:rsidRPr="002605A8">
              <w:t> </w:t>
            </w:r>
            <w:r w:rsidR="00554D80" w:rsidRPr="009432C9">
              <w:t>Time series financial data are adjusted to 2013</w:t>
            </w:r>
            <w:r w:rsidR="0026487F">
              <w:noBreakHyphen/>
            </w:r>
            <w:r w:rsidR="00554D80" w:rsidRPr="009432C9">
              <w:t>14 dollars using the General Government Final Consumption Expenditure (GGFCE) chain price deflator (2013</w:t>
            </w:r>
            <w:r w:rsidR="0026487F">
              <w:noBreakHyphen/>
            </w:r>
            <w:r w:rsidR="00554D80" w:rsidRPr="009432C9">
              <w:t>14 = 100) (table 2A.51). See chapter 2 (sections 2.5</w:t>
            </w:r>
            <w:r w:rsidR="0026487F">
              <w:noBreakHyphen/>
            </w:r>
            <w:r w:rsidR="00554D80" w:rsidRPr="009432C9">
              <w:t>6) for details.</w:t>
            </w:r>
            <w:r w:rsidRPr="002605A8">
              <w:t xml:space="preserve"> </w:t>
            </w:r>
            <w:r w:rsidR="009D2488" w:rsidRPr="002605A8">
              <w:rPr>
                <w:rStyle w:val="NoteLabel"/>
              </w:rPr>
              <w:t>b</w:t>
            </w:r>
            <w:r w:rsidR="009D2488" w:rsidRPr="002605A8">
              <w:t> </w:t>
            </w:r>
            <w:r w:rsidR="009D2488" w:rsidRPr="00BE28FE">
              <w:t xml:space="preserve">Population data used to derive rates are as at </w:t>
            </w:r>
            <w:r w:rsidR="009D2488">
              <w:t>31 December</w:t>
            </w:r>
            <w:r w:rsidR="006E6EFD">
              <w:t xml:space="preserve">, </w:t>
            </w:r>
            <w:r w:rsidR="009D2488">
              <w:t xml:space="preserve">. Estimated Resident Population (ERP) data for 2009 to 2010 </w:t>
            </w:r>
            <w:r w:rsidR="009D2488" w:rsidRPr="00BE28FE">
              <w:t>are final, based on the 2011 Census of Population and Housing. Estimates for 2011 onwards are preliminary. See chapter 2 (table 2A.2) for details.</w:t>
            </w:r>
            <w:r w:rsidRPr="002605A8">
              <w:rPr>
                <w:rStyle w:val="NoteLabel"/>
              </w:rPr>
              <w:t>c</w:t>
            </w:r>
            <w:r w:rsidRPr="002605A8">
              <w:t xml:space="preserve"> Subscriptions and other </w:t>
            </w:r>
            <w:r w:rsidR="006E6EFD">
              <w:t xml:space="preserve">income </w:t>
            </w:r>
            <w:r w:rsidRPr="002605A8">
              <w:t>comprises revenue from subscriptions, donations and miscellaneous revenue.</w:t>
            </w:r>
            <w:r w:rsidR="00747822">
              <w:t xml:space="preserve"> </w:t>
            </w:r>
            <w:r w:rsidR="00747822">
              <w:rPr>
                <w:rStyle w:val="NoteLabel"/>
              </w:rPr>
              <w:t>d</w:t>
            </w:r>
            <w:r w:rsidR="00747822" w:rsidRPr="002605A8">
              <w:t> </w:t>
            </w:r>
            <w:r w:rsidR="00747822">
              <w:t xml:space="preserve">Vic: </w:t>
            </w:r>
            <w:r w:rsidR="00747822" w:rsidRPr="00747822">
              <w:t>2012</w:t>
            </w:r>
            <w:r w:rsidR="00747822">
              <w:noBreakHyphen/>
            </w:r>
            <w:r w:rsidR="00747822" w:rsidRPr="00747822">
              <w:t xml:space="preserve">13 revenue from Government grants/contributions has been overstated, which has impacted this </w:t>
            </w:r>
            <w:r w:rsidR="00747822">
              <w:t>figure</w:t>
            </w:r>
            <w:r w:rsidR="00747822" w:rsidRPr="00747822">
              <w:t>.</w:t>
            </w:r>
          </w:p>
        </w:tc>
      </w:tr>
      <w:tr w:rsidR="00034DE5" w:rsidRPr="00176D3F" w:rsidTr="00E9599A">
        <w:tc>
          <w:tcPr>
            <w:tcW w:w="8771" w:type="dxa"/>
            <w:tcBorders>
              <w:top w:val="nil"/>
              <w:left w:val="nil"/>
              <w:bottom w:val="nil"/>
              <w:right w:val="nil"/>
            </w:tcBorders>
            <w:shd w:val="clear" w:color="auto" w:fill="auto"/>
          </w:tcPr>
          <w:p w:rsidR="00034DE5" w:rsidRPr="00176D3F" w:rsidRDefault="00034DE5" w:rsidP="00E9599A">
            <w:pPr>
              <w:pStyle w:val="Source"/>
            </w:pPr>
            <w:r w:rsidRPr="002605A8">
              <w:rPr>
                <w:i/>
              </w:rPr>
              <w:t>Source</w:t>
            </w:r>
            <w:r w:rsidRPr="002605A8">
              <w:t>: State and Territory governments (unpublished); table </w:t>
            </w:r>
            <w:r>
              <w:t>9A.48</w:t>
            </w:r>
            <w:r w:rsidRPr="002605A8">
              <w:t>.</w:t>
            </w:r>
          </w:p>
        </w:tc>
      </w:tr>
      <w:tr w:rsidR="00034DE5" w:rsidTr="00E9599A">
        <w:tc>
          <w:tcPr>
            <w:tcW w:w="8771" w:type="dxa"/>
            <w:tcBorders>
              <w:top w:val="nil"/>
              <w:left w:val="nil"/>
              <w:bottom w:val="single" w:sz="6" w:space="0" w:color="78A22F"/>
              <w:right w:val="nil"/>
            </w:tcBorders>
            <w:shd w:val="clear" w:color="auto" w:fill="auto"/>
          </w:tcPr>
          <w:p w:rsidR="00034DE5" w:rsidRDefault="00034DE5" w:rsidP="00E9599A">
            <w:pPr>
              <w:pStyle w:val="Figurespace"/>
            </w:pPr>
          </w:p>
        </w:tc>
      </w:tr>
      <w:tr w:rsidR="00034DE5" w:rsidRPr="000863A5" w:rsidTr="00E9599A">
        <w:tc>
          <w:tcPr>
            <w:tcW w:w="8771" w:type="dxa"/>
            <w:tcBorders>
              <w:top w:val="single" w:sz="6" w:space="0" w:color="78A22F"/>
              <w:left w:val="nil"/>
              <w:bottom w:val="nil"/>
              <w:right w:val="nil"/>
            </w:tcBorders>
          </w:tcPr>
          <w:p w:rsidR="00034DE5" w:rsidRPr="00626D32" w:rsidRDefault="00034DE5" w:rsidP="00E9599A">
            <w:pPr>
              <w:pStyle w:val="BoxSpaceBelow"/>
            </w:pPr>
          </w:p>
        </w:tc>
      </w:tr>
    </w:tbl>
    <w:bookmarkEnd w:id="113"/>
    <w:bookmarkEnd w:id="114"/>
    <w:bookmarkEnd w:id="115"/>
    <w:bookmarkEnd w:id="116"/>
    <w:p w:rsidR="00986A8B" w:rsidRPr="001575C2" w:rsidRDefault="00986A8B" w:rsidP="0015799A">
      <w:pPr>
        <w:pStyle w:val="Heading5"/>
      </w:pPr>
      <w:r w:rsidRPr="001575C2">
        <w:t>Expenditure per urgent and non</w:t>
      </w:r>
      <w:r w:rsidRPr="001575C2">
        <w:noBreakHyphen/>
        <w:t>urgent response</w:t>
      </w:r>
    </w:p>
    <w:p w:rsidR="00986A8B" w:rsidRDefault="00986A8B" w:rsidP="00F43F2A">
      <w:pPr>
        <w:pStyle w:val="BodyText"/>
      </w:pPr>
      <w:r w:rsidRPr="001575C2">
        <w:t>‘Expenditure per urgent and non</w:t>
      </w:r>
      <w:r w:rsidRPr="001575C2">
        <w:noBreakHyphen/>
        <w:t xml:space="preserve">urgent response’ has been identified for development as an indicator of governments’ objective </w:t>
      </w:r>
      <w:r w:rsidR="00F43F2A" w:rsidRPr="001575C2">
        <w:t>of providing pre</w:t>
      </w:r>
      <w:r w:rsidR="00CC7814">
        <w:noBreakHyphen/>
      </w:r>
      <w:r w:rsidR="00F43F2A" w:rsidRPr="001575C2">
        <w:t>hospital and out</w:t>
      </w:r>
      <w:r w:rsidR="00CC7814">
        <w:noBreakHyphen/>
      </w:r>
      <w:r w:rsidR="00F43F2A" w:rsidRPr="001575C2">
        <w:t>of</w:t>
      </w:r>
      <w:r w:rsidR="00CC7814">
        <w:noBreakHyphen/>
      </w:r>
      <w:r w:rsidR="00F43F2A" w:rsidRPr="001575C2">
        <w:t>hospital care and patient transport services, that are effectively, efficiently and sustainably delivered</w:t>
      </w:r>
      <w:r w:rsidRPr="001575C2">
        <w:t xml:space="preserve"> (box </w:t>
      </w:r>
      <w:r w:rsidR="00800D6F">
        <w:t>9.30</w:t>
      </w:r>
      <w:r w:rsidRPr="001575C2">
        <w:t xml:space="preserve">). </w:t>
      </w:r>
    </w:p>
    <w:p w:rsidR="00034DE5" w:rsidRDefault="00034DE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34DE5" w:rsidTr="00E9599A">
        <w:tc>
          <w:tcPr>
            <w:tcW w:w="8771" w:type="dxa"/>
            <w:tcBorders>
              <w:top w:val="single" w:sz="6" w:space="0" w:color="78A22F"/>
              <w:left w:val="nil"/>
              <w:bottom w:val="nil"/>
              <w:right w:val="nil"/>
            </w:tcBorders>
            <w:shd w:val="clear" w:color="auto" w:fill="F2F2F2" w:themeFill="background1" w:themeFillShade="F2"/>
          </w:tcPr>
          <w:p w:rsidR="00034DE5" w:rsidRDefault="00034DE5" w:rsidP="00034DE5">
            <w:pPr>
              <w:pStyle w:val="BoxTitle"/>
            </w:pPr>
            <w:r>
              <w:rPr>
                <w:b w:val="0"/>
              </w:rPr>
              <w:t xml:space="preserve">Box </w:t>
            </w:r>
            <w:bookmarkStart w:id="118" w:name="OLE_LINK61"/>
            <w:r w:rsidR="008C1F96">
              <w:rPr>
                <w:b w:val="0"/>
              </w:rPr>
              <w:t>9.</w:t>
            </w:r>
            <w:r w:rsidR="00D52162">
              <w:rPr>
                <w:b w:val="0"/>
                <w:noProof/>
              </w:rPr>
              <w:t>30</w:t>
            </w:r>
            <w:bookmarkEnd w:id="118"/>
            <w:r>
              <w:tab/>
            </w:r>
            <w:r w:rsidRPr="001575C2">
              <w:t>Expenditure per urgent and non</w:t>
            </w:r>
            <w:r w:rsidRPr="001575C2">
              <w:noBreakHyphen/>
              <w:t>urgent response</w:t>
            </w:r>
          </w:p>
        </w:tc>
      </w:tr>
      <w:tr w:rsidR="00034DE5" w:rsidTr="00E9599A">
        <w:trPr>
          <w:cantSplit/>
        </w:trPr>
        <w:tc>
          <w:tcPr>
            <w:tcW w:w="8771" w:type="dxa"/>
            <w:tcBorders>
              <w:top w:val="nil"/>
              <w:left w:val="nil"/>
              <w:bottom w:val="nil"/>
              <w:right w:val="nil"/>
            </w:tcBorders>
            <w:shd w:val="clear" w:color="auto" w:fill="F2F2F2" w:themeFill="background1" w:themeFillShade="F2"/>
          </w:tcPr>
          <w:p w:rsidR="00034DE5" w:rsidRPr="001575C2" w:rsidRDefault="00034DE5" w:rsidP="00E9599A">
            <w:pPr>
              <w:pStyle w:val="Box"/>
            </w:pPr>
            <w:r w:rsidRPr="001575C2">
              <w:t>‘Expenditure per urgent and non</w:t>
            </w:r>
            <w:r w:rsidRPr="001575C2">
              <w:noBreakHyphen/>
              <w:t xml:space="preserve">urgent response’ is yet to be defined. </w:t>
            </w:r>
          </w:p>
          <w:p w:rsidR="00034DE5" w:rsidRPr="001575C2" w:rsidRDefault="00034DE5" w:rsidP="00E9599A">
            <w:pPr>
              <w:pStyle w:val="Box"/>
            </w:pPr>
            <w:r w:rsidRPr="001575C2">
              <w:t>This indicator has been identified for development (through the CAA) and reporting in future.</w:t>
            </w:r>
          </w:p>
        </w:tc>
      </w:tr>
      <w:tr w:rsidR="00034DE5" w:rsidTr="00E9599A">
        <w:trPr>
          <w:cantSplit/>
        </w:trPr>
        <w:tc>
          <w:tcPr>
            <w:tcW w:w="8771" w:type="dxa"/>
            <w:tcBorders>
              <w:top w:val="nil"/>
              <w:left w:val="nil"/>
              <w:bottom w:val="single" w:sz="6" w:space="0" w:color="78A22F"/>
              <w:right w:val="nil"/>
            </w:tcBorders>
            <w:shd w:val="clear" w:color="auto" w:fill="F2F2F2" w:themeFill="background1" w:themeFillShade="F2"/>
          </w:tcPr>
          <w:p w:rsidR="00034DE5" w:rsidRDefault="00034DE5">
            <w:pPr>
              <w:pStyle w:val="Box"/>
              <w:spacing w:before="0" w:line="120" w:lineRule="exact"/>
            </w:pPr>
          </w:p>
        </w:tc>
      </w:tr>
      <w:tr w:rsidR="00034DE5" w:rsidRPr="000863A5" w:rsidTr="00E9599A">
        <w:tc>
          <w:tcPr>
            <w:tcW w:w="8771" w:type="dxa"/>
            <w:tcBorders>
              <w:top w:val="single" w:sz="6" w:space="0" w:color="78A22F"/>
              <w:left w:val="nil"/>
              <w:bottom w:val="nil"/>
              <w:right w:val="nil"/>
            </w:tcBorders>
          </w:tcPr>
          <w:p w:rsidR="00034DE5" w:rsidRPr="00626D32" w:rsidRDefault="00034DE5" w:rsidP="00E9599A">
            <w:pPr>
              <w:pStyle w:val="BoxSpaceBelow"/>
            </w:pPr>
          </w:p>
        </w:tc>
      </w:tr>
    </w:tbl>
    <w:p w:rsidR="00986A8B" w:rsidRPr="001575C2" w:rsidRDefault="00986A8B" w:rsidP="00986A8B">
      <w:pPr>
        <w:pStyle w:val="Heading3"/>
      </w:pPr>
      <w:r w:rsidRPr="001575C2">
        <w:lastRenderedPageBreak/>
        <w:t>Outcomes</w:t>
      </w:r>
    </w:p>
    <w:p w:rsidR="00986A8B" w:rsidRPr="001575C2" w:rsidRDefault="00986A8B" w:rsidP="00986A8B">
      <w:pPr>
        <w:pStyle w:val="BodyText"/>
      </w:pPr>
      <w:r w:rsidRPr="001575C2">
        <w:t>Outcomes are the impact of services on the status of an individual or group (while outputs are the services delivered) (see chapter 1, section 1.5).</w:t>
      </w:r>
    </w:p>
    <w:p w:rsidR="00986A8B" w:rsidRPr="001575C2" w:rsidRDefault="00986A8B" w:rsidP="00640645">
      <w:pPr>
        <w:pStyle w:val="Heading5"/>
      </w:pPr>
      <w:r w:rsidRPr="001575C2">
        <w:t>Cardiac arrest survived event rate</w:t>
      </w:r>
    </w:p>
    <w:p w:rsidR="00986A8B" w:rsidRDefault="00986A8B" w:rsidP="00F43F2A">
      <w:pPr>
        <w:pStyle w:val="BodyText"/>
      </w:pPr>
      <w:r w:rsidRPr="001575C2">
        <w:t xml:space="preserve">‘Cardiac arrest survived event rate’ is an indicator of governments’ objective </w:t>
      </w:r>
      <w:r w:rsidR="00F43F2A" w:rsidRPr="001575C2">
        <w:t>of providing pre</w:t>
      </w:r>
      <w:r w:rsidR="00243CD6">
        <w:noBreakHyphen/>
      </w:r>
      <w:r w:rsidR="00F43F2A" w:rsidRPr="001575C2">
        <w:t>hospital and out</w:t>
      </w:r>
      <w:r w:rsidR="00243CD6">
        <w:noBreakHyphen/>
      </w:r>
      <w:r w:rsidR="00F43F2A" w:rsidRPr="001575C2">
        <w:t>of</w:t>
      </w:r>
      <w:r w:rsidR="00243CD6">
        <w:noBreakHyphen/>
      </w:r>
      <w:r w:rsidR="00F43F2A" w:rsidRPr="001575C2">
        <w:t xml:space="preserve">hospital care and patient transport services, that are high quality, timely, and meet clients’ needs through delivery of coordinated and responsive health care </w:t>
      </w:r>
      <w:r w:rsidRPr="001575C2">
        <w:t>(box </w:t>
      </w:r>
      <w:r w:rsidR="00800D6F">
        <w:t>9.31</w:t>
      </w:r>
      <w:r w:rsidRPr="001575C2">
        <w:t>).</w:t>
      </w:r>
    </w:p>
    <w:p w:rsidR="00BA796D" w:rsidRDefault="00BA796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A796D" w:rsidTr="00E9599A">
        <w:tc>
          <w:tcPr>
            <w:tcW w:w="8771" w:type="dxa"/>
            <w:tcBorders>
              <w:top w:val="single" w:sz="6" w:space="0" w:color="78A22F"/>
              <w:left w:val="nil"/>
              <w:bottom w:val="nil"/>
              <w:right w:val="nil"/>
            </w:tcBorders>
            <w:shd w:val="clear" w:color="auto" w:fill="F2F2F2" w:themeFill="background1" w:themeFillShade="F2"/>
          </w:tcPr>
          <w:p w:rsidR="00BA796D" w:rsidRDefault="00BA796D" w:rsidP="00BA796D">
            <w:pPr>
              <w:pStyle w:val="BoxTitle"/>
            </w:pPr>
            <w:r>
              <w:rPr>
                <w:b w:val="0"/>
              </w:rPr>
              <w:t xml:space="preserve">Box </w:t>
            </w:r>
            <w:bookmarkStart w:id="119" w:name="OLE_LINK62"/>
            <w:r w:rsidR="008C1F96">
              <w:rPr>
                <w:b w:val="0"/>
              </w:rPr>
              <w:t>9.</w:t>
            </w:r>
            <w:r w:rsidR="00D52162">
              <w:rPr>
                <w:b w:val="0"/>
                <w:noProof/>
              </w:rPr>
              <w:t>31</w:t>
            </w:r>
            <w:bookmarkEnd w:id="119"/>
            <w:r>
              <w:tab/>
            </w:r>
            <w:r w:rsidRPr="001575C2">
              <w:t>Cardiac arrest survived event rate</w:t>
            </w:r>
            <w:r>
              <w:t xml:space="preserve"> </w:t>
            </w:r>
          </w:p>
        </w:tc>
      </w:tr>
      <w:tr w:rsidR="00BA796D" w:rsidTr="00E9599A">
        <w:trPr>
          <w:cantSplit/>
        </w:trPr>
        <w:tc>
          <w:tcPr>
            <w:tcW w:w="8771" w:type="dxa"/>
            <w:tcBorders>
              <w:top w:val="nil"/>
              <w:left w:val="nil"/>
              <w:bottom w:val="nil"/>
              <w:right w:val="nil"/>
            </w:tcBorders>
            <w:shd w:val="clear" w:color="auto" w:fill="F2F2F2" w:themeFill="background1" w:themeFillShade="F2"/>
          </w:tcPr>
          <w:p w:rsidR="00BA796D" w:rsidRPr="001D6B30" w:rsidRDefault="00BA796D" w:rsidP="00E9599A">
            <w:pPr>
              <w:pStyle w:val="Box"/>
              <w:keepNext w:val="0"/>
            </w:pPr>
            <w:r w:rsidRPr="001D6B30">
              <w:t>‘Cardiac arrest survived event rate’ is defined by the percentage of patients</w:t>
            </w:r>
            <w:r>
              <w:t>,</w:t>
            </w:r>
            <w:r w:rsidRPr="001D6B30">
              <w:t xml:space="preserve"> aged 16 years and over</w:t>
            </w:r>
            <w:r>
              <w:t>,</w:t>
            </w:r>
            <w:r w:rsidRPr="001D6B30">
              <w:t xml:space="preserve"> who w</w:t>
            </w:r>
            <w:r>
              <w:t>ere</w:t>
            </w:r>
            <w:r w:rsidRPr="001D6B30">
              <w:t xml:space="preserve"> in out</w:t>
            </w:r>
            <w:r w:rsidRPr="001D6B30">
              <w:noBreakHyphen/>
              <w:t>of</w:t>
            </w:r>
            <w:r w:rsidRPr="001D6B30">
              <w:noBreakHyphen/>
              <w:t xml:space="preserve">hospital cardiac arrest and had a return to spontaneous circulation (that is, the patient having a pulse) until administration and transfer of care to the medical staff at the receiving hospital (Jacobs, et al. 2004). </w:t>
            </w:r>
          </w:p>
          <w:p w:rsidR="00BA796D" w:rsidRPr="001D6B30" w:rsidRDefault="00BA796D" w:rsidP="00E9599A">
            <w:pPr>
              <w:pStyle w:val="Box"/>
              <w:keepNext w:val="0"/>
            </w:pPr>
            <w:r w:rsidRPr="001D6B30">
              <w:t>Three measures are provided as the percentage of patients aged 16 years and over who had a return to spontaneous circulation in the following circumstances:</w:t>
            </w:r>
          </w:p>
          <w:p w:rsidR="00BA796D" w:rsidRPr="001D6B30" w:rsidRDefault="00640645" w:rsidP="00E9599A">
            <w:pPr>
              <w:pStyle w:val="BoxListBullet"/>
            </w:pPr>
            <w:r w:rsidRPr="001D6B30">
              <w:rPr>
                <w:i/>
              </w:rPr>
              <w:t xml:space="preserve">Adult </w:t>
            </w:r>
            <w:r w:rsidR="00BA796D" w:rsidRPr="001D6B30">
              <w:rPr>
                <w:i/>
              </w:rPr>
              <w:t>cardiac arrest where resuscitation attempted</w:t>
            </w:r>
            <w:r w:rsidR="00BA796D" w:rsidRPr="001D6B30">
              <w:t xml:space="preserve"> — where: </w:t>
            </w:r>
            <w:r w:rsidR="00BA796D">
              <w:t>(</w:t>
            </w:r>
            <w:r w:rsidR="00BA796D" w:rsidRPr="001D6B30">
              <w:t>1) a person was in out</w:t>
            </w:r>
            <w:r w:rsidR="00BA796D" w:rsidRPr="001D6B30">
              <w:noBreakHyphen/>
              <w:t>of</w:t>
            </w:r>
            <w:r w:rsidR="00BA796D" w:rsidRPr="001D6B30">
              <w:noBreakHyphen/>
              <w:t xml:space="preserve">hospital cardiac arrest (which was not witnessed by a paramedic); and </w:t>
            </w:r>
            <w:r w:rsidR="00BA796D">
              <w:t>(</w:t>
            </w:r>
            <w:r w:rsidR="00BA796D" w:rsidRPr="001D6B30">
              <w:t>2) chest compressions and/or defibrillation was undertaken by ambulance or emergency medical services personnel.</w:t>
            </w:r>
          </w:p>
          <w:p w:rsidR="00BA796D" w:rsidRDefault="00BA796D" w:rsidP="00902F66">
            <w:pPr>
              <w:pStyle w:val="BoxListBullet"/>
            </w:pPr>
            <w:r w:rsidRPr="001D6B30">
              <w:rPr>
                <w:i/>
              </w:rPr>
              <w:t>Adult VF/VT cardiac arrests</w:t>
            </w:r>
            <w:r w:rsidRPr="001D6B30">
              <w:t xml:space="preserve"> — where: </w:t>
            </w:r>
            <w:r>
              <w:t>(</w:t>
            </w:r>
            <w:r w:rsidRPr="001D6B30">
              <w:t>1) a person was in out</w:t>
            </w:r>
            <w:r w:rsidRPr="001D6B30">
              <w:noBreakHyphen/>
              <w:t>of</w:t>
            </w:r>
            <w:r w:rsidRPr="001D6B30">
              <w:noBreakHyphen/>
              <w:t xml:space="preserve">hospital cardiac arrest (which was not witnessed by a paramedic); and </w:t>
            </w:r>
            <w:r>
              <w:t>(</w:t>
            </w:r>
            <w:r w:rsidRPr="001D6B30">
              <w:t xml:space="preserve">2) the arrest rhythm on the first </w:t>
            </w:r>
            <w:r w:rsidR="00902F66" w:rsidRPr="00902F66">
              <w:t>electrocardiogram</w:t>
            </w:r>
            <w:r w:rsidR="00902F66">
              <w:t xml:space="preserve"> (</w:t>
            </w:r>
            <w:r w:rsidRPr="001D6B30">
              <w:t>ECG</w:t>
            </w:r>
            <w:r w:rsidR="00902F66">
              <w:t>)</w:t>
            </w:r>
            <w:r w:rsidRPr="001D6B30">
              <w:t xml:space="preserve"> assessment was either Ventricular Fibrillation or Ventricular Tachycardia (VF/VT) (</w:t>
            </w:r>
            <w:r w:rsidR="00640645">
              <w:t xml:space="preserve">an </w:t>
            </w:r>
            <w:r w:rsidRPr="001D6B30">
              <w:t>irregular and/or fast heartbeat).</w:t>
            </w:r>
          </w:p>
          <w:p w:rsidR="00BA796D" w:rsidRDefault="00BA796D" w:rsidP="00E9599A">
            <w:pPr>
              <w:pStyle w:val="BoxListBullet"/>
            </w:pPr>
            <w:r w:rsidRPr="001D6B30">
              <w:rPr>
                <w:i/>
              </w:rPr>
              <w:t>Paramedic witnessed cardiac arrest</w:t>
            </w:r>
            <w:r w:rsidRPr="001D6B30">
              <w:t xml:space="preserve"> — where a person was in out</w:t>
            </w:r>
            <w:r w:rsidRPr="001D6B30">
              <w:noBreakHyphen/>
              <w:t>of</w:t>
            </w:r>
            <w:r w:rsidRPr="001D6B30">
              <w:noBreakHyphen/>
              <w:t>hospital cardiac arrest that occurred in the presence of ambulance paramedic or officer.</w:t>
            </w:r>
          </w:p>
          <w:p w:rsidR="00BA796D" w:rsidRDefault="00BA796D" w:rsidP="00E9599A">
            <w:pPr>
              <w:pStyle w:val="Box"/>
              <w:keepNext w:val="0"/>
            </w:pPr>
            <w:r w:rsidRPr="001D6B30">
              <w:t xml:space="preserve">A high or increasing cardiac arrest survived event rate is desirable. </w:t>
            </w:r>
          </w:p>
          <w:p w:rsidR="00BA796D" w:rsidRPr="001D6B30" w:rsidRDefault="00BA796D" w:rsidP="00E9599A">
            <w:pPr>
              <w:pStyle w:val="Box"/>
            </w:pPr>
            <w:r w:rsidRPr="001D6B30">
              <w:t>Data reported for this measure are:</w:t>
            </w:r>
          </w:p>
          <w:p w:rsidR="00BA796D" w:rsidRPr="001D6B30" w:rsidRDefault="00BA796D" w:rsidP="00E9599A">
            <w:pPr>
              <w:pStyle w:val="BoxListBullet"/>
            </w:pPr>
            <w:r w:rsidRPr="001D6B30">
              <w:t>comparable (subject to caveats) within jurisdictions over time but are not comparable across jurisdictions</w:t>
            </w:r>
          </w:p>
          <w:p w:rsidR="00BA796D" w:rsidRPr="001D6B30" w:rsidRDefault="00BA796D" w:rsidP="00E9599A">
            <w:pPr>
              <w:pStyle w:val="BoxListBullet"/>
              <w:keepNext w:val="0"/>
            </w:pPr>
            <w:r w:rsidRPr="001D6B30">
              <w:t xml:space="preserve">incomplete for the current reporting period. All required </w:t>
            </w:r>
            <w:r w:rsidR="00D02357">
              <w:t xml:space="preserve">2013-14 </w:t>
            </w:r>
            <w:r w:rsidRPr="001D6B30">
              <w:t>data are not available for NSW.</w:t>
            </w:r>
          </w:p>
          <w:p w:rsidR="00BA796D" w:rsidRPr="001D6B30" w:rsidRDefault="00BA796D" w:rsidP="00E9599A">
            <w:pPr>
              <w:pStyle w:val="Box"/>
              <w:keepNext w:val="0"/>
            </w:pPr>
            <w:r w:rsidRPr="001D6B30">
              <w:t>Data quality information for this indicator is under development.</w:t>
            </w:r>
          </w:p>
        </w:tc>
      </w:tr>
      <w:tr w:rsidR="00BA796D" w:rsidTr="00E9599A">
        <w:trPr>
          <w:cantSplit/>
        </w:trPr>
        <w:tc>
          <w:tcPr>
            <w:tcW w:w="8771" w:type="dxa"/>
            <w:tcBorders>
              <w:top w:val="nil"/>
              <w:left w:val="nil"/>
              <w:bottom w:val="single" w:sz="6" w:space="0" w:color="78A22F"/>
              <w:right w:val="nil"/>
            </w:tcBorders>
            <w:shd w:val="clear" w:color="auto" w:fill="F2F2F2" w:themeFill="background1" w:themeFillShade="F2"/>
          </w:tcPr>
          <w:p w:rsidR="00BA796D" w:rsidRDefault="00BA796D">
            <w:pPr>
              <w:pStyle w:val="Box"/>
              <w:spacing w:before="0" w:line="120" w:lineRule="exact"/>
            </w:pPr>
          </w:p>
        </w:tc>
      </w:tr>
      <w:tr w:rsidR="00BA796D" w:rsidRPr="000863A5" w:rsidTr="00E9599A">
        <w:tc>
          <w:tcPr>
            <w:tcW w:w="8771" w:type="dxa"/>
            <w:tcBorders>
              <w:top w:val="single" w:sz="6" w:space="0" w:color="78A22F"/>
              <w:left w:val="nil"/>
              <w:bottom w:val="nil"/>
              <w:right w:val="nil"/>
            </w:tcBorders>
          </w:tcPr>
          <w:p w:rsidR="00BA796D" w:rsidRPr="00626D32" w:rsidRDefault="00BA796D" w:rsidP="00E9599A">
            <w:pPr>
              <w:pStyle w:val="BoxSpaceBelow"/>
            </w:pPr>
          </w:p>
        </w:tc>
      </w:tr>
    </w:tbl>
    <w:p w:rsidR="009A3213" w:rsidRDefault="009A3213" w:rsidP="009A3213">
      <w:pPr>
        <w:pStyle w:val="BodyText"/>
      </w:pPr>
      <w:r>
        <w:t xml:space="preserve">For those jurisdictions for which data are available, most jurisdictions show improving </w:t>
      </w:r>
      <w:r w:rsidRPr="00AE28F9">
        <w:t>out</w:t>
      </w:r>
      <w:r>
        <w:noBreakHyphen/>
      </w:r>
      <w:r w:rsidRPr="00AE28F9">
        <w:t>of</w:t>
      </w:r>
      <w:r>
        <w:noBreakHyphen/>
      </w:r>
      <w:r w:rsidRPr="00AE28F9">
        <w:t xml:space="preserve">hospital cardiac </w:t>
      </w:r>
      <w:r>
        <w:t xml:space="preserve">arrest </w:t>
      </w:r>
      <w:r w:rsidRPr="00AE28F9">
        <w:t>survival rates</w:t>
      </w:r>
      <w:r>
        <w:t xml:space="preserve"> over eight years </w:t>
      </w:r>
      <w:r w:rsidRPr="00AE28F9">
        <w:t>(</w:t>
      </w:r>
      <w:r w:rsidRPr="0054109B">
        <w:t>table</w:t>
      </w:r>
      <w:r>
        <w:t> 9A.41</w:t>
      </w:r>
      <w:r w:rsidRPr="00AE28F9">
        <w:t xml:space="preserve">). </w:t>
      </w:r>
    </w:p>
    <w:p w:rsidR="00DD14B6" w:rsidRDefault="00407E18" w:rsidP="003E6EDB">
      <w:pPr>
        <w:pStyle w:val="BodyText"/>
      </w:pPr>
      <w:r>
        <w:t>Across jurisdictions the survival rate for p</w:t>
      </w:r>
      <w:r w:rsidRPr="0054109B">
        <w:t xml:space="preserve">atients in Ventricular Fibrillation (VF) or Ventricular Tachycardia (VT) </w:t>
      </w:r>
      <w:r w:rsidR="005B3150">
        <w:t xml:space="preserve">cardiac arrest </w:t>
      </w:r>
      <w:r w:rsidRPr="0054109B">
        <w:t xml:space="preserve">are </w:t>
      </w:r>
      <w:r>
        <w:t>higher than for other adult cardiac arrests</w:t>
      </w:r>
      <w:r w:rsidR="003F7FC8">
        <w:t xml:space="preserve"> </w:t>
      </w:r>
      <w:r w:rsidR="003F7FC8" w:rsidRPr="0054109B">
        <w:lastRenderedPageBreak/>
        <w:t>(figure </w:t>
      </w:r>
      <w:r w:rsidR="00800D6F">
        <w:t>9.33</w:t>
      </w:r>
      <w:r w:rsidR="003F7FC8" w:rsidRPr="0054109B">
        <w:t>)</w:t>
      </w:r>
      <w:r>
        <w:t xml:space="preserve">. </w:t>
      </w:r>
      <w:r w:rsidR="00DD14B6" w:rsidRPr="00DD14B6">
        <w:t>VF or VT are electrical rhythms of the heart but are not associated with effective beating of the heart to produce a pulse. Patients that suffer a VF/VT cardiac arrest are more likely to have better outcomes compared with other causes of cardiac arrest as these conditions are primarily correctable through defibrillation. This is because the definitive treatment for VF/VT is defibrillation and the early this intervention is applied (either by ambulance or within the community through the use of Automated External Defibrillators) the chance of survival is greatly improved.</w:t>
      </w:r>
    </w:p>
    <w:p w:rsidR="00E9599A" w:rsidRDefault="00E9599A" w:rsidP="00E959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9599A" w:rsidTr="00E9599A">
        <w:tc>
          <w:tcPr>
            <w:tcW w:w="8771" w:type="dxa"/>
            <w:tcBorders>
              <w:top w:val="single" w:sz="6" w:space="0" w:color="78A22F"/>
              <w:left w:val="nil"/>
              <w:bottom w:val="nil"/>
              <w:right w:val="nil"/>
            </w:tcBorders>
            <w:shd w:val="clear" w:color="auto" w:fill="auto"/>
          </w:tcPr>
          <w:p w:rsidR="00E9599A" w:rsidRPr="00176D3F" w:rsidRDefault="00E9599A" w:rsidP="00521478">
            <w:pPr>
              <w:pStyle w:val="FigureTitle"/>
            </w:pPr>
            <w:r w:rsidRPr="00784A05">
              <w:rPr>
                <w:b w:val="0"/>
              </w:rPr>
              <w:t xml:space="preserve">Figure </w:t>
            </w:r>
            <w:bookmarkStart w:id="120" w:name="OLE_LINK63"/>
            <w:r w:rsidR="008C1F96">
              <w:rPr>
                <w:b w:val="0"/>
              </w:rPr>
              <w:t>9.</w:t>
            </w:r>
            <w:r w:rsidR="00D52162">
              <w:rPr>
                <w:b w:val="0"/>
                <w:noProof/>
              </w:rPr>
              <w:t>33</w:t>
            </w:r>
            <w:bookmarkEnd w:id="120"/>
            <w:r>
              <w:tab/>
            </w:r>
            <w:r w:rsidRPr="002605A8">
              <w:t xml:space="preserve">Cardiac arrest survived event rate, </w:t>
            </w:r>
            <w:r w:rsidR="00FA5D77">
              <w:t>2013</w:t>
            </w:r>
            <w:r w:rsidR="0026487F">
              <w:noBreakHyphen/>
            </w:r>
            <w:r w:rsidR="00FA5D77">
              <w:t>14</w:t>
            </w:r>
            <w:r w:rsidRPr="002605A8">
              <w:rPr>
                <w:rStyle w:val="NoteLabel"/>
                <w:b/>
              </w:rPr>
              <w:t xml:space="preserve">a, b, </w:t>
            </w:r>
            <w:r w:rsidRPr="00446594">
              <w:rPr>
                <w:rStyle w:val="NoteLabel"/>
                <w:b/>
              </w:rPr>
              <w:t>c, d, e, f</w:t>
            </w:r>
            <w:r w:rsidR="00521478" w:rsidRPr="00446594">
              <w:rPr>
                <w:rStyle w:val="NoteLabel"/>
                <w:b/>
              </w:rPr>
              <w:t>, g</w:t>
            </w:r>
            <w:r w:rsidR="00A97EAF" w:rsidRPr="00446594">
              <w:rPr>
                <w:rStyle w:val="NoteLabel"/>
                <w:b/>
              </w:rPr>
              <w:t>, h</w:t>
            </w:r>
          </w:p>
        </w:tc>
      </w:tr>
      <w:tr w:rsidR="00E9599A" w:rsidTr="00446594">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E9599A" w:rsidTr="00677D4D">
              <w:tc>
                <w:tcPr>
                  <w:tcW w:w="5000" w:type="pct"/>
                  <w:tcBorders>
                    <w:top w:val="nil"/>
                    <w:bottom w:val="nil"/>
                  </w:tcBorders>
                </w:tcPr>
                <w:p w:rsidR="00E9599A" w:rsidRDefault="00F82339" w:rsidP="00E9599A">
                  <w:pPr>
                    <w:pStyle w:val="Figure"/>
                    <w:spacing w:before="60" w:after="60"/>
                  </w:pPr>
                  <w:r>
                    <w:rPr>
                      <w:noProof/>
                    </w:rPr>
                    <w:drawing>
                      <wp:inline distT="0" distB="0" distL="0" distR="0" wp14:anchorId="0D5C7ADA" wp14:editId="2FE1C1C2">
                        <wp:extent cx="5405755" cy="2707640"/>
                        <wp:effectExtent l="0" t="0" r="4445" b="0"/>
                        <wp:docPr id="38" name="Picture 38" descr="Figure 9.33 Cardiac arrest survived event rate,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E9599A" w:rsidRDefault="00E9599A" w:rsidP="00E9599A">
            <w:pPr>
              <w:pStyle w:val="Figure"/>
            </w:pPr>
          </w:p>
        </w:tc>
      </w:tr>
      <w:tr w:rsidR="00E9599A" w:rsidRPr="00176D3F" w:rsidTr="00E9599A">
        <w:tc>
          <w:tcPr>
            <w:tcW w:w="8771" w:type="dxa"/>
            <w:tcBorders>
              <w:top w:val="nil"/>
              <w:left w:val="nil"/>
              <w:bottom w:val="nil"/>
              <w:right w:val="nil"/>
            </w:tcBorders>
            <w:shd w:val="clear" w:color="auto" w:fill="auto"/>
          </w:tcPr>
          <w:p w:rsidR="00E9599A" w:rsidRPr="00176D3F" w:rsidRDefault="00E9599A" w:rsidP="00D02357">
            <w:pPr>
              <w:pStyle w:val="Note"/>
            </w:pPr>
            <w:proofErr w:type="spellStart"/>
            <w:r w:rsidRPr="002605A8">
              <w:rPr>
                <w:rStyle w:val="NoteLabel"/>
              </w:rPr>
              <w:t>a</w:t>
            </w:r>
            <w:proofErr w:type="spellEnd"/>
            <w:r w:rsidRPr="002605A8">
              <w:t> </w:t>
            </w:r>
            <w:proofErr w:type="spellStart"/>
            <w:r w:rsidRPr="002605A8">
              <w:t>A</w:t>
            </w:r>
            <w:proofErr w:type="spellEnd"/>
            <w:r w:rsidRPr="002605A8">
              <w:t xml:space="preserve"> ‘survived event’ </w:t>
            </w:r>
            <w:r w:rsidRPr="00A97EAF">
              <w:t>is defined as the patient having return of spontaneous circulation on arrival to hospital (that is, the patient having a pulse). This is not the same as the patient surviving the cardiac arrest as this is only one factor that contributes to the overall likelihood of survival</w:t>
            </w:r>
            <w:r w:rsidRPr="002605A8">
              <w:rPr>
                <w:rStyle w:val="NoteLabel"/>
                <w:b w:val="0"/>
                <w:position w:val="0"/>
              </w:rPr>
              <w:t xml:space="preserve">. </w:t>
            </w:r>
            <w:r w:rsidRPr="002605A8">
              <w:rPr>
                <w:rStyle w:val="NoteLabel"/>
              </w:rPr>
              <w:t xml:space="preserve">b </w:t>
            </w:r>
            <w:r w:rsidRPr="00A97EAF">
              <w:t>The measure ‘adult cardiac arrests where resuscitation attempted’ provides an overall indicator of outcome without specific consideration to other factors known to influence survival</w:t>
            </w:r>
            <w:r w:rsidRPr="002605A8">
              <w:t xml:space="preserve">. </w:t>
            </w:r>
            <w:r w:rsidRPr="00446594">
              <w:rPr>
                <w:rStyle w:val="NoteLabel"/>
              </w:rPr>
              <w:t>c</w:t>
            </w:r>
            <w:r w:rsidRPr="00446594">
              <w:t xml:space="preserve"> NSW: </w:t>
            </w:r>
            <w:r w:rsidR="0053579D" w:rsidRPr="00446594">
              <w:t>(1) </w:t>
            </w:r>
            <w:r w:rsidR="00D02357" w:rsidRPr="00446594">
              <w:t>E</w:t>
            </w:r>
            <w:r w:rsidR="0053579D" w:rsidRPr="00446594">
              <w:t xml:space="preserve">xtraction only uses data that </w:t>
            </w:r>
            <w:r w:rsidR="00D02357" w:rsidRPr="00446594">
              <w:t xml:space="preserve">are </w:t>
            </w:r>
            <w:r w:rsidR="0053579D" w:rsidRPr="00446594">
              <w:t>available in the electronic Medical Record (</w:t>
            </w:r>
            <w:proofErr w:type="spellStart"/>
            <w:r w:rsidR="0053579D" w:rsidRPr="00446594">
              <w:t>eMR</w:t>
            </w:r>
            <w:proofErr w:type="spellEnd"/>
            <w:r w:rsidR="0053579D" w:rsidRPr="00446594">
              <w:t xml:space="preserve">). (2) The quality of </w:t>
            </w:r>
            <w:proofErr w:type="spellStart"/>
            <w:r w:rsidR="0053579D" w:rsidRPr="00446594">
              <w:t>eMR</w:t>
            </w:r>
            <w:proofErr w:type="spellEnd"/>
            <w:r w:rsidR="0053579D" w:rsidRPr="00446594">
              <w:t xml:space="preserve"> documentation and resulting difficulties in confident interpretation and subsequent comparisons are: (</w:t>
            </w:r>
            <w:proofErr w:type="spellStart"/>
            <w:r w:rsidR="0053579D" w:rsidRPr="00446594">
              <w:t>i</w:t>
            </w:r>
            <w:proofErr w:type="spellEnd"/>
            <w:r w:rsidR="0053579D" w:rsidRPr="00446594">
              <w:t xml:space="preserve">) Within all areas of healthcare, clinical databases (such as </w:t>
            </w:r>
            <w:proofErr w:type="spellStart"/>
            <w:r w:rsidR="0053579D" w:rsidRPr="00446594">
              <w:t>eMR</w:t>
            </w:r>
            <w:proofErr w:type="spellEnd"/>
            <w:r w:rsidR="0053579D" w:rsidRPr="00446594">
              <w:t xml:space="preserve"> or the Patient Health Care Records) are known to have limitations around the accuracy and completeness of data recorded within them. (ii) The NSW Ambulance source of information in relation to out</w:t>
            </w:r>
            <w:r w:rsidR="0026487F" w:rsidRPr="00446594">
              <w:noBreakHyphen/>
            </w:r>
            <w:r w:rsidR="0053579D" w:rsidRPr="00446594">
              <w:t>of</w:t>
            </w:r>
            <w:r w:rsidR="0026487F" w:rsidRPr="00446594">
              <w:noBreakHyphen/>
            </w:r>
            <w:r w:rsidR="0053579D" w:rsidRPr="00446594">
              <w:t xml:space="preserve">hospital cardiac arrest are the datasets populated by paramedics. Therefore, </w:t>
            </w:r>
            <w:r w:rsidR="00521478" w:rsidRPr="00446594">
              <w:t xml:space="preserve">return of spontaneous circulation </w:t>
            </w:r>
            <w:r w:rsidR="0053579D" w:rsidRPr="00446594">
              <w:t>rates determined from these sources can only reflect a ‘</w:t>
            </w:r>
            <w:r w:rsidR="00521478" w:rsidRPr="00446594">
              <w:t xml:space="preserve">best estimate’ of actual rates. </w:t>
            </w:r>
            <w:r w:rsidRPr="002605A8">
              <w:rPr>
                <w:rStyle w:val="NoteLabel"/>
              </w:rPr>
              <w:t>d</w:t>
            </w:r>
            <w:r w:rsidRPr="002605A8">
              <w:rPr>
                <w:b/>
              </w:rPr>
              <w:t> </w:t>
            </w:r>
            <w:r w:rsidRPr="002605A8">
              <w:t>Vic: Excludes</w:t>
            </w:r>
            <w:r w:rsidRPr="002605A8">
              <w:rPr>
                <w:b/>
              </w:rPr>
              <w:t xml:space="preserve"> </w:t>
            </w:r>
            <w:r w:rsidRPr="002605A8">
              <w:t xml:space="preserve">patients with unknown rhythm on arrival at hospital. </w:t>
            </w:r>
            <w:r w:rsidRPr="00446594">
              <w:rPr>
                <w:rStyle w:val="NoteLabel"/>
              </w:rPr>
              <w:t>e</w:t>
            </w:r>
            <w:r w:rsidRPr="00446594">
              <w:rPr>
                <w:b/>
              </w:rPr>
              <w:t> </w:t>
            </w:r>
            <w:r w:rsidR="00A97EAF" w:rsidRPr="00446594">
              <w:t>Qld:</w:t>
            </w:r>
            <w:r w:rsidR="00AA08A2" w:rsidRPr="00446594">
              <w:t xml:space="preserve"> </w:t>
            </w:r>
            <w:r w:rsidR="00A97EAF" w:rsidRPr="00446594">
              <w:t>2013</w:t>
            </w:r>
            <w:r w:rsidR="0026487F" w:rsidRPr="00446594">
              <w:noBreakHyphen/>
            </w:r>
            <w:r w:rsidR="00A97EAF" w:rsidRPr="00446594">
              <w:t>14 data pertain to the 2013 calendar year. Patients with ‘Do not attempt resuscitation orders’ are excluded from the cardiac arrest data collection from 1</w:t>
            </w:r>
            <w:r w:rsidR="0026487F" w:rsidRPr="00446594">
              <w:t> </w:t>
            </w:r>
            <w:r w:rsidR="00A97EAF" w:rsidRPr="00446594">
              <w:t>July 2013 as this information was not coded prior to this date.</w:t>
            </w:r>
            <w:r w:rsidR="00A97EAF">
              <w:t xml:space="preserve"> </w:t>
            </w:r>
            <w:r w:rsidR="00A97EAF" w:rsidRPr="00A97EAF">
              <w:rPr>
                <w:rStyle w:val="NoteLabel"/>
              </w:rPr>
              <w:t>f</w:t>
            </w:r>
            <w:r w:rsidR="00A97EAF">
              <w:rPr>
                <w:rStyle w:val="NoteLabel"/>
              </w:rPr>
              <w:t> </w:t>
            </w:r>
            <w:r w:rsidRPr="00A90E73">
              <w:t>Tas: Data inconsistency issues — resulting from the introduction of improved counting procedures in 2013 — mean that Paramedic Witnessed event data are unable to be reported.</w:t>
            </w:r>
            <w:r w:rsidRPr="002605A8">
              <w:t xml:space="preserve"> </w:t>
            </w:r>
            <w:r w:rsidR="00A97EAF" w:rsidRPr="00446594">
              <w:rPr>
                <w:rStyle w:val="NoteLabel"/>
              </w:rPr>
              <w:t>g</w:t>
            </w:r>
            <w:r w:rsidRPr="00446594">
              <w:t> </w:t>
            </w:r>
            <w:r w:rsidR="00521478" w:rsidRPr="00446594">
              <w:t>SA: In 2013, due to a redesign in the Patient Report Form, mapping issues between HP</w:t>
            </w:r>
            <w:r w:rsidR="0026487F" w:rsidRPr="00446594">
              <w:noBreakHyphen/>
            </w:r>
            <w:r w:rsidR="00521478" w:rsidRPr="00446594">
              <w:t xml:space="preserve">admin and the </w:t>
            </w:r>
            <w:r w:rsidR="00D02357" w:rsidRPr="00446594">
              <w:t>SA</w:t>
            </w:r>
            <w:r w:rsidR="00521478" w:rsidRPr="00446594">
              <w:t xml:space="preserve"> Ambulance Service data base occurred, leading to incomplete data for cardiac arrest cases and therefore lower numbers being reported on than in previous years. </w:t>
            </w:r>
            <w:r w:rsidR="00A97EAF" w:rsidRPr="00446594">
              <w:rPr>
                <w:rStyle w:val="NoteLabel"/>
              </w:rPr>
              <w:t>h</w:t>
            </w:r>
            <w:r w:rsidR="00521478" w:rsidRPr="00446594">
              <w:t> </w:t>
            </w:r>
            <w:r w:rsidRPr="00446594">
              <w:t>Cardiac arrest data are not comparable between jurisdictions due to different methods of reporting.</w:t>
            </w:r>
            <w:r w:rsidRPr="002605A8">
              <w:t xml:space="preserve"> </w:t>
            </w:r>
          </w:p>
        </w:tc>
      </w:tr>
      <w:tr w:rsidR="00E9599A" w:rsidRPr="00176D3F" w:rsidTr="00E9599A">
        <w:tc>
          <w:tcPr>
            <w:tcW w:w="8771" w:type="dxa"/>
            <w:tcBorders>
              <w:top w:val="nil"/>
              <w:left w:val="nil"/>
              <w:bottom w:val="nil"/>
              <w:right w:val="nil"/>
            </w:tcBorders>
            <w:shd w:val="clear" w:color="auto" w:fill="auto"/>
          </w:tcPr>
          <w:p w:rsidR="00E9599A" w:rsidRPr="00176D3F" w:rsidRDefault="00E9599A" w:rsidP="00E9599A">
            <w:pPr>
              <w:pStyle w:val="Source"/>
            </w:pPr>
            <w:r w:rsidRPr="002605A8">
              <w:rPr>
                <w:i/>
              </w:rPr>
              <w:t>Source</w:t>
            </w:r>
            <w:r w:rsidRPr="002605A8">
              <w:t>: State and Territory governments (unpublished); table </w:t>
            </w:r>
            <w:r>
              <w:t>9A.41</w:t>
            </w:r>
            <w:r w:rsidRPr="002605A8">
              <w:t>.</w:t>
            </w:r>
          </w:p>
        </w:tc>
      </w:tr>
      <w:tr w:rsidR="00E9599A" w:rsidTr="00E9599A">
        <w:tc>
          <w:tcPr>
            <w:tcW w:w="8771" w:type="dxa"/>
            <w:tcBorders>
              <w:top w:val="nil"/>
              <w:left w:val="nil"/>
              <w:bottom w:val="single" w:sz="6" w:space="0" w:color="78A22F"/>
              <w:right w:val="nil"/>
            </w:tcBorders>
            <w:shd w:val="clear" w:color="auto" w:fill="auto"/>
          </w:tcPr>
          <w:p w:rsidR="00E9599A" w:rsidRDefault="00E9599A" w:rsidP="00E9599A">
            <w:pPr>
              <w:pStyle w:val="Figurespace"/>
            </w:pPr>
          </w:p>
        </w:tc>
      </w:tr>
      <w:tr w:rsidR="00E9599A" w:rsidRPr="000863A5" w:rsidTr="00E9599A">
        <w:tc>
          <w:tcPr>
            <w:tcW w:w="8771" w:type="dxa"/>
            <w:tcBorders>
              <w:top w:val="single" w:sz="6" w:space="0" w:color="78A22F"/>
              <w:left w:val="nil"/>
              <w:bottom w:val="nil"/>
              <w:right w:val="nil"/>
            </w:tcBorders>
          </w:tcPr>
          <w:p w:rsidR="00E9599A" w:rsidRPr="00626D32" w:rsidRDefault="00E9599A" w:rsidP="00E9599A">
            <w:pPr>
              <w:pStyle w:val="BoxSpaceBelow"/>
            </w:pPr>
          </w:p>
        </w:tc>
      </w:tr>
    </w:tbl>
    <w:p w:rsidR="00BF28E7" w:rsidRPr="0054109B" w:rsidRDefault="00BF28E7" w:rsidP="003E6EDB">
      <w:pPr>
        <w:pStyle w:val="BodyText"/>
      </w:pPr>
      <w:r>
        <w:lastRenderedPageBreak/>
        <w:t>Similarly, t</w:t>
      </w:r>
      <w:r w:rsidRPr="0054109B">
        <w:t xml:space="preserve">he survival rate from </w:t>
      </w:r>
      <w:r w:rsidRPr="003F7FC8">
        <w:t>paramedic witnessed</w:t>
      </w:r>
      <w:r w:rsidRPr="0054109B">
        <w:t xml:space="preserve"> out</w:t>
      </w:r>
      <w:r w:rsidR="00243CD6">
        <w:noBreakHyphen/>
      </w:r>
      <w:r w:rsidRPr="0054109B">
        <w:t>of</w:t>
      </w:r>
      <w:r w:rsidR="00243CD6">
        <w:noBreakHyphen/>
      </w:r>
      <w:r w:rsidRPr="0054109B">
        <w:t xml:space="preserve">hospital cardiac arrests </w:t>
      </w:r>
      <w:r>
        <w:t>are higher than for other adult out</w:t>
      </w:r>
      <w:r w:rsidR="00243CD6">
        <w:noBreakHyphen/>
      </w:r>
      <w:r>
        <w:t>of</w:t>
      </w:r>
      <w:r w:rsidR="00243CD6">
        <w:noBreakHyphen/>
      </w:r>
      <w:r>
        <w:t>hospital cardiac arrests (excluding VF/VT cardiac arrests). C</w:t>
      </w:r>
      <w:r w:rsidRPr="00B170A6">
        <w:t xml:space="preserve">ardiac arrests that are treated immediately by the paramedic have a better likelihood of </w:t>
      </w:r>
      <w:r w:rsidRPr="00AE28F9">
        <w:t>survival</w:t>
      </w:r>
      <w:r w:rsidRPr="00B170A6">
        <w:t xml:space="preserve"> due to immediate and rapid intervention. This is substantially different to cardiac arrests occurring prior to the ambulance arriving where such increasing periods of treatment delay are known to negatively influence outcome</w:t>
      </w:r>
      <w:r w:rsidRPr="00AE28F9">
        <w:t xml:space="preserve"> </w:t>
      </w:r>
      <w:r w:rsidRPr="0054109B">
        <w:t>(figure </w:t>
      </w:r>
      <w:r w:rsidR="00800D6F">
        <w:t>9.33</w:t>
      </w:r>
      <w:r w:rsidRPr="0054109B">
        <w:t>).</w:t>
      </w:r>
    </w:p>
    <w:p w:rsidR="00986A8B" w:rsidRPr="00F026F6" w:rsidRDefault="00986A8B" w:rsidP="00640645">
      <w:pPr>
        <w:pStyle w:val="Heading5"/>
      </w:pPr>
      <w:r w:rsidRPr="00F026F6">
        <w:t>Cardiac arrest survival to hospital discharge</w:t>
      </w:r>
    </w:p>
    <w:p w:rsidR="00986A8B" w:rsidRDefault="00986A8B" w:rsidP="00986A8B">
      <w:pPr>
        <w:pStyle w:val="BodyText"/>
      </w:pPr>
      <w:r w:rsidRPr="00F026F6">
        <w:t xml:space="preserve">‘Cardiac arrest survival to hospital discharge’ has been identified for development as an indicator of governments’ objective </w:t>
      </w:r>
      <w:r w:rsidR="00F43F2A" w:rsidRPr="00F026F6">
        <w:t>of providing pre</w:t>
      </w:r>
      <w:r w:rsidR="00243CD6">
        <w:noBreakHyphen/>
      </w:r>
      <w:r w:rsidR="00F43F2A" w:rsidRPr="00F026F6">
        <w:t>hospital and out</w:t>
      </w:r>
      <w:r w:rsidR="00F43F2A" w:rsidRPr="00F026F6">
        <w:noBreakHyphen/>
        <w:t>of</w:t>
      </w:r>
      <w:r w:rsidR="00F43F2A" w:rsidRPr="00F026F6">
        <w:noBreakHyphen/>
        <w:t>hospital care and patient transport services, that are high quality, timely, and meet clients’ needs through delivery of coordinated and responsive health care</w:t>
      </w:r>
      <w:r w:rsidRPr="00F026F6">
        <w:t xml:space="preserve"> (box </w:t>
      </w:r>
      <w:r w:rsidR="00800D6F">
        <w:t>9.32</w:t>
      </w:r>
      <w:r w:rsidRPr="00F026F6">
        <w:t>).</w:t>
      </w:r>
    </w:p>
    <w:p w:rsidR="00E9599A" w:rsidRDefault="00E959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9599A" w:rsidTr="00E9599A">
        <w:tc>
          <w:tcPr>
            <w:tcW w:w="8771" w:type="dxa"/>
            <w:tcBorders>
              <w:top w:val="single" w:sz="6" w:space="0" w:color="78A22F"/>
              <w:left w:val="nil"/>
              <w:bottom w:val="nil"/>
              <w:right w:val="nil"/>
            </w:tcBorders>
            <w:shd w:val="clear" w:color="auto" w:fill="F2F2F2" w:themeFill="background1" w:themeFillShade="F2"/>
          </w:tcPr>
          <w:p w:rsidR="00E9599A" w:rsidRPr="00F026F6" w:rsidRDefault="00E9599A" w:rsidP="00E9599A">
            <w:pPr>
              <w:pStyle w:val="BoxTitle"/>
            </w:pPr>
            <w:r w:rsidRPr="00F026F6">
              <w:rPr>
                <w:b w:val="0"/>
              </w:rPr>
              <w:t>Box </w:t>
            </w:r>
            <w:bookmarkStart w:id="121" w:name="OLE_LINK60"/>
            <w:r w:rsidR="008C1F96">
              <w:rPr>
                <w:b w:val="0"/>
              </w:rPr>
              <w:t>9.</w:t>
            </w:r>
            <w:r w:rsidR="00D52162">
              <w:rPr>
                <w:b w:val="0"/>
                <w:noProof/>
              </w:rPr>
              <w:t>32</w:t>
            </w:r>
            <w:bookmarkEnd w:id="121"/>
            <w:r w:rsidRPr="00F026F6">
              <w:tab/>
              <w:t>Cardiac arrest survival to hospital discharge</w:t>
            </w:r>
          </w:p>
        </w:tc>
      </w:tr>
      <w:tr w:rsidR="00E9599A" w:rsidTr="00E9599A">
        <w:trPr>
          <w:cantSplit/>
        </w:trPr>
        <w:tc>
          <w:tcPr>
            <w:tcW w:w="8771" w:type="dxa"/>
            <w:tcBorders>
              <w:top w:val="nil"/>
              <w:left w:val="nil"/>
              <w:bottom w:val="nil"/>
              <w:right w:val="nil"/>
            </w:tcBorders>
            <w:shd w:val="clear" w:color="auto" w:fill="F2F2F2" w:themeFill="background1" w:themeFillShade="F2"/>
          </w:tcPr>
          <w:p w:rsidR="00E9599A" w:rsidRPr="00F026F6" w:rsidRDefault="00E9599A" w:rsidP="00E9599A">
            <w:pPr>
              <w:pStyle w:val="Box"/>
            </w:pPr>
            <w:r w:rsidRPr="00F026F6">
              <w:t>‘Cardiac arrest survival to hospital discharge’ is yet to be defined.</w:t>
            </w:r>
          </w:p>
          <w:p w:rsidR="00E9599A" w:rsidRPr="00F026F6" w:rsidRDefault="00E9599A" w:rsidP="00E9599A">
            <w:pPr>
              <w:pStyle w:val="Box"/>
            </w:pPr>
            <w:r w:rsidRPr="00F026F6">
              <w:t>A high or increasing survival rate is a desirable outcome.</w:t>
            </w:r>
          </w:p>
          <w:p w:rsidR="00E9599A" w:rsidRPr="00F026F6" w:rsidRDefault="00E9599A" w:rsidP="00E9599A">
            <w:pPr>
              <w:pStyle w:val="Box"/>
            </w:pPr>
            <w:r w:rsidRPr="00F026F6">
              <w:t>This indicator has been identified for development (through the CAA) and reporting in future.</w:t>
            </w:r>
          </w:p>
        </w:tc>
      </w:tr>
      <w:tr w:rsidR="00E9599A" w:rsidTr="00E9599A">
        <w:trPr>
          <w:cantSplit/>
        </w:trPr>
        <w:tc>
          <w:tcPr>
            <w:tcW w:w="8771" w:type="dxa"/>
            <w:tcBorders>
              <w:top w:val="nil"/>
              <w:left w:val="nil"/>
              <w:bottom w:val="single" w:sz="6" w:space="0" w:color="78A22F"/>
              <w:right w:val="nil"/>
            </w:tcBorders>
            <w:shd w:val="clear" w:color="auto" w:fill="F2F2F2" w:themeFill="background1" w:themeFillShade="F2"/>
          </w:tcPr>
          <w:p w:rsidR="00E9599A" w:rsidRDefault="00E9599A">
            <w:pPr>
              <w:pStyle w:val="Box"/>
              <w:spacing w:before="0" w:line="120" w:lineRule="exact"/>
            </w:pPr>
          </w:p>
        </w:tc>
      </w:tr>
      <w:tr w:rsidR="00E9599A" w:rsidRPr="000863A5" w:rsidTr="00E9599A">
        <w:tc>
          <w:tcPr>
            <w:tcW w:w="8771" w:type="dxa"/>
            <w:tcBorders>
              <w:top w:val="single" w:sz="6" w:space="0" w:color="78A22F"/>
              <w:left w:val="nil"/>
              <w:bottom w:val="nil"/>
              <w:right w:val="nil"/>
            </w:tcBorders>
          </w:tcPr>
          <w:p w:rsidR="00E9599A" w:rsidRPr="00626D32" w:rsidRDefault="00E9599A" w:rsidP="00E9599A">
            <w:pPr>
              <w:pStyle w:val="BoxSpaceBelow"/>
            </w:pPr>
          </w:p>
        </w:tc>
      </w:tr>
    </w:tbl>
    <w:p w:rsidR="00986A8B" w:rsidRPr="00C47E65" w:rsidRDefault="00986A8B" w:rsidP="00640645">
      <w:pPr>
        <w:pStyle w:val="Heading5"/>
      </w:pPr>
      <w:r w:rsidRPr="00C47E65">
        <w:t>Pain management</w:t>
      </w:r>
    </w:p>
    <w:p w:rsidR="003E6EDB" w:rsidRDefault="00986A8B" w:rsidP="00A90E73">
      <w:pPr>
        <w:pStyle w:val="BodyText"/>
      </w:pPr>
      <w:r w:rsidRPr="00C54571">
        <w:t xml:space="preserve">‘Pain management’ </w:t>
      </w:r>
      <w:r w:rsidR="00C57985" w:rsidRPr="00C54571">
        <w:t xml:space="preserve">is an indicator of governments’ objective </w:t>
      </w:r>
      <w:r w:rsidR="00F43F2A" w:rsidRPr="00C54571">
        <w:t>of providing pre</w:t>
      </w:r>
      <w:r w:rsidR="001D6B30" w:rsidRPr="00C54571">
        <w:noBreakHyphen/>
      </w:r>
      <w:r w:rsidR="00F43F2A" w:rsidRPr="00C54571">
        <w:t>hospital and out</w:t>
      </w:r>
      <w:r w:rsidR="00243CD6">
        <w:noBreakHyphen/>
      </w:r>
      <w:r w:rsidR="00F43F2A" w:rsidRPr="00C54571">
        <w:t>of</w:t>
      </w:r>
      <w:r w:rsidR="00243CD6">
        <w:noBreakHyphen/>
      </w:r>
      <w:r w:rsidR="00F43F2A" w:rsidRPr="00C54571">
        <w:t xml:space="preserve">hospital care and patient transport services, that are high quality, timely, and meet clients’ needs through delivery of coordinated and responsive health care </w:t>
      </w:r>
      <w:r w:rsidRPr="00C54571">
        <w:t>(box </w:t>
      </w:r>
      <w:r w:rsidR="00800D6F">
        <w:t>9.33</w:t>
      </w:r>
      <w:r w:rsidRPr="00C54571">
        <w:t>).</w:t>
      </w:r>
      <w:r w:rsidR="00A01085" w:rsidRPr="00C54571">
        <w:t xml:space="preserve"> </w:t>
      </w:r>
    </w:p>
    <w:p w:rsidR="00E9599A" w:rsidRDefault="00E959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9599A" w:rsidTr="00E9599A">
        <w:tc>
          <w:tcPr>
            <w:tcW w:w="8771" w:type="dxa"/>
            <w:tcBorders>
              <w:top w:val="single" w:sz="6" w:space="0" w:color="78A22F"/>
              <w:left w:val="nil"/>
              <w:bottom w:val="nil"/>
              <w:right w:val="nil"/>
            </w:tcBorders>
            <w:shd w:val="clear" w:color="auto" w:fill="F2F2F2" w:themeFill="background1" w:themeFillShade="F2"/>
          </w:tcPr>
          <w:p w:rsidR="00E9599A" w:rsidRDefault="00E9599A" w:rsidP="00E9599A">
            <w:pPr>
              <w:pStyle w:val="BoxTitle"/>
            </w:pPr>
            <w:r>
              <w:rPr>
                <w:b w:val="0"/>
              </w:rPr>
              <w:t xml:space="preserve">Box </w:t>
            </w:r>
            <w:bookmarkStart w:id="122" w:name="OLE_LINK64"/>
            <w:r w:rsidR="008C1F96">
              <w:rPr>
                <w:b w:val="0"/>
              </w:rPr>
              <w:t>9.</w:t>
            </w:r>
            <w:r w:rsidR="00D52162">
              <w:rPr>
                <w:b w:val="0"/>
                <w:noProof/>
              </w:rPr>
              <w:t>33</w:t>
            </w:r>
            <w:bookmarkEnd w:id="122"/>
            <w:r>
              <w:tab/>
            </w:r>
            <w:r w:rsidRPr="00C54571">
              <w:t>Pain management</w:t>
            </w:r>
            <w:r>
              <w:t xml:space="preserve"> </w:t>
            </w:r>
          </w:p>
        </w:tc>
      </w:tr>
      <w:tr w:rsidR="00E9599A" w:rsidTr="00E9599A">
        <w:trPr>
          <w:cantSplit/>
        </w:trPr>
        <w:tc>
          <w:tcPr>
            <w:tcW w:w="8771" w:type="dxa"/>
            <w:tcBorders>
              <w:top w:val="nil"/>
              <w:left w:val="nil"/>
              <w:bottom w:val="nil"/>
              <w:right w:val="nil"/>
            </w:tcBorders>
            <w:shd w:val="clear" w:color="auto" w:fill="F2F2F2" w:themeFill="background1" w:themeFillShade="F2"/>
          </w:tcPr>
          <w:p w:rsidR="00E9599A" w:rsidRPr="000A5616" w:rsidRDefault="00E9599A" w:rsidP="00E9599A">
            <w:pPr>
              <w:pStyle w:val="Box"/>
              <w:keepNext w:val="0"/>
            </w:pPr>
            <w:r>
              <w:t>‘</w:t>
            </w:r>
            <w:r w:rsidRPr="000A5616">
              <w:t>Pain management</w:t>
            </w:r>
            <w:r>
              <w:t xml:space="preserve">’ is defined as the percentage of </w:t>
            </w:r>
            <w:r w:rsidRPr="000A5616">
              <w:t xml:space="preserve">patients </w:t>
            </w:r>
            <w:r w:rsidRPr="00C54571">
              <w:t>who report a clinically meaningful pain reduction</w:t>
            </w:r>
            <w:r w:rsidRPr="000A5616">
              <w:t>.</w:t>
            </w:r>
            <w:r w:rsidRPr="00C54571">
              <w:t xml:space="preserve"> Clinically meaningful pain reduction is defined as a minimum 2 point reduction in pain score from first to final recorded measurement.</w:t>
            </w:r>
          </w:p>
          <w:p w:rsidR="00E9599A" w:rsidRDefault="00E9599A" w:rsidP="00E9599A">
            <w:pPr>
              <w:pStyle w:val="Box"/>
              <w:keepNext w:val="0"/>
            </w:pPr>
            <w:r>
              <w:t>Included are patients who:</w:t>
            </w:r>
          </w:p>
          <w:p w:rsidR="00E9599A" w:rsidRDefault="00E9599A" w:rsidP="00E9599A">
            <w:pPr>
              <w:pStyle w:val="BoxListBullet"/>
            </w:pPr>
            <w:r w:rsidRPr="00E9599A">
              <w:t>are aged 16 years and over and received care from the ambulance service, which included the administration of pain medication (analgesia)</w:t>
            </w:r>
          </w:p>
          <w:p w:rsidR="00E9599A" w:rsidRDefault="00E9599A" w:rsidP="00E9599A">
            <w:pPr>
              <w:pStyle w:val="BoxListBullet"/>
              <w:keepNext w:val="0"/>
            </w:pPr>
            <w:r>
              <w:t>recorded at least 2 pain scores (pre</w:t>
            </w:r>
            <w:r>
              <w:noBreakHyphen/>
              <w:t xml:space="preserve"> and post</w:t>
            </w:r>
            <w:r>
              <w:noBreakHyphen/>
              <w:t xml:space="preserve">treatment) on a Numeric Rating Scale </w:t>
            </w:r>
          </w:p>
          <w:p w:rsidR="00E9599A" w:rsidRDefault="00E9599A" w:rsidP="00E9599A">
            <w:pPr>
              <w:pStyle w:val="BoxListBullet"/>
              <w:keepNext w:val="0"/>
            </w:pPr>
            <w:r>
              <w:t xml:space="preserve">recorded an initial pain score of 7 or above on the Numeric Rating Scale of 1–10. </w:t>
            </w:r>
          </w:p>
          <w:p w:rsidR="00E9599A" w:rsidRDefault="00963693" w:rsidP="00E9599A">
            <w:pPr>
              <w:pStyle w:val="Box"/>
              <w:keepNext w:val="0"/>
            </w:pPr>
            <w:r>
              <w:t>P</w:t>
            </w:r>
            <w:r w:rsidR="00E9599A">
              <w:t>atients who refuse pain</w:t>
            </w:r>
            <w:r>
              <w:t xml:space="preserve"> medication for whatever reason are excluded.</w:t>
            </w:r>
          </w:p>
          <w:p w:rsidR="00E9599A" w:rsidRDefault="00E4236F" w:rsidP="00E9599A">
            <w:pPr>
              <w:pStyle w:val="Box"/>
            </w:pPr>
            <w:r>
              <w:t xml:space="preserve">A higher or increasing </w:t>
            </w:r>
            <w:r w:rsidR="00E9599A">
              <w:t xml:space="preserve">percentage of patients with relieved pain at the end of ambulance service treatment </w:t>
            </w:r>
            <w:r w:rsidR="00E9599A" w:rsidRPr="003611A1">
              <w:t>suggest</w:t>
            </w:r>
            <w:r w:rsidR="00E9599A">
              <w:t>s</w:t>
            </w:r>
            <w:r w:rsidR="00E9599A" w:rsidRPr="003611A1">
              <w:t xml:space="preserve"> </w:t>
            </w:r>
            <w:r w:rsidR="00E9599A">
              <w:t>improved patient outcome</w:t>
            </w:r>
            <w:r>
              <w:t>s</w:t>
            </w:r>
            <w:r w:rsidR="00E9599A" w:rsidRPr="003611A1">
              <w:t>.</w:t>
            </w:r>
            <w:r w:rsidR="00E9599A" w:rsidRPr="00C54571">
              <w:t xml:space="preserve"> </w:t>
            </w:r>
          </w:p>
          <w:p w:rsidR="00E9599A" w:rsidRDefault="00E9599A" w:rsidP="00E9599A">
            <w:pPr>
              <w:pStyle w:val="Box"/>
            </w:pPr>
            <w:r w:rsidRPr="00C54571">
              <w:t>Data reported for this measure are:</w:t>
            </w:r>
          </w:p>
          <w:p w:rsidR="004201C2" w:rsidRPr="001D6B30" w:rsidRDefault="004201C2" w:rsidP="00446594">
            <w:pPr>
              <w:pStyle w:val="BoxListBullet"/>
            </w:pPr>
            <w:r w:rsidRPr="001D6B30">
              <w:t>comparable (subject to caveats) within jurisdictions over time but are not comparable across jurisdictions</w:t>
            </w:r>
          </w:p>
          <w:p w:rsidR="00E9599A" w:rsidRPr="00E967FD" w:rsidRDefault="00E9599A" w:rsidP="00446594">
            <w:pPr>
              <w:pStyle w:val="BoxListBullet"/>
            </w:pPr>
            <w:r w:rsidRPr="00E967FD">
              <w:t xml:space="preserve">incomplete for the current reporting period. All required </w:t>
            </w:r>
            <w:r w:rsidR="00FA5D77">
              <w:t>2013</w:t>
            </w:r>
            <w:r w:rsidR="0026487F">
              <w:noBreakHyphen/>
            </w:r>
            <w:r w:rsidR="00FA5D77">
              <w:t>14</w:t>
            </w:r>
            <w:r>
              <w:t xml:space="preserve"> </w:t>
            </w:r>
            <w:r w:rsidRPr="00E967FD">
              <w:t>data are not available for</w:t>
            </w:r>
            <w:r>
              <w:t xml:space="preserve"> the </w:t>
            </w:r>
            <w:r w:rsidRPr="00E967FD">
              <w:t>NT.</w:t>
            </w:r>
          </w:p>
          <w:p w:rsidR="00E9599A" w:rsidRPr="0054109B" w:rsidRDefault="00E9599A" w:rsidP="00E9599A">
            <w:pPr>
              <w:pStyle w:val="Box"/>
            </w:pPr>
            <w:r w:rsidRPr="00431677">
              <w:t>Data quality information for this indicator</w:t>
            </w:r>
            <w:r w:rsidR="00DA507A">
              <w:t xml:space="preserve"> is at www.pc.gov.au</w:t>
            </w:r>
            <w:r w:rsidR="00992CC1">
              <w:t>/rogs/2015</w:t>
            </w:r>
            <w:r w:rsidRPr="00431677">
              <w:t>.</w:t>
            </w:r>
          </w:p>
        </w:tc>
      </w:tr>
      <w:tr w:rsidR="00E9599A" w:rsidTr="00E9599A">
        <w:trPr>
          <w:cantSplit/>
        </w:trPr>
        <w:tc>
          <w:tcPr>
            <w:tcW w:w="8771" w:type="dxa"/>
            <w:tcBorders>
              <w:top w:val="nil"/>
              <w:left w:val="nil"/>
              <w:bottom w:val="single" w:sz="6" w:space="0" w:color="78A22F"/>
              <w:right w:val="nil"/>
            </w:tcBorders>
            <w:shd w:val="clear" w:color="auto" w:fill="F2F2F2" w:themeFill="background1" w:themeFillShade="F2"/>
          </w:tcPr>
          <w:p w:rsidR="00E9599A" w:rsidRDefault="00E9599A">
            <w:pPr>
              <w:pStyle w:val="Box"/>
              <w:spacing w:before="0" w:line="120" w:lineRule="exact"/>
            </w:pPr>
          </w:p>
        </w:tc>
      </w:tr>
      <w:tr w:rsidR="00E9599A" w:rsidRPr="000863A5" w:rsidTr="00E9599A">
        <w:tc>
          <w:tcPr>
            <w:tcW w:w="8771" w:type="dxa"/>
            <w:tcBorders>
              <w:top w:val="single" w:sz="6" w:space="0" w:color="78A22F"/>
              <w:left w:val="nil"/>
              <w:bottom w:val="nil"/>
              <w:right w:val="nil"/>
            </w:tcBorders>
          </w:tcPr>
          <w:p w:rsidR="00E9599A" w:rsidRPr="00626D32" w:rsidRDefault="00E9599A" w:rsidP="00E9599A">
            <w:pPr>
              <w:pStyle w:val="BoxSpaceBelow"/>
            </w:pPr>
          </w:p>
        </w:tc>
      </w:tr>
    </w:tbl>
    <w:p w:rsidR="003E6EDB" w:rsidRDefault="003E6EDB" w:rsidP="00A90E73">
      <w:pPr>
        <w:pStyle w:val="BodyText"/>
      </w:pPr>
      <w:r>
        <w:t>Ambulance services aim to control pain to a comfortable level for all patients (or in selected cases aim for the abolition of pain). This may be achieved by providing out</w:t>
      </w:r>
      <w:r>
        <w:noBreakHyphen/>
        <w:t>of</w:t>
      </w:r>
      <w:r>
        <w:noBreakHyphen/>
        <w:t xml:space="preserve">hospital treatment and care to the injury or illness, the use of pain relief medications (analgesics), or a combination of the two. In </w:t>
      </w:r>
      <w:r w:rsidR="00FA5D77">
        <w:t>2013</w:t>
      </w:r>
      <w:r w:rsidR="0026487F">
        <w:noBreakHyphen/>
      </w:r>
      <w:r w:rsidR="00FA5D77">
        <w:t>14</w:t>
      </w:r>
      <w:r>
        <w:t xml:space="preserve">, across the jurisdictions for which data are available, </w:t>
      </w:r>
      <w:r w:rsidR="00F25EAF" w:rsidRPr="00607C97">
        <w:t>87.7</w:t>
      </w:r>
      <w:r w:rsidRPr="00607C97">
        <w:t xml:space="preserve"> per cent </w:t>
      </w:r>
      <w:r>
        <w:t>of patients who initially reported severe pain to an ambulance service (a pain score of 7 or above on the Numeric Rating Scale), reported clinically meaningful pain reduction at the end of the service</w:t>
      </w:r>
      <w:r w:rsidR="0012243C">
        <w:t xml:space="preserve"> </w:t>
      </w:r>
      <w:r w:rsidR="002F0A85">
        <w:t xml:space="preserve">(figure </w:t>
      </w:r>
      <w:r w:rsidR="00970353">
        <w:t>9.34</w:t>
      </w:r>
      <w:r w:rsidR="002F0A85">
        <w:t>)</w:t>
      </w:r>
      <w:r>
        <w:t xml:space="preserve">. </w:t>
      </w:r>
    </w:p>
    <w:p w:rsidR="00E9599A" w:rsidRDefault="00E9599A" w:rsidP="00E959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9599A" w:rsidTr="00E9599A">
        <w:tc>
          <w:tcPr>
            <w:tcW w:w="8771" w:type="dxa"/>
            <w:tcBorders>
              <w:top w:val="single" w:sz="6" w:space="0" w:color="78A22F"/>
              <w:left w:val="nil"/>
              <w:bottom w:val="nil"/>
              <w:right w:val="nil"/>
            </w:tcBorders>
            <w:shd w:val="clear" w:color="auto" w:fill="auto"/>
          </w:tcPr>
          <w:p w:rsidR="00E9599A" w:rsidRPr="00176D3F" w:rsidRDefault="00E9599A" w:rsidP="00E4236F">
            <w:pPr>
              <w:pStyle w:val="FigureTitle"/>
            </w:pPr>
            <w:r w:rsidRPr="00784A05">
              <w:rPr>
                <w:b w:val="0"/>
              </w:rPr>
              <w:t xml:space="preserve">Figure </w:t>
            </w:r>
            <w:bookmarkStart w:id="123" w:name="OLE_LINK65"/>
            <w:r w:rsidR="008C1F96">
              <w:rPr>
                <w:b w:val="0"/>
              </w:rPr>
              <w:t>9.</w:t>
            </w:r>
            <w:r w:rsidR="00D52162">
              <w:rPr>
                <w:b w:val="0"/>
                <w:noProof/>
              </w:rPr>
              <w:t>34</w:t>
            </w:r>
            <w:bookmarkEnd w:id="123"/>
            <w:r>
              <w:tab/>
            </w:r>
            <w:r w:rsidRPr="00C54571">
              <w:t>Patients who report a clinically meaningful pain reduction</w:t>
            </w:r>
            <w:r>
              <w:t xml:space="preserve">, </w:t>
            </w:r>
            <w:r w:rsidR="00FA5D77">
              <w:t>2013</w:t>
            </w:r>
            <w:r w:rsidR="0026487F">
              <w:noBreakHyphen/>
            </w:r>
            <w:r w:rsidR="00FA5D77">
              <w:t>14</w:t>
            </w:r>
            <w:r w:rsidR="00064A50">
              <w:rPr>
                <w:vertAlign w:val="superscript"/>
              </w:rPr>
              <w:t>a, b, c</w:t>
            </w:r>
            <w:r w:rsidR="00E4236F">
              <w:rPr>
                <w:vertAlign w:val="superscript"/>
              </w:rPr>
              <w:t>, d</w:t>
            </w:r>
          </w:p>
        </w:tc>
      </w:tr>
      <w:tr w:rsidR="00E9599A" w:rsidTr="00607C97">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E9599A" w:rsidTr="00677D4D">
              <w:tc>
                <w:tcPr>
                  <w:tcW w:w="5000" w:type="pct"/>
                  <w:tcBorders>
                    <w:top w:val="nil"/>
                    <w:bottom w:val="nil"/>
                  </w:tcBorders>
                </w:tcPr>
                <w:p w:rsidR="00E9599A" w:rsidRDefault="00F82339" w:rsidP="00E9599A">
                  <w:pPr>
                    <w:pStyle w:val="Figure"/>
                    <w:spacing w:before="60" w:after="60"/>
                  </w:pPr>
                  <w:r>
                    <w:rPr>
                      <w:noProof/>
                    </w:rPr>
                    <w:drawing>
                      <wp:inline distT="0" distB="0" distL="0" distR="0" wp14:anchorId="7B6A44BF" wp14:editId="36DC4E92">
                        <wp:extent cx="5405755" cy="2707640"/>
                        <wp:effectExtent l="0" t="0" r="4445" b="0"/>
                        <wp:docPr id="39" name="Picture 39" descr="Figure 9.34 Patients who report a clinically meaningful pain reduction, 2013-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E9599A" w:rsidRDefault="00E9599A" w:rsidP="00E9599A">
            <w:pPr>
              <w:pStyle w:val="Figure"/>
            </w:pPr>
          </w:p>
        </w:tc>
      </w:tr>
      <w:tr w:rsidR="00E9599A" w:rsidRPr="00176D3F" w:rsidTr="00E9599A">
        <w:tc>
          <w:tcPr>
            <w:tcW w:w="8771" w:type="dxa"/>
            <w:tcBorders>
              <w:top w:val="nil"/>
              <w:left w:val="nil"/>
              <w:bottom w:val="nil"/>
              <w:right w:val="nil"/>
            </w:tcBorders>
            <w:shd w:val="clear" w:color="auto" w:fill="auto"/>
          </w:tcPr>
          <w:p w:rsidR="00E9599A" w:rsidRPr="00176D3F" w:rsidRDefault="00E9599A" w:rsidP="008163E2">
            <w:pPr>
              <w:pStyle w:val="Note"/>
            </w:pPr>
            <w:r>
              <w:rPr>
                <w:rStyle w:val="NoteLabel"/>
              </w:rPr>
              <w:t>a</w:t>
            </w:r>
            <w:r w:rsidR="00064A50">
              <w:t> </w:t>
            </w:r>
            <w:r>
              <w:t xml:space="preserve">Qld: For cardiac patients analgesia includes </w:t>
            </w:r>
            <w:proofErr w:type="spellStart"/>
            <w:r>
              <w:t>Glyceryl</w:t>
            </w:r>
            <w:proofErr w:type="spellEnd"/>
            <w:r>
              <w:t xml:space="preserve"> trinitrate and Morphine. For trauma and </w:t>
            </w:r>
            <w:r w:rsidRPr="007601FD">
              <w:t>non</w:t>
            </w:r>
            <w:r>
              <w:noBreakHyphen/>
              <w:t xml:space="preserve">specified aetiology patients analgesia includes Morphine, Ketamine, Fentanyl and </w:t>
            </w:r>
            <w:proofErr w:type="spellStart"/>
            <w:r>
              <w:t>Methoxyflurane</w:t>
            </w:r>
            <w:proofErr w:type="spellEnd"/>
            <w:r>
              <w:t xml:space="preserve">. </w:t>
            </w:r>
            <w:r w:rsidR="00064A50">
              <w:rPr>
                <w:rStyle w:val="NoteLabel"/>
              </w:rPr>
              <w:t>b</w:t>
            </w:r>
            <w:r>
              <w:rPr>
                <w:rStyle w:val="NoteLabel"/>
              </w:rPr>
              <w:t> </w:t>
            </w:r>
            <w:r>
              <w:t xml:space="preserve">WA: Where the date of birth of the patient is not recorded/missing, the case is excluded. </w:t>
            </w:r>
            <w:r w:rsidR="00064A50">
              <w:rPr>
                <w:rStyle w:val="NoteLabel"/>
              </w:rPr>
              <w:t>c</w:t>
            </w:r>
            <w:r>
              <w:rPr>
                <w:rStyle w:val="NoteLabel"/>
              </w:rPr>
              <w:t> </w:t>
            </w:r>
            <w:r w:rsidR="00E4236F" w:rsidRPr="00607C97">
              <w:t>2012–13 d</w:t>
            </w:r>
            <w:r w:rsidRPr="00607C97">
              <w:t>ata are not available for the ACT and the NT.</w:t>
            </w:r>
            <w:r w:rsidR="00E4236F" w:rsidRPr="00607C97">
              <w:t xml:space="preserve"> Australian total excludes the ACT and the NT.</w:t>
            </w:r>
            <w:r w:rsidR="00E4236F">
              <w:t xml:space="preserve"> </w:t>
            </w:r>
            <w:r w:rsidR="00E4236F">
              <w:rPr>
                <w:rStyle w:val="NoteLabel"/>
              </w:rPr>
              <w:t>d </w:t>
            </w:r>
            <w:r w:rsidR="00EC7BE9" w:rsidRPr="00446594">
              <w:t>NT: 2</w:t>
            </w:r>
            <w:r w:rsidR="00E4236F" w:rsidRPr="00446594">
              <w:t>013</w:t>
            </w:r>
            <w:r w:rsidR="00E4236F" w:rsidRPr="00446594">
              <w:noBreakHyphen/>
              <w:t xml:space="preserve">14 data are not available </w:t>
            </w:r>
            <w:r w:rsidR="00EC7BE9" w:rsidRPr="00446594">
              <w:t>due to the protected industrial action</w:t>
            </w:r>
            <w:r w:rsidR="00E4236F" w:rsidRPr="00446594">
              <w:t>.</w:t>
            </w:r>
            <w:r>
              <w:t xml:space="preserve"> </w:t>
            </w:r>
            <w:r w:rsidR="00E4236F" w:rsidRPr="007601FD">
              <w:t>Australian total excludes the NT.</w:t>
            </w:r>
          </w:p>
        </w:tc>
      </w:tr>
      <w:tr w:rsidR="00E9599A" w:rsidRPr="00176D3F" w:rsidTr="00E9599A">
        <w:tc>
          <w:tcPr>
            <w:tcW w:w="8771" w:type="dxa"/>
            <w:tcBorders>
              <w:top w:val="nil"/>
              <w:left w:val="nil"/>
              <w:bottom w:val="nil"/>
              <w:right w:val="nil"/>
            </w:tcBorders>
            <w:shd w:val="clear" w:color="auto" w:fill="auto"/>
          </w:tcPr>
          <w:p w:rsidR="00E9599A" w:rsidRPr="00176D3F" w:rsidRDefault="00E9599A" w:rsidP="00E9599A">
            <w:pPr>
              <w:pStyle w:val="Source"/>
            </w:pPr>
            <w:r w:rsidRPr="00C47E65">
              <w:rPr>
                <w:i/>
              </w:rPr>
              <w:t>Source</w:t>
            </w:r>
            <w:r w:rsidRPr="00C47E65">
              <w:t>: State and Territory governments (unpublished); table</w:t>
            </w:r>
            <w:r>
              <w:t> </w:t>
            </w:r>
            <w:r w:rsidRPr="00C47E65">
              <w:t>9A.42.</w:t>
            </w:r>
          </w:p>
        </w:tc>
      </w:tr>
      <w:tr w:rsidR="00E9599A" w:rsidTr="00E9599A">
        <w:tc>
          <w:tcPr>
            <w:tcW w:w="8771" w:type="dxa"/>
            <w:tcBorders>
              <w:top w:val="nil"/>
              <w:left w:val="nil"/>
              <w:bottom w:val="single" w:sz="6" w:space="0" w:color="78A22F"/>
              <w:right w:val="nil"/>
            </w:tcBorders>
            <w:shd w:val="clear" w:color="auto" w:fill="auto"/>
          </w:tcPr>
          <w:p w:rsidR="00E9599A" w:rsidRDefault="00E9599A" w:rsidP="00E9599A">
            <w:pPr>
              <w:pStyle w:val="Figurespace"/>
            </w:pPr>
          </w:p>
        </w:tc>
      </w:tr>
      <w:tr w:rsidR="00E9599A" w:rsidRPr="000863A5" w:rsidTr="00E9599A">
        <w:tc>
          <w:tcPr>
            <w:tcW w:w="8771" w:type="dxa"/>
            <w:tcBorders>
              <w:top w:val="single" w:sz="6" w:space="0" w:color="78A22F"/>
              <w:left w:val="nil"/>
              <w:bottom w:val="nil"/>
              <w:right w:val="nil"/>
            </w:tcBorders>
          </w:tcPr>
          <w:p w:rsidR="00E9599A" w:rsidRPr="00626D32" w:rsidRDefault="00E9599A" w:rsidP="00E9599A">
            <w:pPr>
              <w:pStyle w:val="BoxSpaceBelow"/>
            </w:pPr>
          </w:p>
        </w:tc>
      </w:tr>
    </w:tbl>
    <w:p w:rsidR="00986A8B" w:rsidRPr="00F026F6" w:rsidRDefault="00986A8B" w:rsidP="0055329F">
      <w:pPr>
        <w:pStyle w:val="Heading5"/>
      </w:pPr>
      <w:r w:rsidRPr="00F026F6">
        <w:t>Level of patient satisfaction</w:t>
      </w:r>
    </w:p>
    <w:p w:rsidR="00986A8B" w:rsidRDefault="00986A8B" w:rsidP="00986A8B">
      <w:pPr>
        <w:pStyle w:val="BodyText"/>
      </w:pPr>
      <w:r w:rsidRPr="00F026F6">
        <w:t xml:space="preserve">‘Level of patient satisfaction’ is an indicator of governments’ objective </w:t>
      </w:r>
      <w:r w:rsidR="00F43F2A" w:rsidRPr="00F026F6">
        <w:t>of providing pre</w:t>
      </w:r>
      <w:r w:rsidR="00243CD6">
        <w:noBreakHyphen/>
      </w:r>
      <w:r w:rsidR="00F43F2A" w:rsidRPr="00F026F6">
        <w:t>hospital and out</w:t>
      </w:r>
      <w:r w:rsidR="00243CD6">
        <w:noBreakHyphen/>
      </w:r>
      <w:r w:rsidR="00F43F2A" w:rsidRPr="00F026F6">
        <w:t>of</w:t>
      </w:r>
      <w:r w:rsidR="00243CD6">
        <w:noBreakHyphen/>
      </w:r>
      <w:r w:rsidR="00F43F2A" w:rsidRPr="00F026F6">
        <w:t>hospital care and patient transport services, that are high quality, timely, and meet clients’ needs through delivery of coordinated and responsive health care</w:t>
      </w:r>
      <w:r w:rsidRPr="00F026F6">
        <w:t xml:space="preserve"> (box </w:t>
      </w:r>
      <w:r w:rsidR="00800D6F">
        <w:t>9.34</w:t>
      </w:r>
      <w:r w:rsidRPr="00F026F6">
        <w:t xml:space="preserve">). </w:t>
      </w:r>
    </w:p>
    <w:p w:rsidR="00E9599A" w:rsidRDefault="00E959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9599A" w:rsidTr="00E9599A">
        <w:tc>
          <w:tcPr>
            <w:tcW w:w="8771" w:type="dxa"/>
            <w:tcBorders>
              <w:top w:val="single" w:sz="6" w:space="0" w:color="78A22F"/>
              <w:left w:val="nil"/>
              <w:bottom w:val="nil"/>
              <w:right w:val="nil"/>
            </w:tcBorders>
            <w:shd w:val="clear" w:color="auto" w:fill="F2F2F2" w:themeFill="background1" w:themeFillShade="F2"/>
          </w:tcPr>
          <w:p w:rsidR="00E9599A" w:rsidRDefault="00E9599A" w:rsidP="00E9599A">
            <w:pPr>
              <w:pStyle w:val="BoxTitle"/>
            </w:pPr>
            <w:r>
              <w:rPr>
                <w:b w:val="0"/>
              </w:rPr>
              <w:t xml:space="preserve">Box </w:t>
            </w:r>
            <w:bookmarkStart w:id="124" w:name="OLE_LINK66"/>
            <w:r w:rsidR="008C1F96">
              <w:rPr>
                <w:b w:val="0"/>
              </w:rPr>
              <w:t>9.</w:t>
            </w:r>
            <w:r w:rsidR="00D52162">
              <w:rPr>
                <w:b w:val="0"/>
                <w:noProof/>
              </w:rPr>
              <w:t>34</w:t>
            </w:r>
            <w:bookmarkEnd w:id="124"/>
            <w:r>
              <w:tab/>
            </w:r>
            <w:r w:rsidRPr="00F026F6">
              <w:t>Level of patient satisfaction</w:t>
            </w:r>
          </w:p>
        </w:tc>
      </w:tr>
      <w:tr w:rsidR="00E9599A" w:rsidTr="00E9599A">
        <w:trPr>
          <w:cantSplit/>
        </w:trPr>
        <w:tc>
          <w:tcPr>
            <w:tcW w:w="8771" w:type="dxa"/>
            <w:tcBorders>
              <w:top w:val="nil"/>
              <w:left w:val="nil"/>
              <w:bottom w:val="nil"/>
              <w:right w:val="nil"/>
            </w:tcBorders>
            <w:shd w:val="clear" w:color="auto" w:fill="F2F2F2" w:themeFill="background1" w:themeFillShade="F2"/>
          </w:tcPr>
          <w:p w:rsidR="00E9599A" w:rsidRPr="002605A8" w:rsidRDefault="00E9599A" w:rsidP="00E9599A">
            <w:pPr>
              <w:pStyle w:val="Box"/>
            </w:pPr>
            <w:r w:rsidRPr="002605A8">
              <w:t xml:space="preserve">‘Level of patient satisfaction’ is defined as the total number of patients who were either ‘satisfied’ or ‘very satisfied’ with ambulance services they had received in the previous 12 months, divided by the total number of patients that responded to the </w:t>
            </w:r>
            <w:r w:rsidRPr="002605A8">
              <w:rPr>
                <w:i/>
              </w:rPr>
              <w:t>National Patient Satisfaction Survey</w:t>
            </w:r>
            <w:r w:rsidRPr="002605A8">
              <w:t xml:space="preserve"> (CAA 2013).</w:t>
            </w:r>
          </w:p>
          <w:p w:rsidR="00E9599A" w:rsidRPr="002605A8" w:rsidRDefault="00E9599A" w:rsidP="00E9599A">
            <w:pPr>
              <w:pStyle w:val="Box"/>
            </w:pPr>
            <w:r w:rsidRPr="002605A8">
              <w:t>A higher level or increase in the proportion of patients who were either ‘satisfied’ or ‘very satisfied’ suggests greater success in meeting patient needs.</w:t>
            </w:r>
          </w:p>
          <w:p w:rsidR="00E9599A" w:rsidRPr="002605A8" w:rsidRDefault="00E9599A" w:rsidP="00E9599A">
            <w:pPr>
              <w:pStyle w:val="Box"/>
              <w:keepNext w:val="0"/>
              <w:ind w:right="-138"/>
            </w:pPr>
            <w:r w:rsidRPr="002605A8">
              <w:t>Data for these measures are:</w:t>
            </w:r>
          </w:p>
          <w:p w:rsidR="00E9599A" w:rsidRPr="002605A8" w:rsidRDefault="00E9599A" w:rsidP="00E9599A">
            <w:pPr>
              <w:pStyle w:val="BoxListBullet"/>
            </w:pPr>
            <w:r w:rsidRPr="002605A8">
              <w:t>comparable (subject to caveats) across jurisdictions and over time</w:t>
            </w:r>
          </w:p>
          <w:p w:rsidR="00E9599A" w:rsidRPr="002605A8" w:rsidRDefault="00E9599A" w:rsidP="00E9599A">
            <w:pPr>
              <w:pStyle w:val="BoxListBullet"/>
            </w:pPr>
            <w:r>
              <w:t>complete (subject to caveats) for the current reporting period</w:t>
            </w:r>
            <w:r w:rsidRPr="002605A8">
              <w:t xml:space="preserve">. All required </w:t>
            </w:r>
            <w:r w:rsidR="00FA5D77">
              <w:t>2013</w:t>
            </w:r>
            <w:r w:rsidR="0026487F">
              <w:noBreakHyphen/>
            </w:r>
            <w:r w:rsidR="00FA5D77">
              <w:t>14</w:t>
            </w:r>
            <w:r w:rsidRPr="002605A8">
              <w:t xml:space="preserve"> data are available for all jurisdictions.</w:t>
            </w:r>
          </w:p>
          <w:p w:rsidR="00E9599A" w:rsidRPr="002605A8" w:rsidRDefault="00E9599A" w:rsidP="00E9599A">
            <w:pPr>
              <w:pStyle w:val="Box"/>
            </w:pPr>
            <w:r w:rsidRPr="002605A8">
              <w:t>Data quality information for this indicator</w:t>
            </w:r>
            <w:r w:rsidR="00DA507A">
              <w:t xml:space="preserve"> is at www.pc.gov.au</w:t>
            </w:r>
            <w:r w:rsidR="00992CC1">
              <w:t>/rogs/2015</w:t>
            </w:r>
            <w:r w:rsidRPr="002605A8">
              <w:t>.</w:t>
            </w:r>
          </w:p>
        </w:tc>
      </w:tr>
      <w:tr w:rsidR="00E9599A" w:rsidTr="00E9599A">
        <w:trPr>
          <w:cantSplit/>
        </w:trPr>
        <w:tc>
          <w:tcPr>
            <w:tcW w:w="8771" w:type="dxa"/>
            <w:tcBorders>
              <w:top w:val="nil"/>
              <w:left w:val="nil"/>
              <w:bottom w:val="single" w:sz="6" w:space="0" w:color="78A22F"/>
              <w:right w:val="nil"/>
            </w:tcBorders>
            <w:shd w:val="clear" w:color="auto" w:fill="F2F2F2" w:themeFill="background1" w:themeFillShade="F2"/>
          </w:tcPr>
          <w:p w:rsidR="00E9599A" w:rsidRDefault="00E9599A">
            <w:pPr>
              <w:pStyle w:val="Box"/>
              <w:spacing w:before="0" w:line="120" w:lineRule="exact"/>
            </w:pPr>
          </w:p>
        </w:tc>
      </w:tr>
      <w:tr w:rsidR="00E9599A" w:rsidRPr="000863A5" w:rsidTr="00E9599A">
        <w:tc>
          <w:tcPr>
            <w:tcW w:w="8771" w:type="dxa"/>
            <w:tcBorders>
              <w:top w:val="single" w:sz="6" w:space="0" w:color="78A22F"/>
              <w:left w:val="nil"/>
              <w:bottom w:val="nil"/>
              <w:right w:val="nil"/>
            </w:tcBorders>
          </w:tcPr>
          <w:p w:rsidR="00E9599A" w:rsidRPr="00626D32" w:rsidRDefault="00E9599A" w:rsidP="00E9599A">
            <w:pPr>
              <w:pStyle w:val="BoxSpaceBelow"/>
            </w:pPr>
          </w:p>
        </w:tc>
      </w:tr>
    </w:tbl>
    <w:p w:rsidR="0047408A" w:rsidRDefault="00DE590C" w:rsidP="00F026F6">
      <w:pPr>
        <w:pStyle w:val="BodyText"/>
      </w:pPr>
      <w:r>
        <w:t>Nationally in 201</w:t>
      </w:r>
      <w:r w:rsidR="00AB705F">
        <w:t>4</w:t>
      </w:r>
      <w:r>
        <w:t>, 98</w:t>
      </w:r>
      <w:r w:rsidR="00FD475A">
        <w:t xml:space="preserve"> </w:t>
      </w:r>
      <w:r>
        <w:t>per</w:t>
      </w:r>
      <w:r w:rsidR="00FD475A">
        <w:t xml:space="preserve"> </w:t>
      </w:r>
      <w:r>
        <w:t>cent of patients indicated that they were satisfied or very satisfied with the ambulance</w:t>
      </w:r>
      <w:r w:rsidR="00E4236F">
        <w:t xml:space="preserve"> services </w:t>
      </w:r>
      <w:r w:rsidR="000D2243">
        <w:t>received</w:t>
      </w:r>
      <w:r>
        <w:t xml:space="preserve">, with no statistically significant differences across jurisdictions. </w:t>
      </w:r>
      <w:r w:rsidR="0047408A" w:rsidRPr="0054109B">
        <w:t>Similarly, there are small differences across jurisdictions for particular aspects of the ambulance service (figure </w:t>
      </w:r>
      <w:r w:rsidR="00970353">
        <w:t>9.35</w:t>
      </w:r>
      <w:r w:rsidR="0047408A" w:rsidRPr="0054109B">
        <w:t>).</w:t>
      </w:r>
      <w:r w:rsidR="00064A50" w:rsidRPr="00064A50">
        <w:t xml:space="preserve"> </w:t>
      </w:r>
      <w:r w:rsidR="00064A50">
        <w:t>Over ten years, t</w:t>
      </w:r>
      <w:r w:rsidR="00064A50" w:rsidRPr="0054109B">
        <w:t>he estimated overall satisfaction levels for ambulance patients were similar across all jurisdictions</w:t>
      </w:r>
      <w:r w:rsidR="00064A50">
        <w:t xml:space="preserve"> (table 9A.43).</w:t>
      </w:r>
    </w:p>
    <w:p w:rsidR="00E9599A" w:rsidRDefault="00E9599A" w:rsidP="00E959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9599A" w:rsidTr="00E9599A">
        <w:tc>
          <w:tcPr>
            <w:tcW w:w="8771" w:type="dxa"/>
            <w:tcBorders>
              <w:top w:val="single" w:sz="6" w:space="0" w:color="78A22F"/>
              <w:left w:val="nil"/>
              <w:bottom w:val="nil"/>
              <w:right w:val="nil"/>
            </w:tcBorders>
            <w:shd w:val="clear" w:color="auto" w:fill="auto"/>
          </w:tcPr>
          <w:p w:rsidR="00E9599A" w:rsidRPr="00176D3F" w:rsidRDefault="00E9599A" w:rsidP="00DD14B6">
            <w:pPr>
              <w:pStyle w:val="FigureTitle"/>
            </w:pPr>
            <w:r w:rsidRPr="00784A05">
              <w:rPr>
                <w:b w:val="0"/>
              </w:rPr>
              <w:t xml:space="preserve">Figure </w:t>
            </w:r>
            <w:bookmarkStart w:id="125" w:name="OLE_LINK67"/>
            <w:r w:rsidR="008C1F96">
              <w:rPr>
                <w:b w:val="0"/>
              </w:rPr>
              <w:t>9.</w:t>
            </w:r>
            <w:r w:rsidR="00D52162">
              <w:rPr>
                <w:b w:val="0"/>
                <w:noProof/>
              </w:rPr>
              <w:t>35</w:t>
            </w:r>
            <w:bookmarkEnd w:id="125"/>
            <w:r>
              <w:tab/>
            </w:r>
            <w:r w:rsidRPr="002605A8">
              <w:t>Proportion of ambulance users who were satisfied or very satisfied with the ambulance service, 201</w:t>
            </w:r>
            <w:r w:rsidR="00DD14B6">
              <w:t>4</w:t>
            </w:r>
            <w:r w:rsidRPr="002605A8">
              <w:rPr>
                <w:rStyle w:val="NoteLabel"/>
                <w:b/>
              </w:rPr>
              <w:t>a</w:t>
            </w:r>
          </w:p>
        </w:tc>
      </w:tr>
      <w:tr w:rsidR="00E9599A" w:rsidTr="00E9599A">
        <w:tc>
          <w:tcPr>
            <w:tcW w:w="8771" w:type="dxa"/>
            <w:tcBorders>
              <w:top w:val="nil"/>
              <w:left w:val="nil"/>
              <w:bottom w:val="nil"/>
              <w:right w:val="nil"/>
            </w:tcBorders>
            <w:shd w:val="clear" w:color="auto" w:fill="auto"/>
            <w:tcMar>
              <w:top w:w="28" w:type="dxa"/>
              <w:bottom w:w="28" w:type="dxa"/>
            </w:tcMar>
          </w:tcPr>
          <w:tbl>
            <w:tblPr>
              <w:tblW w:w="8510" w:type="dxa"/>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10"/>
            </w:tblGrid>
            <w:tr w:rsidR="00E9599A" w:rsidTr="00677D4D">
              <w:tc>
                <w:tcPr>
                  <w:tcW w:w="5000" w:type="pct"/>
                  <w:tcBorders>
                    <w:top w:val="nil"/>
                    <w:bottom w:val="nil"/>
                  </w:tcBorders>
                </w:tcPr>
                <w:p w:rsidR="00E9599A" w:rsidRDefault="00F82339" w:rsidP="00E9599A">
                  <w:pPr>
                    <w:pStyle w:val="Figure"/>
                    <w:spacing w:before="60" w:after="60"/>
                  </w:pPr>
                  <w:r>
                    <w:rPr>
                      <w:noProof/>
                    </w:rPr>
                    <w:drawing>
                      <wp:inline distT="0" distB="0" distL="0" distR="0" wp14:anchorId="17C8345B" wp14:editId="768D415A">
                        <wp:extent cx="5405755" cy="2707640"/>
                        <wp:effectExtent l="0" t="0" r="4445" b="0"/>
                        <wp:docPr id="40" name="Picture 40" descr="Figure 9.35 Proportion of ambulance users who were satisfied or very satisfied with the ambulance service, 2014&#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405755" cy="2707640"/>
                                </a:xfrm>
                                <a:prstGeom prst="rect">
                                  <a:avLst/>
                                </a:prstGeom>
                                <a:noFill/>
                                <a:ln>
                                  <a:noFill/>
                                </a:ln>
                              </pic:spPr>
                            </pic:pic>
                          </a:graphicData>
                        </a:graphic>
                      </wp:inline>
                    </w:drawing>
                  </w:r>
                </w:p>
              </w:tc>
            </w:tr>
          </w:tbl>
          <w:p w:rsidR="00E9599A" w:rsidRDefault="00E9599A" w:rsidP="00E9599A">
            <w:pPr>
              <w:pStyle w:val="Figure"/>
            </w:pPr>
          </w:p>
        </w:tc>
      </w:tr>
      <w:tr w:rsidR="00E9599A" w:rsidRPr="00176D3F" w:rsidTr="00E9599A">
        <w:tc>
          <w:tcPr>
            <w:tcW w:w="8771" w:type="dxa"/>
            <w:tcBorders>
              <w:top w:val="nil"/>
              <w:left w:val="nil"/>
              <w:bottom w:val="nil"/>
              <w:right w:val="nil"/>
            </w:tcBorders>
            <w:shd w:val="clear" w:color="auto" w:fill="auto"/>
          </w:tcPr>
          <w:p w:rsidR="00E9599A" w:rsidRPr="00176D3F" w:rsidRDefault="00E9599A" w:rsidP="00E9599A">
            <w:pPr>
              <w:pStyle w:val="Note"/>
            </w:pPr>
            <w:r w:rsidRPr="002605A8">
              <w:rPr>
                <w:rStyle w:val="NoteLabel"/>
              </w:rPr>
              <w:t>a</w:t>
            </w:r>
            <w:r w:rsidRPr="002605A8">
              <w:t> Based on a survey of people who used an ambulance service in the previous 12 months. Jurisdictions conducted the surveys at various times during each year. Standard errors for the 95 per cent confidence interval for overall patient satisfaction are included.</w:t>
            </w:r>
          </w:p>
        </w:tc>
      </w:tr>
      <w:tr w:rsidR="00E9599A" w:rsidRPr="00176D3F" w:rsidTr="00E9599A">
        <w:tc>
          <w:tcPr>
            <w:tcW w:w="8771" w:type="dxa"/>
            <w:tcBorders>
              <w:top w:val="nil"/>
              <w:left w:val="nil"/>
              <w:bottom w:val="nil"/>
              <w:right w:val="nil"/>
            </w:tcBorders>
            <w:shd w:val="clear" w:color="auto" w:fill="auto"/>
          </w:tcPr>
          <w:p w:rsidR="00E9599A" w:rsidRPr="00176D3F" w:rsidRDefault="00E9599A" w:rsidP="00E9599A">
            <w:pPr>
              <w:pStyle w:val="Source"/>
            </w:pPr>
            <w:r w:rsidRPr="002605A8">
              <w:rPr>
                <w:i/>
              </w:rPr>
              <w:t>Source</w:t>
            </w:r>
            <w:r w:rsidRPr="002605A8">
              <w:t xml:space="preserve">: CAA </w:t>
            </w:r>
            <w:r>
              <w:t xml:space="preserve">2013, </w:t>
            </w:r>
            <w:r w:rsidRPr="00183A10">
              <w:rPr>
                <w:i/>
              </w:rPr>
              <w:t>Council of Ambulance Authorities Patient Satisfaction Survey 2013</w:t>
            </w:r>
            <w:r w:rsidRPr="002605A8">
              <w:t>; table </w:t>
            </w:r>
            <w:r>
              <w:t>9A.43</w:t>
            </w:r>
            <w:r w:rsidRPr="002605A8">
              <w:t>.</w:t>
            </w:r>
          </w:p>
        </w:tc>
      </w:tr>
      <w:tr w:rsidR="00E9599A" w:rsidTr="00E9599A">
        <w:tc>
          <w:tcPr>
            <w:tcW w:w="8771" w:type="dxa"/>
            <w:tcBorders>
              <w:top w:val="nil"/>
              <w:left w:val="nil"/>
              <w:bottom w:val="single" w:sz="6" w:space="0" w:color="78A22F"/>
              <w:right w:val="nil"/>
            </w:tcBorders>
            <w:shd w:val="clear" w:color="auto" w:fill="auto"/>
          </w:tcPr>
          <w:p w:rsidR="00E9599A" w:rsidRDefault="00E9599A" w:rsidP="00E9599A">
            <w:pPr>
              <w:pStyle w:val="Figurespace"/>
              <w:keepNext w:val="0"/>
            </w:pPr>
          </w:p>
        </w:tc>
      </w:tr>
    </w:tbl>
    <w:p w:rsidR="00986A8B" w:rsidRPr="002605A8" w:rsidRDefault="008C1F96" w:rsidP="00986A8B">
      <w:pPr>
        <w:pStyle w:val="Heading2"/>
      </w:pPr>
      <w:bookmarkStart w:id="126" w:name="_Toc370724857"/>
      <w:r>
        <w:lastRenderedPageBreak/>
        <w:t>9.</w:t>
      </w:r>
      <w:r w:rsidR="00D52162">
        <w:rPr>
          <w:noProof/>
        </w:rPr>
        <w:t>7</w:t>
      </w:r>
      <w:r w:rsidR="00986A8B" w:rsidRPr="002605A8">
        <w:tab/>
        <w:t>Future directions in performance reporting</w:t>
      </w:r>
      <w:bookmarkEnd w:id="126"/>
    </w:p>
    <w:p w:rsidR="00986A8B" w:rsidRPr="002605A8" w:rsidRDefault="00986A8B" w:rsidP="00986A8B">
      <w:pPr>
        <w:pStyle w:val="BodyText"/>
      </w:pPr>
      <w:r w:rsidRPr="002605A8">
        <w:t xml:space="preserve">A number of developments are underway to improve the comparability and accuracy of data, and to expand the scope of reporting on emergency services. Performance indicators for fire and ambulance services are being improved with the assistance of the </w:t>
      </w:r>
      <w:r w:rsidR="0006250D" w:rsidRPr="002605A8">
        <w:t>Australasian Fire and Emergency Service Authorities Council</w:t>
      </w:r>
      <w:r w:rsidRPr="002605A8">
        <w:t>, the Australian Council of State Emergency Services and the CAA.</w:t>
      </w:r>
    </w:p>
    <w:p w:rsidR="00986A8B" w:rsidRPr="002605A8" w:rsidRDefault="00986A8B" w:rsidP="00986A8B">
      <w:pPr>
        <w:pStyle w:val="Heading3"/>
        <w:spacing w:before="480"/>
      </w:pPr>
      <w:r w:rsidRPr="002605A8">
        <w:t>Fire events</w:t>
      </w:r>
    </w:p>
    <w:p w:rsidR="008F5D0B" w:rsidRDefault="008F5D0B" w:rsidP="00446594">
      <w:pPr>
        <w:pStyle w:val="Heading4"/>
      </w:pPr>
      <w:r>
        <w:rPr>
          <w:lang w:val="en"/>
        </w:rPr>
        <w:t>Review of performance data for fire and emergency services</w:t>
      </w:r>
    </w:p>
    <w:p w:rsidR="00664CD2" w:rsidRPr="00664CD2" w:rsidRDefault="008E2806" w:rsidP="00446594">
      <w:pPr>
        <w:pStyle w:val="BodyText"/>
        <w:rPr>
          <w:lang w:val="en"/>
        </w:rPr>
      </w:pPr>
      <w:r>
        <w:t xml:space="preserve">The </w:t>
      </w:r>
      <w:r w:rsidRPr="00B102EC">
        <w:t>Australasian</w:t>
      </w:r>
      <w:r w:rsidRPr="0054109B">
        <w:rPr>
          <w:lang w:val="en"/>
        </w:rPr>
        <w:t xml:space="preserve"> Fire and Emergency Service Authorities Council</w:t>
      </w:r>
      <w:r>
        <w:rPr>
          <w:lang w:val="en"/>
        </w:rPr>
        <w:t xml:space="preserve"> </w:t>
      </w:r>
      <w:r w:rsidR="00D02357">
        <w:rPr>
          <w:lang w:val="en"/>
        </w:rPr>
        <w:t xml:space="preserve">(AFAC) </w:t>
      </w:r>
      <w:r w:rsidR="000D46AF">
        <w:rPr>
          <w:lang w:val="en"/>
        </w:rPr>
        <w:t xml:space="preserve">have commenced a review </w:t>
      </w:r>
      <w:r w:rsidR="002A1FE1">
        <w:rPr>
          <w:lang w:val="en"/>
        </w:rPr>
        <w:t xml:space="preserve">of </w:t>
      </w:r>
      <w:r w:rsidR="00D97229">
        <w:rPr>
          <w:lang w:val="en"/>
        </w:rPr>
        <w:t>fire and emergency services performance measures</w:t>
      </w:r>
      <w:r w:rsidR="002A1FE1">
        <w:rPr>
          <w:lang w:val="en"/>
        </w:rPr>
        <w:t xml:space="preserve">, </w:t>
      </w:r>
      <w:r w:rsidR="00664CD2">
        <w:rPr>
          <w:lang w:val="en"/>
        </w:rPr>
        <w:t xml:space="preserve">in the context of the strategic priorities outlined in </w:t>
      </w:r>
      <w:r w:rsidR="00664CD2" w:rsidRPr="00664CD2">
        <w:rPr>
          <w:i/>
          <w:lang w:val="en"/>
        </w:rPr>
        <w:t>Strategic Directions for Fire and Emergency Services in Australia and New Zealand 2014</w:t>
      </w:r>
      <w:r w:rsidR="0026487F">
        <w:rPr>
          <w:i/>
          <w:lang w:val="en"/>
        </w:rPr>
        <w:t>–</w:t>
      </w:r>
      <w:r w:rsidR="00664CD2" w:rsidRPr="00664CD2">
        <w:rPr>
          <w:i/>
          <w:lang w:val="en"/>
        </w:rPr>
        <w:t>2016</w:t>
      </w:r>
      <w:r w:rsidR="00664CD2">
        <w:rPr>
          <w:i/>
          <w:lang w:val="en"/>
        </w:rPr>
        <w:t xml:space="preserve"> </w:t>
      </w:r>
      <w:r w:rsidR="00664CD2" w:rsidRPr="00664CD2">
        <w:rPr>
          <w:lang w:val="en"/>
        </w:rPr>
        <w:t>(AFAC 2013</w:t>
      </w:r>
      <w:r w:rsidR="00664CD2">
        <w:rPr>
          <w:lang w:val="en"/>
        </w:rPr>
        <w:t>)</w:t>
      </w:r>
      <w:r w:rsidR="00664CD2" w:rsidRPr="00664CD2">
        <w:rPr>
          <w:lang w:val="en"/>
        </w:rPr>
        <w:t>.</w:t>
      </w:r>
      <w:r w:rsidR="00664CD2">
        <w:rPr>
          <w:lang w:val="en"/>
        </w:rPr>
        <w:t xml:space="preserve"> </w:t>
      </w:r>
      <w:r w:rsidR="00664CD2" w:rsidRPr="002605A8">
        <w:t xml:space="preserve">The </w:t>
      </w:r>
      <w:r w:rsidR="00664CD2">
        <w:t>Emergency Management Working Group (EMWG) recognise</w:t>
      </w:r>
      <w:r w:rsidR="00D02357">
        <w:t>s</w:t>
      </w:r>
      <w:r w:rsidR="00664CD2">
        <w:t xml:space="preserve"> that the outcome of the review will </w:t>
      </w:r>
      <w:r w:rsidR="008F5D0B">
        <w:t xml:space="preserve">be </w:t>
      </w:r>
      <w:r w:rsidR="00664CD2">
        <w:t xml:space="preserve">an important source for indicator development, </w:t>
      </w:r>
      <w:r w:rsidR="00664CD2" w:rsidRPr="00664CD2">
        <w:rPr>
          <w:lang w:val="en"/>
        </w:rPr>
        <w:t>including:</w:t>
      </w:r>
    </w:p>
    <w:p w:rsidR="00664CD2" w:rsidRDefault="008F5D0B" w:rsidP="00446594">
      <w:pPr>
        <w:pStyle w:val="ListBullet"/>
        <w:rPr>
          <w:lang w:val="en"/>
        </w:rPr>
      </w:pPr>
      <w:r>
        <w:rPr>
          <w:lang w:val="en"/>
        </w:rPr>
        <w:t xml:space="preserve">the consideration of alternate performance indicators for emergency services </w:t>
      </w:r>
      <w:r w:rsidR="00664CD2" w:rsidRPr="00664CD2">
        <w:rPr>
          <w:lang w:val="en"/>
        </w:rPr>
        <w:t>(and their link to emergency service objectives)</w:t>
      </w:r>
    </w:p>
    <w:p w:rsidR="008F5D0B" w:rsidRDefault="008F5D0B" w:rsidP="00446594">
      <w:pPr>
        <w:pStyle w:val="ListBullet"/>
        <w:rPr>
          <w:lang w:val="en"/>
        </w:rPr>
      </w:pPr>
      <w:r>
        <w:rPr>
          <w:lang w:val="en"/>
        </w:rPr>
        <w:t>the development of data by emergency service organisations participating in the review</w:t>
      </w:r>
    </w:p>
    <w:p w:rsidR="008E2806" w:rsidRPr="00664CD2" w:rsidRDefault="008F5D0B" w:rsidP="00446594">
      <w:pPr>
        <w:pStyle w:val="ListBullet"/>
        <w:rPr>
          <w:b/>
        </w:rPr>
      </w:pPr>
      <w:r>
        <w:rPr>
          <w:lang w:val="en"/>
        </w:rPr>
        <w:t xml:space="preserve">the </w:t>
      </w:r>
      <w:r w:rsidR="00664CD2" w:rsidRPr="00664CD2">
        <w:rPr>
          <w:lang w:val="en"/>
        </w:rPr>
        <w:t xml:space="preserve">availability </w:t>
      </w:r>
      <w:r>
        <w:rPr>
          <w:lang w:val="en"/>
        </w:rPr>
        <w:t xml:space="preserve">and comparability </w:t>
      </w:r>
      <w:r w:rsidR="00664CD2" w:rsidRPr="00664CD2">
        <w:rPr>
          <w:lang w:val="en"/>
        </w:rPr>
        <w:t>of data</w:t>
      </w:r>
      <w:r>
        <w:rPr>
          <w:lang w:val="en"/>
        </w:rPr>
        <w:t>.</w:t>
      </w:r>
      <w:r w:rsidR="00664CD2" w:rsidRPr="00664CD2">
        <w:rPr>
          <w:lang w:val="en"/>
        </w:rPr>
        <w:t xml:space="preserve"> </w:t>
      </w:r>
    </w:p>
    <w:p w:rsidR="008F5D0B" w:rsidRDefault="008F5D0B" w:rsidP="00446594">
      <w:pPr>
        <w:pStyle w:val="Heading4"/>
      </w:pPr>
      <w:r>
        <w:rPr>
          <w:lang w:val="en"/>
        </w:rPr>
        <w:t>Landscape fire</w:t>
      </w:r>
    </w:p>
    <w:p w:rsidR="00986A8B" w:rsidRPr="002605A8" w:rsidRDefault="00986A8B" w:rsidP="0068272C">
      <w:pPr>
        <w:pStyle w:val="BodyText"/>
      </w:pPr>
      <w:r w:rsidRPr="002605A8">
        <w:t>Performance measures are currently being developed for the reporting of fires in the landscape. The long</w:t>
      </w:r>
      <w:r w:rsidRPr="002605A8">
        <w:noBreakHyphen/>
        <w:t>term aim is to report annually on the measures for each relevant jurisdiction across Australia. The key landscape fire performance measures that have been agreed to in concept for inclusion in future editions of the Report</w:t>
      </w:r>
      <w:r w:rsidR="00F25516" w:rsidRPr="002605A8">
        <w:t xml:space="preserve">, </w:t>
      </w:r>
      <w:r w:rsidRPr="002605A8">
        <w:t>subject to identification of appropriate denominators to facilitate comparative reporting</w:t>
      </w:r>
      <w:r w:rsidR="0068272C" w:rsidRPr="002605A8">
        <w:t xml:space="preserve"> ‘</w:t>
      </w:r>
      <w:r w:rsidRPr="002605A8">
        <w:t>number of primary dwellings affected by landscape fire</w:t>
      </w:r>
      <w:r w:rsidR="0068272C" w:rsidRPr="002605A8">
        <w:t>’ and ‘</w:t>
      </w:r>
      <w:r w:rsidRPr="002605A8">
        <w:t>total number of hours by volunteers on landscape fire suppression</w:t>
      </w:r>
      <w:r w:rsidR="0068272C" w:rsidRPr="002605A8">
        <w:t>’</w:t>
      </w:r>
      <w:r w:rsidRPr="002605A8">
        <w:t>.</w:t>
      </w:r>
    </w:p>
    <w:p w:rsidR="002A1FE1" w:rsidRDefault="002A1FE1" w:rsidP="00446594">
      <w:pPr>
        <w:pStyle w:val="Heading4"/>
      </w:pPr>
      <w:r>
        <w:rPr>
          <w:lang w:val="en"/>
        </w:rPr>
        <w:t>Other fire events</w:t>
      </w:r>
    </w:p>
    <w:p w:rsidR="00EC559B" w:rsidRDefault="0077386C" w:rsidP="00E27821">
      <w:pPr>
        <w:pStyle w:val="BodyText"/>
      </w:pPr>
      <w:r w:rsidRPr="002605A8">
        <w:t xml:space="preserve">The </w:t>
      </w:r>
      <w:r w:rsidR="00F25516">
        <w:t>EMWG</w:t>
      </w:r>
      <w:r w:rsidR="00E27821" w:rsidRPr="002605A8">
        <w:t xml:space="preserve"> </w:t>
      </w:r>
      <w:r w:rsidR="00EC559B">
        <w:t>is also investigating:</w:t>
      </w:r>
    </w:p>
    <w:p w:rsidR="00EC559B" w:rsidRDefault="00BB44A8" w:rsidP="00EC559B">
      <w:pPr>
        <w:pStyle w:val="ListBullet"/>
      </w:pPr>
      <w:r w:rsidRPr="002605A8">
        <w:t xml:space="preserve">new </w:t>
      </w:r>
      <w:r w:rsidR="0077386C" w:rsidRPr="002605A8">
        <w:t xml:space="preserve">indicators of </w:t>
      </w:r>
      <w:r w:rsidR="00F25516" w:rsidRPr="00231BC8">
        <w:t>fire risk prevention/mitigation activities</w:t>
      </w:r>
      <w:r w:rsidR="0077386C" w:rsidRPr="002605A8">
        <w:t xml:space="preserve">. </w:t>
      </w:r>
      <w:r w:rsidR="003529C5" w:rsidRPr="002605A8">
        <w:t xml:space="preserve">The </w:t>
      </w:r>
      <w:r w:rsidRPr="002605A8">
        <w:t xml:space="preserve">usefulness </w:t>
      </w:r>
      <w:r w:rsidR="003529C5" w:rsidRPr="002605A8">
        <w:t xml:space="preserve">of </w:t>
      </w:r>
      <w:r w:rsidRPr="002605A8">
        <w:t xml:space="preserve">proportion of households with smoke alarms as a performance measure </w:t>
      </w:r>
      <w:r w:rsidR="006535AB" w:rsidRPr="002605A8">
        <w:t xml:space="preserve">is diminishing </w:t>
      </w:r>
      <w:r w:rsidR="003529C5" w:rsidRPr="002605A8">
        <w:t xml:space="preserve">as </w:t>
      </w:r>
      <w:r w:rsidR="006535AB" w:rsidRPr="002605A8">
        <w:t xml:space="preserve">it </w:t>
      </w:r>
      <w:r w:rsidR="003529C5" w:rsidRPr="002605A8">
        <w:t>approach</w:t>
      </w:r>
      <w:r w:rsidRPr="002605A8">
        <w:t>es</w:t>
      </w:r>
      <w:r w:rsidR="003529C5" w:rsidRPr="002605A8">
        <w:t xml:space="preserve"> 90–100 per cent in many jurisdictions (where measured)</w:t>
      </w:r>
    </w:p>
    <w:p w:rsidR="0077386C" w:rsidRPr="002605A8" w:rsidRDefault="00EC559B" w:rsidP="00A90E73">
      <w:pPr>
        <w:pStyle w:val="ListBullet"/>
      </w:pPr>
      <w:r>
        <w:lastRenderedPageBreak/>
        <w:t>alternative fire service response indicators. Response time to structure fire measures do not fully address fire service organisation effectiveness in responding to and managing fires.</w:t>
      </w:r>
    </w:p>
    <w:p w:rsidR="00986A8B" w:rsidRPr="002605A8" w:rsidRDefault="00986A8B" w:rsidP="00986A8B">
      <w:pPr>
        <w:pStyle w:val="Heading3"/>
        <w:spacing w:before="480"/>
      </w:pPr>
      <w:r w:rsidRPr="002605A8">
        <w:t>Ambulance events</w:t>
      </w:r>
    </w:p>
    <w:p w:rsidR="00673EFD" w:rsidRDefault="00391BDF" w:rsidP="00061A15">
      <w:pPr>
        <w:pStyle w:val="BodyText"/>
      </w:pPr>
      <w:r w:rsidRPr="00446594">
        <w:t xml:space="preserve">A </w:t>
      </w:r>
      <w:r w:rsidR="00061A15" w:rsidRPr="00446594">
        <w:t xml:space="preserve">new ambulance events indicator </w:t>
      </w:r>
      <w:r w:rsidR="00200400" w:rsidRPr="00446594">
        <w:t>(</w:t>
      </w:r>
      <w:r w:rsidR="00966B2A" w:rsidRPr="00446594">
        <w:t>paramedics in training)</w:t>
      </w:r>
      <w:r w:rsidR="00200400" w:rsidRPr="00446594">
        <w:t xml:space="preserve"> </w:t>
      </w:r>
      <w:r w:rsidR="00061A15" w:rsidRPr="00446594">
        <w:t>w</w:t>
      </w:r>
      <w:r w:rsidR="00966B2A" w:rsidRPr="00446594">
        <w:t>as</w:t>
      </w:r>
      <w:r w:rsidR="00061A15" w:rsidRPr="00446594">
        <w:t xml:space="preserve"> introduced in </w:t>
      </w:r>
      <w:r w:rsidRPr="00446594">
        <w:t xml:space="preserve">this </w:t>
      </w:r>
      <w:r w:rsidR="00061A15" w:rsidRPr="00446594">
        <w:t>Report.</w:t>
      </w:r>
      <w:r w:rsidR="00061A15">
        <w:t xml:space="preserve"> </w:t>
      </w:r>
      <w:r w:rsidR="00986A8B" w:rsidRPr="0054109B">
        <w:t xml:space="preserve">Ambulance event reporting </w:t>
      </w:r>
      <w:r w:rsidR="00061A15">
        <w:t xml:space="preserve">will focus on </w:t>
      </w:r>
      <w:r w:rsidR="008615FF">
        <w:t xml:space="preserve">further </w:t>
      </w:r>
      <w:r w:rsidR="00986A8B" w:rsidRPr="0054109B">
        <w:t xml:space="preserve">developing </w:t>
      </w:r>
      <w:r w:rsidRPr="0054109B">
        <w:t>th</w:t>
      </w:r>
      <w:r>
        <w:t xml:space="preserve">is </w:t>
      </w:r>
      <w:r w:rsidR="00986A8B" w:rsidRPr="0054109B">
        <w:t xml:space="preserve">indicator </w:t>
      </w:r>
      <w:r w:rsidR="00061A15">
        <w:t xml:space="preserve">and those </w:t>
      </w:r>
      <w:r w:rsidR="00986A8B" w:rsidRPr="0054109B">
        <w:t xml:space="preserve">introduced </w:t>
      </w:r>
      <w:r w:rsidR="00294785">
        <w:t xml:space="preserve">since </w:t>
      </w:r>
      <w:r w:rsidR="00986A8B" w:rsidRPr="0054109B">
        <w:t xml:space="preserve">the 2009 Report. </w:t>
      </w:r>
      <w:r w:rsidR="00061A15">
        <w:t>In p</w:t>
      </w:r>
      <w:r w:rsidR="00673EFD">
        <w:t>articular, the EMWG will aim to:</w:t>
      </w:r>
    </w:p>
    <w:p w:rsidR="00673EFD" w:rsidRDefault="00061A15" w:rsidP="00061A15">
      <w:pPr>
        <w:pStyle w:val="ListBullet"/>
      </w:pPr>
      <w:r>
        <w:t xml:space="preserve">improve the comparability of the </w:t>
      </w:r>
      <w:r w:rsidR="008615FF">
        <w:t xml:space="preserve">cardiac </w:t>
      </w:r>
      <w:r w:rsidR="00E42DF5">
        <w:t>arrest survived event indicator</w:t>
      </w:r>
      <w:r>
        <w:t xml:space="preserve"> </w:t>
      </w:r>
    </w:p>
    <w:p w:rsidR="00673EFD" w:rsidRDefault="00673EFD" w:rsidP="00061A15">
      <w:pPr>
        <w:pStyle w:val="ListBullet"/>
      </w:pPr>
      <w:r>
        <w:t xml:space="preserve">expand the scope of the urban centre response time </w:t>
      </w:r>
      <w:r w:rsidRPr="00673EFD">
        <w:t>indicator to report data for urban centres with populations of 50 000 and above.</w:t>
      </w:r>
    </w:p>
    <w:p w:rsidR="00986A8B" w:rsidRPr="0054109B" w:rsidRDefault="008615FF" w:rsidP="00B67C47">
      <w:pPr>
        <w:pStyle w:val="BodyText"/>
      </w:pPr>
      <w:r>
        <w:t>S</w:t>
      </w:r>
      <w:r w:rsidR="00061A15">
        <w:t>everal indicators of the ambulance events performance indicator framework that not yet able to be measured. The EMWG, supported by the CAA, will define data requirements, and develop and implement</w:t>
      </w:r>
      <w:r w:rsidR="00986A8B" w:rsidRPr="0054109B">
        <w:t xml:space="preserve"> </w:t>
      </w:r>
      <w:r w:rsidR="00061A15">
        <w:t xml:space="preserve">new </w:t>
      </w:r>
      <w:r w:rsidR="00986A8B" w:rsidRPr="0054109B">
        <w:t xml:space="preserve">data collections for </w:t>
      </w:r>
      <w:r w:rsidR="00061A15">
        <w:t xml:space="preserve">these </w:t>
      </w:r>
      <w:r w:rsidR="00986A8B" w:rsidRPr="0054109B">
        <w:t>indicators</w:t>
      </w:r>
      <w:r w:rsidR="00A047CB">
        <w:t xml:space="preserve"> in the forthcoming years</w:t>
      </w:r>
      <w:r w:rsidR="001C629A">
        <w:t>, with the current priorities for development being</w:t>
      </w:r>
      <w:r w:rsidR="00986A8B" w:rsidRPr="0054109B">
        <w:t>.</w:t>
      </w:r>
    </w:p>
    <w:p w:rsidR="00986A8B" w:rsidRPr="002605A8" w:rsidRDefault="00986A8B" w:rsidP="00986A8B">
      <w:pPr>
        <w:pStyle w:val="Heading3"/>
        <w:spacing w:before="480"/>
      </w:pPr>
      <w:r w:rsidRPr="002605A8">
        <w:t>Other event types</w:t>
      </w:r>
    </w:p>
    <w:p w:rsidR="00986A8B" w:rsidRPr="002605A8" w:rsidRDefault="00E27821" w:rsidP="0068272C">
      <w:pPr>
        <w:pStyle w:val="BodyText"/>
      </w:pPr>
      <w:r w:rsidRPr="002605A8">
        <w:t xml:space="preserve">The EMWG </w:t>
      </w:r>
      <w:r w:rsidR="008615FF">
        <w:t xml:space="preserve">is </w:t>
      </w:r>
      <w:r w:rsidRPr="002605A8">
        <w:t xml:space="preserve">also developing descriptive data related to the involvement of emergency services at other event types as a part of the Emergency management sector overview (sector overview D). </w:t>
      </w:r>
    </w:p>
    <w:p w:rsidR="00986A8B" w:rsidRPr="002605A8" w:rsidRDefault="008C1F96" w:rsidP="00986A8B">
      <w:pPr>
        <w:pStyle w:val="Heading2"/>
      </w:pPr>
      <w:bookmarkStart w:id="127" w:name="_Toc370724858"/>
      <w:r>
        <w:t>9.</w:t>
      </w:r>
      <w:r w:rsidR="00D52162">
        <w:rPr>
          <w:noProof/>
        </w:rPr>
        <w:t>8</w:t>
      </w:r>
      <w:r w:rsidR="00986A8B" w:rsidRPr="002605A8">
        <w:tab/>
        <w:t>Jurisdictions’ comments</w:t>
      </w:r>
      <w:bookmarkEnd w:id="127"/>
    </w:p>
    <w:p w:rsidR="0076183D" w:rsidRDefault="00986A8B" w:rsidP="00986A8B">
      <w:pPr>
        <w:pStyle w:val="BodyText"/>
      </w:pPr>
      <w:r w:rsidRPr="002605A8">
        <w:t xml:space="preserve">This section provides comments from each jurisdiction on the services covered in this chapter. </w:t>
      </w:r>
    </w:p>
    <w:p w:rsidR="002A1FE1" w:rsidRDefault="002A1FE1" w:rsidP="00986A8B">
      <w:pPr>
        <w:pStyle w:val="BodyText"/>
      </w:pPr>
    </w:p>
    <w:p w:rsidR="00986A8B" w:rsidRPr="002605A8" w:rsidRDefault="0076183D" w:rsidP="00986A8B">
      <w:pPr>
        <w:pStyle w:val="BodyText"/>
      </w:pPr>
      <w:r>
        <w:br w:type="page"/>
      </w:r>
    </w:p>
    <w:tbl>
      <w:tblPr>
        <w:tblW w:w="10632" w:type="dxa"/>
        <w:tblInd w:w="-885" w:type="dxa"/>
        <w:tblLayout w:type="fixed"/>
        <w:tblLook w:val="0000" w:firstRow="0" w:lastRow="0" w:firstColumn="0" w:lastColumn="0" w:noHBand="0" w:noVBand="0"/>
      </w:tblPr>
      <w:tblGrid>
        <w:gridCol w:w="993"/>
        <w:gridCol w:w="8789"/>
        <w:gridCol w:w="850"/>
      </w:tblGrid>
      <w:tr w:rsidR="00137965" w:rsidRPr="00137965" w:rsidTr="0054741D">
        <w:trPr>
          <w:cantSplit/>
          <w:trHeight w:hRule="exact" w:val="13325"/>
        </w:trPr>
        <w:tc>
          <w:tcPr>
            <w:tcW w:w="993" w:type="dxa"/>
          </w:tcPr>
          <w:p w:rsidR="00986A8B" w:rsidRPr="00137965" w:rsidRDefault="00986A8B" w:rsidP="004910DD">
            <w:pPr>
              <w:pStyle w:val="BodyText"/>
              <w:jc w:val="right"/>
              <w:rPr>
                <w:rFonts w:ascii="Arial" w:hAnsi="Arial"/>
                <w:b/>
              </w:rPr>
            </w:pPr>
            <w:r w:rsidRPr="00137965">
              <w:lastRenderedPageBreak/>
              <w:br w:type="page"/>
            </w:r>
            <w:r w:rsidR="004910DD">
              <w:rPr>
                <w:b/>
                <w:sz w:val="132"/>
              </w:rPr>
              <w:t>“</w:t>
            </w:r>
          </w:p>
        </w:tc>
        <w:tc>
          <w:tcPr>
            <w:tcW w:w="8789" w:type="dxa"/>
          </w:tcPr>
          <w:p w:rsidR="003576F3" w:rsidRDefault="00986A8B" w:rsidP="003576F3">
            <w:pPr>
              <w:pStyle w:val="Jurisdictioncommentsheading"/>
            </w:pPr>
            <w:r w:rsidRPr="00137965">
              <w:t>New South Wales Government comments</w:t>
            </w:r>
          </w:p>
          <w:p w:rsidR="00430A60" w:rsidRDefault="00430A60" w:rsidP="00430A60">
            <w:pPr>
              <w:pStyle w:val="Jurisdictioncommentsbodytext"/>
            </w:pPr>
            <w:r>
              <w:t>NSW responded to a number of disasters during the year, with the bushfires of 16</w:t>
            </w:r>
            <w:r w:rsidR="00AA08A2">
              <w:t>–</w:t>
            </w:r>
            <w:r>
              <w:t>23</w:t>
            </w:r>
            <w:r w:rsidR="0026487F">
              <w:t> </w:t>
            </w:r>
            <w:r>
              <w:t xml:space="preserve">October 2013 causing major destruction and damage to over 300 homes, primarily in the Blue Mountains, west of Sydney. Bushfires throughout the state resulted in 18 evacuation centres opening, with 3458 people registered, </w:t>
            </w:r>
            <w:r>
              <w:br/>
              <w:t xml:space="preserve">249 people were accommodated onsite and a further 292 people accommodated by commercial providers. There were relatively few applications for Disaster Relief Grants, as most damaged and destroyed homes were, to some extent, insured. </w:t>
            </w:r>
          </w:p>
          <w:p w:rsidR="00430A60" w:rsidRDefault="00430A60" w:rsidP="00430A60">
            <w:pPr>
              <w:pStyle w:val="Jurisdictioncommentsbodytext"/>
            </w:pPr>
            <w:r>
              <w:t>NSW Ambulance provided 1 234 843 emergency and non</w:t>
            </w:r>
            <w:r w:rsidR="0026487F">
              <w:noBreakHyphen/>
            </w:r>
            <w:r>
              <w:t>emergency responses; an average of 3383 responses per day or a call every 26 seconds. The new vision for NSW Ambulance will see changes in our concept of operations, benefiting staff and patients. The Mental Health Acute Assessment Team transports appropriate patients directly to mental health facilities. The Non</w:t>
            </w:r>
            <w:r w:rsidR="0026487F">
              <w:noBreakHyphen/>
            </w:r>
            <w:r>
              <w:t>Emergency Assessment and Referral Proof of Concept with NSW Medicare Local on the Central Coast sees suitably identified patients referred and/or transported directly to their GP. Non</w:t>
            </w:r>
            <w:r w:rsidR="0026487F">
              <w:noBreakHyphen/>
            </w:r>
            <w:r>
              <w:t>emergency patient transport coordination was separated from the Triple Zero (000) control centre and 62 new paramedics were appointed.</w:t>
            </w:r>
          </w:p>
          <w:p w:rsidR="00430A60" w:rsidRDefault="00430A60" w:rsidP="00430A60">
            <w:pPr>
              <w:pStyle w:val="Jurisdictioncommentsbodytext"/>
            </w:pPr>
            <w:r>
              <w:t>Fire &amp; Rescue NSW responded to 126 966 emergency incidents, including fires, rescues, chemical and medical emergencies and delivered a total of 53 868 community safety activities, such as visiting 9755 homes to install smoke alarms or check batteries, and conducted 2829 fire safety presentations to preschool and primary school children. The Community Fire Unit Program totals 7015</w:t>
            </w:r>
            <w:r w:rsidR="00D808F0">
              <w:t> </w:t>
            </w:r>
            <w:r>
              <w:t>active members in 593</w:t>
            </w:r>
            <w:r w:rsidR="00D808F0">
              <w:t xml:space="preserve"> </w:t>
            </w:r>
            <w:r>
              <w:t xml:space="preserve">Units. Online home fire safety audits were completed by 14 335 people. Fire &amp; Rescue NSW worked with other agencies to protect the community from numerous bushfires, particularly in October 2013, in the Blue Mountains. </w:t>
            </w:r>
          </w:p>
          <w:p w:rsidR="00430A60" w:rsidRDefault="00430A60" w:rsidP="00430A60">
            <w:pPr>
              <w:pStyle w:val="Jurisdictioncommentsbodytext"/>
            </w:pPr>
            <w:r>
              <w:t>The NSW Rural Fire Service attended 23 375 fires and other incidents. The service continued to implement its risk management framework with over 157 000 hectares of land subject to hazard reduction activity. Property protection works were carried out for 124 414 properties. The Service also investigated 2196 bush fire hazard complaints and processed 4452 fire</w:t>
            </w:r>
            <w:r w:rsidR="0026487F">
              <w:noBreakHyphen/>
            </w:r>
            <w:r>
              <w:t>prone development assessments.</w:t>
            </w:r>
          </w:p>
          <w:p w:rsidR="003576F3" w:rsidRPr="00137965" w:rsidRDefault="00430A60" w:rsidP="00430A60">
            <w:pPr>
              <w:pStyle w:val="Jurisdictioncommentsbodytext"/>
            </w:pPr>
            <w:r>
              <w:t>The NSW State Emergency Service undertook 21 632 activities recording over 259 000 hours during 2013</w:t>
            </w:r>
            <w:r w:rsidR="0026487F">
              <w:noBreakHyphen/>
            </w:r>
            <w:r>
              <w:t>14. Our Storm response operations remained the most significant operational response with over 15 902 activities, including 86 Flood Rescue activations. Further achievements included the implementation of a new Operational Management System and holding a strategic level Hawkesbury Nepean Flood exercise. Community engagement strategic planning included at</w:t>
            </w:r>
            <w:r w:rsidR="0026487F">
              <w:noBreakHyphen/>
            </w:r>
            <w:r>
              <w:t>risk community programs, delivering preparedness safety messages to culturally and linguistically diverse (CALD) communities with Flood</w:t>
            </w:r>
            <w:r w:rsidR="0026487F">
              <w:noBreakHyphen/>
            </w:r>
            <w:r>
              <w:t>Safe and Tsunami programs. In addition, the NSW flood data</w:t>
            </w:r>
            <w:r w:rsidR="0026487F">
              <w:noBreakHyphen/>
            </w:r>
            <w:r>
              <w:t>base project stage 3 was completed with tsunami inundation modelling.</w:t>
            </w:r>
          </w:p>
        </w:tc>
        <w:tc>
          <w:tcPr>
            <w:tcW w:w="850" w:type="dxa"/>
            <w:vAlign w:val="bottom"/>
          </w:tcPr>
          <w:p w:rsidR="00986A8B" w:rsidRPr="00137965" w:rsidRDefault="00986A8B" w:rsidP="007D5E8E">
            <w:pPr>
              <w:pStyle w:val="BodyText"/>
              <w:spacing w:before="0"/>
              <w:jc w:val="center"/>
              <w:rPr>
                <w:rFonts w:ascii="Arial" w:hAnsi="Arial"/>
                <w:b/>
              </w:rPr>
            </w:pPr>
            <w:r w:rsidRPr="00137965">
              <w:rPr>
                <w:b/>
                <w:sz w:val="132"/>
              </w:rPr>
              <w:t>”</w:t>
            </w:r>
          </w:p>
        </w:tc>
      </w:tr>
    </w:tbl>
    <w:p w:rsidR="0076183D" w:rsidRDefault="0076183D" w:rsidP="007D5E8E">
      <w:pPr>
        <w:pStyle w:val="FooterEnd"/>
      </w:pPr>
      <w:r>
        <w:br w:type="page"/>
      </w:r>
    </w:p>
    <w:tbl>
      <w:tblPr>
        <w:tblW w:w="10632" w:type="dxa"/>
        <w:tblInd w:w="-885" w:type="dxa"/>
        <w:tblLayout w:type="fixed"/>
        <w:tblLook w:val="0000" w:firstRow="0" w:lastRow="0" w:firstColumn="0" w:lastColumn="0" w:noHBand="0" w:noVBand="0"/>
      </w:tblPr>
      <w:tblGrid>
        <w:gridCol w:w="993"/>
        <w:gridCol w:w="8789"/>
        <w:gridCol w:w="850"/>
      </w:tblGrid>
      <w:tr w:rsidR="00A54EF6" w:rsidRPr="00A54EF6" w:rsidTr="0054741D">
        <w:trPr>
          <w:cantSplit/>
          <w:trHeight w:hRule="exact" w:val="13325"/>
        </w:trPr>
        <w:tc>
          <w:tcPr>
            <w:tcW w:w="993" w:type="dxa"/>
          </w:tcPr>
          <w:p w:rsidR="00986A8B" w:rsidRPr="00A54EF6" w:rsidRDefault="00986A8B" w:rsidP="00986A8B">
            <w:pPr>
              <w:pStyle w:val="BodyText"/>
              <w:jc w:val="right"/>
              <w:rPr>
                <w:rFonts w:ascii="Arial" w:hAnsi="Arial"/>
                <w:b/>
              </w:rPr>
            </w:pPr>
            <w:r w:rsidRPr="00A54EF6">
              <w:rPr>
                <w:b/>
                <w:sz w:val="132"/>
              </w:rPr>
              <w:lastRenderedPageBreak/>
              <w:t>“</w:t>
            </w:r>
          </w:p>
        </w:tc>
        <w:tc>
          <w:tcPr>
            <w:tcW w:w="8789" w:type="dxa"/>
          </w:tcPr>
          <w:p w:rsidR="00986A8B" w:rsidRPr="00A54EF6" w:rsidRDefault="00986A8B" w:rsidP="00050436">
            <w:pPr>
              <w:pStyle w:val="Jurisdictioncommentsheading"/>
            </w:pPr>
            <w:r w:rsidRPr="00A54EF6">
              <w:t>Victorian Government comments</w:t>
            </w:r>
          </w:p>
          <w:p w:rsidR="00230B6F" w:rsidRDefault="00230B6F" w:rsidP="00230B6F">
            <w:pPr>
              <w:pStyle w:val="Jurisdictioncommentsbodytext"/>
            </w:pPr>
            <w:r>
              <w:t xml:space="preserve">Across the summer months, Victoria experienced record breaking extended periods of heat and significant fires in January and February 2014 placing enormous strain on the emergency management system. Nineteen days had Extreme and Severe Fire Danger ratings and 16 days of Total Fire Ban were declared. </w:t>
            </w:r>
          </w:p>
          <w:p w:rsidR="00230B6F" w:rsidRDefault="00230B6F" w:rsidP="00230B6F">
            <w:pPr>
              <w:pStyle w:val="Jurisdictioncommentsbodytext"/>
            </w:pPr>
            <w:r>
              <w:t>From 14 to 17 January, Victoria experienced a significant heatwave which resulted in an estimated 167 deaths more than expected for this time of year. Ambulance Victoria emergency caseload increased by 25 per cent overall with a 44 per cent increase in Code 1 emergency dispatches and 97 per cent increase in Priority '0' immediate life threat dispatches. The Community Health Assessment Centre established for this heat incident managed over 2100 community presentations.</w:t>
            </w:r>
          </w:p>
          <w:p w:rsidR="00230B6F" w:rsidRDefault="00230B6F" w:rsidP="00230B6F">
            <w:pPr>
              <w:pStyle w:val="Jurisdictioncommentsbodytext"/>
            </w:pPr>
            <w:r>
              <w:t>On 17 January, Victoria’s first ‘recommendation to evacuate’ in response to a significant fire threat was issued to Halls Gap and nearby communities.</w:t>
            </w:r>
          </w:p>
          <w:p w:rsidR="00230B6F" w:rsidRDefault="00230B6F" w:rsidP="00230B6F">
            <w:pPr>
              <w:pStyle w:val="Jurisdictioncommentsbodytext"/>
            </w:pPr>
            <w:r>
              <w:t>Conditions peaked on 9 February when Victoria recorded 954 emergency incidents in a 24</w:t>
            </w:r>
            <w:r w:rsidR="0026487F">
              <w:noBreakHyphen/>
            </w:r>
            <w:r>
              <w:t xml:space="preserve">hour period. The Hazelwood Open Cut Mine fire started that day and ran for 45 days challenging more than 7000 individual firefighters and the community. </w:t>
            </w:r>
          </w:p>
          <w:p w:rsidR="00230B6F" w:rsidRDefault="00230B6F" w:rsidP="00230B6F">
            <w:pPr>
              <w:pStyle w:val="Jurisdictioncommentsbodytext"/>
            </w:pPr>
            <w:r>
              <w:t>On 9 February, more than 11 150 calls were made to the Victorian Bushfire Information Line. It was the greatest number of calls received in one day to the Line and 12 per cent greater than the number received on Black Saturday in 2009.</w:t>
            </w:r>
          </w:p>
          <w:p w:rsidR="00230B6F" w:rsidRDefault="00230B6F" w:rsidP="00230B6F">
            <w:pPr>
              <w:pStyle w:val="Jurisdictioncommentsbodytext"/>
            </w:pPr>
            <w:r>
              <w:t>Victoria had more than 4600 grass and bushfires over the 2013</w:t>
            </w:r>
            <w:r w:rsidR="0026487F">
              <w:noBreakHyphen/>
            </w:r>
            <w:r>
              <w:t xml:space="preserve">14 fire season, 78 of which were considered significant. The largest fire covered 165 806 hectares in East Gippsland and burned for 70 days. </w:t>
            </w:r>
          </w:p>
          <w:p w:rsidR="003576F3" w:rsidRPr="00A54EF6" w:rsidRDefault="00230B6F" w:rsidP="001D371F">
            <w:pPr>
              <w:pStyle w:val="Jurisdictioncommentsbodytext"/>
            </w:pPr>
            <w:r>
              <w:t xml:space="preserve">International and interstate support was received with a total of 2850 firefighters spending just over two months assisting Victoria crews in firefighting, incident control and community protection at </w:t>
            </w:r>
            <w:r w:rsidR="001D371F">
              <w:t>Country Fire Authority</w:t>
            </w:r>
            <w:r>
              <w:t xml:space="preserve"> fire stations across Victoria.</w:t>
            </w:r>
          </w:p>
        </w:tc>
        <w:tc>
          <w:tcPr>
            <w:tcW w:w="850" w:type="dxa"/>
            <w:vAlign w:val="bottom"/>
          </w:tcPr>
          <w:p w:rsidR="00986A8B" w:rsidRPr="00A54EF6" w:rsidRDefault="00986A8B" w:rsidP="007D5E8E">
            <w:pPr>
              <w:pStyle w:val="BodyText"/>
              <w:spacing w:before="0"/>
              <w:jc w:val="center"/>
              <w:rPr>
                <w:rFonts w:ascii="Arial" w:hAnsi="Arial"/>
                <w:b/>
              </w:rPr>
            </w:pPr>
            <w:r w:rsidRPr="00A54EF6">
              <w:rPr>
                <w:b/>
                <w:sz w:val="132"/>
              </w:rPr>
              <w:t>”</w:t>
            </w:r>
          </w:p>
        </w:tc>
      </w:tr>
    </w:tbl>
    <w:p w:rsidR="0076183D" w:rsidRDefault="0076183D" w:rsidP="007D5E8E">
      <w:pPr>
        <w:pStyle w:val="FooterEnd"/>
      </w:pPr>
      <w:r>
        <w:br w:type="page"/>
      </w:r>
    </w:p>
    <w:tbl>
      <w:tblPr>
        <w:tblW w:w="10632" w:type="dxa"/>
        <w:tblInd w:w="-885" w:type="dxa"/>
        <w:tblLayout w:type="fixed"/>
        <w:tblLook w:val="0000" w:firstRow="0" w:lastRow="0" w:firstColumn="0" w:lastColumn="0" w:noHBand="0" w:noVBand="0"/>
      </w:tblPr>
      <w:tblGrid>
        <w:gridCol w:w="993"/>
        <w:gridCol w:w="8789"/>
        <w:gridCol w:w="850"/>
      </w:tblGrid>
      <w:tr w:rsidR="00986A8B" w:rsidRPr="009E23DF" w:rsidTr="0054741D">
        <w:trPr>
          <w:cantSplit/>
          <w:trHeight w:hRule="exact" w:val="13325"/>
        </w:trPr>
        <w:tc>
          <w:tcPr>
            <w:tcW w:w="993" w:type="dxa"/>
          </w:tcPr>
          <w:p w:rsidR="00986A8B" w:rsidRPr="009E23DF" w:rsidRDefault="00986A8B" w:rsidP="00986A8B">
            <w:pPr>
              <w:pStyle w:val="BodyText"/>
              <w:jc w:val="right"/>
              <w:rPr>
                <w:rFonts w:ascii="Arial" w:hAnsi="Arial"/>
                <w:b/>
                <w:szCs w:val="24"/>
              </w:rPr>
            </w:pPr>
            <w:r w:rsidRPr="009E23DF">
              <w:rPr>
                <w:b/>
                <w:sz w:val="132"/>
              </w:rPr>
              <w:lastRenderedPageBreak/>
              <w:t>“</w:t>
            </w:r>
          </w:p>
        </w:tc>
        <w:tc>
          <w:tcPr>
            <w:tcW w:w="8789" w:type="dxa"/>
          </w:tcPr>
          <w:p w:rsidR="00986A8B" w:rsidRDefault="00986A8B" w:rsidP="00FB7BBF">
            <w:pPr>
              <w:pStyle w:val="Jurisdictioncommentsheading"/>
            </w:pPr>
            <w:r w:rsidRPr="009E23DF">
              <w:t>Queensland Government comments</w:t>
            </w:r>
          </w:p>
          <w:p w:rsidR="00FB7BBF" w:rsidRPr="00FB7BBF" w:rsidRDefault="00FB7BBF" w:rsidP="00FB7BBF">
            <w:pPr>
              <w:pStyle w:val="Jurisdictioncommentsbodytext"/>
            </w:pPr>
            <w:r w:rsidRPr="00FB7BBF">
              <w:t>On 1</w:t>
            </w:r>
            <w:r w:rsidR="0026487F">
              <w:t> </w:t>
            </w:r>
            <w:r w:rsidRPr="00FB7BBF">
              <w:t>November 2013, Queensland Fire and Emergency Services (QFES), was established as the primary provider of fire and rescue, emergency management and disaster mitigation programs and services throughout Queensland. QFES includes Fire and Rescue, Emergency Management, Rural Fire Service Queensland and the State Emergency Service. In addition, in October 2013, the Queensland Ambulance Service (QAS) transitioned to the Department of Health (</w:t>
            </w:r>
            <w:proofErr w:type="spellStart"/>
            <w:r w:rsidRPr="00FB7BBF">
              <w:t>DoH</w:t>
            </w:r>
            <w:proofErr w:type="spellEnd"/>
            <w:r w:rsidRPr="00FB7BBF">
              <w:t xml:space="preserve">). </w:t>
            </w:r>
          </w:p>
          <w:p w:rsidR="00FB7BBF" w:rsidRPr="00FB7BBF" w:rsidRDefault="00FB7BBF" w:rsidP="00FB7BBF">
            <w:pPr>
              <w:pStyle w:val="Jurisdictioncommentsbodytext"/>
            </w:pPr>
            <w:r w:rsidRPr="00FB7BBF">
              <w:t xml:space="preserve">During the financial year, QFES continued to work with other emergency services to provide emergency response operations across organisational and jurisdictional boundaries during major disaster events. </w:t>
            </w:r>
          </w:p>
          <w:p w:rsidR="00FB7BBF" w:rsidRPr="00FB7BBF" w:rsidRDefault="00FB7BBF" w:rsidP="00FB7BBF">
            <w:pPr>
              <w:pStyle w:val="Jurisdictioncommentsbodytext"/>
            </w:pPr>
            <w:r w:rsidRPr="00FB7BBF">
              <w:t>QFES also continued to deliver timely services to the community having recorded among the lowest three 90th percentile response times nationwide.</w:t>
            </w:r>
            <w:r w:rsidR="0054741D">
              <w:t xml:space="preserve"> </w:t>
            </w:r>
            <w:r w:rsidRPr="00FB7BBF">
              <w:t xml:space="preserve">QFES also became the first Australasian fire agency to achieve Fire Behaviour Analyst qualification and the Australia Urban Search and Rescue Taskforce 1 (Queensland) achieved International Search and Rescue Advisory Group reclassification as a ‘heavy’ deployable team. </w:t>
            </w:r>
          </w:p>
          <w:p w:rsidR="00FB7BBF" w:rsidRPr="00FB7BBF" w:rsidRDefault="00FB7BBF" w:rsidP="00FB7BBF">
            <w:pPr>
              <w:pStyle w:val="Jurisdictioncommentsbodytext"/>
            </w:pPr>
            <w:r w:rsidRPr="00FB7BBF">
              <w:t xml:space="preserve">New technologies were introduced to enhance the delivery of emergency services. The State Emergency Service (SES) Assistance App was launched, providing Queenslanders with an additional way to request SES assistance during floods and storms. Emergency Vehicle Priority (EVP) technology was enabled at approximately 200 intersections across the Gold Coast and Bundaberg. The EVP project, which provides green lights to emergency vehicles by automatically interrupting normal traffic signals, continues to be expanded in conjunction with QFES, Department of Transport and Main Roads, the Public Safety Business Agency and QAS. </w:t>
            </w:r>
          </w:p>
          <w:p w:rsidR="00FB7BBF" w:rsidRPr="00FB7BBF" w:rsidRDefault="00FB7BBF" w:rsidP="00FB7BBF">
            <w:pPr>
              <w:pStyle w:val="Jurisdictioncommentsbodytext"/>
            </w:pPr>
            <w:r w:rsidRPr="00FB7BBF">
              <w:t xml:space="preserve">QAS integration with </w:t>
            </w:r>
            <w:proofErr w:type="spellStart"/>
            <w:r w:rsidRPr="00FB7BBF">
              <w:t>DoH</w:t>
            </w:r>
            <w:proofErr w:type="spellEnd"/>
            <w:r w:rsidRPr="00FB7BBF">
              <w:t xml:space="preserve"> has led to improvements in service delivery, providing greater capacity for coordinated solutions to managing and responding to the growing demand for emergency health services. </w:t>
            </w:r>
          </w:p>
          <w:p w:rsidR="00FB7BBF" w:rsidRPr="00FB7BBF" w:rsidRDefault="00FB7BBF" w:rsidP="00FB7BBF">
            <w:pPr>
              <w:pStyle w:val="Jurisdictioncommentsbodytext"/>
            </w:pPr>
            <w:r w:rsidRPr="00FB7BBF">
              <w:t>The Queensland Audit Office tabled a report in Parliament on 6</w:t>
            </w:r>
            <w:r w:rsidR="0026487F">
              <w:t> </w:t>
            </w:r>
            <w:r w:rsidRPr="00FB7BBF">
              <w:t>May 2014, examining QAS operational effectiveness. The report favourably concluded QAS focuses appropriately on patient care outcomes through the use of innovative practices; has a mature and robust performance measurement and reporting framework; and provides equitable access to all Queenslanders</w:t>
            </w:r>
          </w:p>
          <w:p w:rsidR="00FB7BBF" w:rsidRPr="00FB7BBF" w:rsidRDefault="00FB7BBF" w:rsidP="00FB7BBF">
            <w:pPr>
              <w:pStyle w:val="Jurisdictioncommentsbodytext"/>
            </w:pPr>
            <w:r w:rsidRPr="00FB7BBF">
              <w:t>A number of new strategies were introduced in 2013</w:t>
            </w:r>
            <w:r w:rsidR="0026487F">
              <w:noBreakHyphen/>
            </w:r>
            <w:r w:rsidRPr="00FB7BBF">
              <w:t>14, including extension of acute cardiac reperfusion strategies to Advanced Care Paramedics in selected areas of Queensland. Patients suffering acute myocardial infarction (heart attack) are quickly identified using 12</w:t>
            </w:r>
            <w:r w:rsidR="0026487F">
              <w:noBreakHyphen/>
            </w:r>
            <w:r w:rsidRPr="00FB7BBF">
              <w:t xml:space="preserve">lead ECG technology, enabling rapid treatment in the field or direct referral to a cardiologist. </w:t>
            </w:r>
          </w:p>
          <w:p w:rsidR="009E7A88" w:rsidRPr="009E23DF" w:rsidRDefault="00FB7BBF" w:rsidP="00FB7BBF">
            <w:pPr>
              <w:pStyle w:val="Jurisdictioncommentsbodytext"/>
              <w:rPr>
                <w:rStyle w:val="DraftingNote"/>
                <w:b w:val="0"/>
                <w:color w:val="auto"/>
              </w:rPr>
            </w:pPr>
            <w:r w:rsidRPr="00FB7BBF">
              <w:t>The Lower Acuity Response Unit was launched to provide alternative and appropriate treatment pathways for lower</w:t>
            </w:r>
            <w:r w:rsidR="0026487F">
              <w:noBreakHyphen/>
            </w:r>
            <w:r w:rsidRPr="00FB7BBF">
              <w:t>acuity patients, to reduce emergency department presentations, and enable traditional emergency ambulance units to respond to higher</w:t>
            </w:r>
            <w:r w:rsidR="0026487F">
              <w:noBreakHyphen/>
            </w:r>
            <w:r w:rsidRPr="00FB7BBF">
              <w:t>acuity cases.</w:t>
            </w:r>
          </w:p>
        </w:tc>
        <w:tc>
          <w:tcPr>
            <w:tcW w:w="850" w:type="dxa"/>
            <w:vAlign w:val="bottom"/>
          </w:tcPr>
          <w:p w:rsidR="00986A8B" w:rsidRPr="009E23DF" w:rsidRDefault="00986A8B" w:rsidP="002B3206">
            <w:pPr>
              <w:pStyle w:val="BodyText"/>
              <w:spacing w:before="0" w:line="240" w:lineRule="auto"/>
              <w:jc w:val="center"/>
              <w:rPr>
                <w:rFonts w:ascii="Arial" w:hAnsi="Arial"/>
                <w:b/>
                <w:szCs w:val="24"/>
              </w:rPr>
            </w:pPr>
            <w:r w:rsidRPr="009E23DF">
              <w:rPr>
                <w:b/>
                <w:sz w:val="132"/>
              </w:rPr>
              <w:t>”</w:t>
            </w:r>
          </w:p>
        </w:tc>
      </w:tr>
    </w:tbl>
    <w:p w:rsidR="0076183D" w:rsidRDefault="0076183D" w:rsidP="00FB7BBF">
      <w:pPr>
        <w:pStyle w:val="FooterEnd"/>
      </w:pPr>
    </w:p>
    <w:tbl>
      <w:tblPr>
        <w:tblW w:w="10632" w:type="dxa"/>
        <w:tblInd w:w="-885" w:type="dxa"/>
        <w:tblLayout w:type="fixed"/>
        <w:tblLook w:val="0000" w:firstRow="0" w:lastRow="0" w:firstColumn="0" w:lastColumn="0" w:noHBand="0" w:noVBand="0"/>
      </w:tblPr>
      <w:tblGrid>
        <w:gridCol w:w="993"/>
        <w:gridCol w:w="8789"/>
        <w:gridCol w:w="850"/>
      </w:tblGrid>
      <w:tr w:rsidR="00E7788E" w:rsidRPr="00E7788E" w:rsidTr="0054741D">
        <w:trPr>
          <w:cantSplit/>
          <w:trHeight w:hRule="exact" w:val="13325"/>
        </w:trPr>
        <w:tc>
          <w:tcPr>
            <w:tcW w:w="993" w:type="dxa"/>
          </w:tcPr>
          <w:p w:rsidR="00986A8B" w:rsidRPr="00E7788E" w:rsidRDefault="00986A8B" w:rsidP="00986A8B">
            <w:pPr>
              <w:pStyle w:val="BodyText"/>
              <w:jc w:val="right"/>
              <w:rPr>
                <w:b/>
                <w:sz w:val="132"/>
              </w:rPr>
            </w:pPr>
            <w:r w:rsidRPr="00E7788E">
              <w:rPr>
                <w:b/>
                <w:sz w:val="132"/>
              </w:rPr>
              <w:lastRenderedPageBreak/>
              <w:t>“</w:t>
            </w:r>
          </w:p>
        </w:tc>
        <w:tc>
          <w:tcPr>
            <w:tcW w:w="8789" w:type="dxa"/>
          </w:tcPr>
          <w:p w:rsidR="00986A8B" w:rsidRPr="00E7788E" w:rsidRDefault="00986A8B" w:rsidP="000D1428">
            <w:pPr>
              <w:pStyle w:val="Jurisdictioncommentsheading"/>
            </w:pPr>
            <w:r w:rsidRPr="00E7788E">
              <w:t>Western Australian Government comments</w:t>
            </w:r>
          </w:p>
          <w:p w:rsidR="00351C00" w:rsidRDefault="00351C00" w:rsidP="00351C00">
            <w:pPr>
              <w:pStyle w:val="Jurisdictioncommentsbodytext"/>
            </w:pPr>
            <w:r>
              <w:t>Preparedness to meet service demand was a major focus for Western Australian emergency service providers during 2013</w:t>
            </w:r>
            <w:r w:rsidR="0026487F">
              <w:noBreakHyphen/>
            </w:r>
            <w:r>
              <w:t xml:space="preserve">14. </w:t>
            </w:r>
          </w:p>
          <w:p w:rsidR="00351C00" w:rsidRDefault="00351C00" w:rsidP="00351C00">
            <w:pPr>
              <w:pStyle w:val="Jurisdictioncommentsbodytext"/>
            </w:pPr>
            <w:r>
              <w:t>Educating communities on the concept of a ‘Shared Responsibility’ for managing bushfire risk was a priority. Targeted education programs in high risk locations, pre</w:t>
            </w:r>
            <w:r w:rsidR="0026487F">
              <w:noBreakHyphen/>
            </w:r>
            <w:r>
              <w:t xml:space="preserve">season volunteer forums and the ‘Are You Ready’ media campaign, were designed to encourage preparation for the bushfire season and improve communities’ resilience to potential impacts on their lives and property. </w:t>
            </w:r>
          </w:p>
          <w:p w:rsidR="00351C00" w:rsidRDefault="00351C00" w:rsidP="00351C00">
            <w:pPr>
              <w:pStyle w:val="Jurisdictioncommentsbodytext"/>
            </w:pPr>
            <w:r>
              <w:t xml:space="preserve">Additional funding this year has enabled the permanent, seasonal addition of an Erickson Sikorsky 64A </w:t>
            </w:r>
            <w:proofErr w:type="spellStart"/>
            <w:r>
              <w:t>Aircrane</w:t>
            </w:r>
            <w:proofErr w:type="spellEnd"/>
            <w:r>
              <w:t xml:space="preserve"> to the aircraft fleet. This provides greater capacity for fire response agencies to manage the impact of large scale bushfires. Significant funding has also been provided to improve the safety of firefighters responding to bushfire. A four year program will provide comprehensive crew cab protection systems to protect crews in case of a burn over or entrapment situation. </w:t>
            </w:r>
          </w:p>
          <w:p w:rsidR="00351C00" w:rsidRDefault="00351C00" w:rsidP="00351C00">
            <w:pPr>
              <w:pStyle w:val="Jurisdictioncommentsbodytext"/>
            </w:pPr>
            <w:r>
              <w:t>During the 2013</w:t>
            </w:r>
            <w:r w:rsidR="0026487F">
              <w:noBreakHyphen/>
            </w:r>
            <w:r>
              <w:t>14 season fire agencies responded to a number of large scale bushfires. The most significant of these occurred in January 2014 in the Perth Hills on the outskirts of the metropolitan region. While a total of 57 residential properties were extensively damaged by the fire, it is estimated more than 400 properties were saved through the efforts of career and volunteer firefighters.</w:t>
            </w:r>
          </w:p>
          <w:p w:rsidR="00351C00" w:rsidRDefault="00351C00" w:rsidP="00351C00">
            <w:pPr>
              <w:pStyle w:val="Jurisdictioncommentsbodytext"/>
            </w:pPr>
            <w:r>
              <w:t>Emergency responders were kept busy assisting communities prepare for the impact of Tropical Cyclone Christine and with recovery activities. A Category 3 system, Tropical Cyclone Christine crossed the coast between Karratha and Port Hedland on 31 December 2013, bringing destructive winds, heavy rain and dangerous storm tides. Extensive flooding in Kununurra in February 2014 brought further challenges when floodwaters damaged the town’s sewerage systems and drinking supplies.</w:t>
            </w:r>
          </w:p>
          <w:p w:rsidR="00351C00" w:rsidRDefault="00351C00" w:rsidP="00351C00">
            <w:pPr>
              <w:pStyle w:val="Jurisdictioncommentsbodytext"/>
            </w:pPr>
            <w:r>
              <w:t>State Emergency Services volunteers made a notable and valuable contribution to the international, multiagency search and rescue mission led by the Australian Government to find missing Malaysian Airlines flight MH370, estimated at a total 2 000 hours of support.</w:t>
            </w:r>
          </w:p>
          <w:p w:rsidR="00351C00" w:rsidRDefault="00351C00" w:rsidP="00351C00">
            <w:pPr>
              <w:pStyle w:val="Jurisdictioncommentsbodytext"/>
            </w:pPr>
            <w:r>
              <w:t>The ambulance service in Western Australia continued to expand in 2013</w:t>
            </w:r>
            <w:r>
              <w:noBreakHyphen/>
              <w:t xml:space="preserve">14 with increased State Government funding. The number of paramedics employed by St John Ambulance (SJA) WA Ltd across WA now includes an additional seven career paramedics at major country sub centres, and an extra four community paramedics. Funding was also provided to increase the number of fully equipped ambulances by three to a total of 127. </w:t>
            </w:r>
          </w:p>
          <w:p w:rsidR="003576F3" w:rsidRPr="00E7788E" w:rsidRDefault="00351C00" w:rsidP="00351C00">
            <w:pPr>
              <w:pStyle w:val="Jurisdictioncommentsbodytext"/>
              <w:spacing w:after="0"/>
            </w:pPr>
            <w:r>
              <w:t>In 2013</w:t>
            </w:r>
            <w:r w:rsidR="0026487F">
              <w:noBreakHyphen/>
            </w:r>
            <w:r>
              <w:t>14, response time targets were met in the metropolitan area and most country regions. A total of 234 842 patients were transported, which is an increase of 1.4 per cent from the previous year. Emergency ambulance responses increased by 4.2 per cent and non</w:t>
            </w:r>
            <w:r w:rsidR="0026487F">
              <w:noBreakHyphen/>
            </w:r>
            <w:r>
              <w:t>emergency responses increased by 0.8 per cent. In 2013</w:t>
            </w:r>
            <w:r w:rsidR="0026487F">
              <w:noBreakHyphen/>
            </w:r>
            <w:r>
              <w:t>14, SJA WA Ltd also commenced providing a coordination function for the transportation to hospital by road for those patients arriving at Jandakot Airport by aero medical transfer.</w:t>
            </w:r>
          </w:p>
        </w:tc>
        <w:tc>
          <w:tcPr>
            <w:tcW w:w="850" w:type="dxa"/>
            <w:vAlign w:val="bottom"/>
          </w:tcPr>
          <w:p w:rsidR="00986A8B" w:rsidRPr="00E7788E" w:rsidRDefault="00986A8B" w:rsidP="007D5E8E">
            <w:pPr>
              <w:pStyle w:val="BodyText"/>
              <w:spacing w:before="0"/>
              <w:jc w:val="center"/>
              <w:rPr>
                <w:rFonts w:ascii="Arial" w:hAnsi="Arial"/>
                <w:b/>
              </w:rPr>
            </w:pPr>
            <w:r w:rsidRPr="00E7788E">
              <w:rPr>
                <w:b/>
                <w:sz w:val="132"/>
              </w:rPr>
              <w:t>”</w:t>
            </w:r>
          </w:p>
        </w:tc>
      </w:tr>
    </w:tbl>
    <w:p w:rsidR="0076183D" w:rsidRDefault="0076183D" w:rsidP="00351C00">
      <w:pPr>
        <w:pStyle w:val="FooterEnd"/>
      </w:pPr>
      <w:r>
        <w:br w:type="page"/>
      </w:r>
    </w:p>
    <w:tbl>
      <w:tblPr>
        <w:tblW w:w="10632" w:type="dxa"/>
        <w:tblInd w:w="-885" w:type="dxa"/>
        <w:tblLayout w:type="fixed"/>
        <w:tblLook w:val="0000" w:firstRow="0" w:lastRow="0" w:firstColumn="0" w:lastColumn="0" w:noHBand="0" w:noVBand="0"/>
      </w:tblPr>
      <w:tblGrid>
        <w:gridCol w:w="993"/>
        <w:gridCol w:w="8789"/>
        <w:gridCol w:w="850"/>
      </w:tblGrid>
      <w:tr w:rsidR="00845E2C" w:rsidRPr="00845E2C" w:rsidTr="0054741D">
        <w:trPr>
          <w:trHeight w:hRule="exact" w:val="13325"/>
        </w:trPr>
        <w:tc>
          <w:tcPr>
            <w:tcW w:w="993" w:type="dxa"/>
          </w:tcPr>
          <w:p w:rsidR="00152824" w:rsidRPr="00845E2C" w:rsidRDefault="00152824" w:rsidP="00986A8B">
            <w:pPr>
              <w:pStyle w:val="BodyText"/>
              <w:jc w:val="right"/>
              <w:rPr>
                <w:rFonts w:ascii="Arial" w:hAnsi="Arial"/>
                <w:b/>
              </w:rPr>
            </w:pPr>
            <w:r w:rsidRPr="00845E2C">
              <w:rPr>
                <w:b/>
                <w:sz w:val="132"/>
              </w:rPr>
              <w:lastRenderedPageBreak/>
              <w:t xml:space="preserve">“ </w:t>
            </w:r>
          </w:p>
        </w:tc>
        <w:tc>
          <w:tcPr>
            <w:tcW w:w="8789" w:type="dxa"/>
          </w:tcPr>
          <w:p w:rsidR="00152824" w:rsidRPr="00845E2C" w:rsidRDefault="00152824" w:rsidP="000D1428">
            <w:pPr>
              <w:pStyle w:val="Jurisdictioncommentsheading"/>
            </w:pPr>
            <w:r w:rsidRPr="00845E2C">
              <w:t>South Australian Government comments</w:t>
            </w:r>
          </w:p>
          <w:p w:rsidR="00430A60" w:rsidRDefault="00430A60" w:rsidP="00430A60">
            <w:pPr>
              <w:pStyle w:val="Jurisdictioncommentsbodytext"/>
            </w:pPr>
            <w:r>
              <w:t>Community education continues to be a major focus of all agencies especially in area such as road awareness program (RAP), Juvenile Firelighters Intervention Program (JFLIP), bushfire readiness and extreme heat awareness. During 2013</w:t>
            </w:r>
            <w:r w:rsidR="0066743D">
              <w:noBreakHyphen/>
              <w:t>14 less than 5 per cent</w:t>
            </w:r>
            <w:r>
              <w:t xml:space="preserve"> of JFLIP clients returned to fire lighting behaviours and 100</w:t>
            </w:r>
            <w:r w:rsidR="0066743D">
              <w:t> per cent</w:t>
            </w:r>
            <w:r>
              <w:t xml:space="preserve"> of RAP participants indicated after the program that they would employ safer responsible driving behaviours.</w:t>
            </w:r>
          </w:p>
          <w:p w:rsidR="00430A60" w:rsidRDefault="00430A60" w:rsidP="00430A60">
            <w:pPr>
              <w:pStyle w:val="Jurisdictioncommentsbodytext"/>
            </w:pPr>
            <w:r>
              <w:t>The SA Metropolitan Fire Service uses its Property Risk Information System (PRISM) database to record details and plans of commercial premises for operational planning and response purposes; during the year 721 new sites were added to the database.</w:t>
            </w:r>
          </w:p>
          <w:p w:rsidR="00430A60" w:rsidRDefault="00430A60" w:rsidP="00430A60">
            <w:pPr>
              <w:pStyle w:val="Jurisdictioncommentsbodytext"/>
            </w:pPr>
            <w:r>
              <w:t>Risk assessment workshops were held by all Hazard Leaders to understand the risk to the state from specific hazards and then identify appropriate risk treatments. The process complied with the National Emergency Risk Assessment Guidelines (NERAG) and included all relevant stakeholders</w:t>
            </w:r>
            <w:r w:rsidR="0085799E">
              <w:t>.</w:t>
            </w:r>
            <w:r>
              <w:t xml:space="preserve"> </w:t>
            </w:r>
            <w:r w:rsidR="0085799E">
              <w:t>F</w:t>
            </w:r>
            <w:r>
              <w:t>ollow up meetings continue across the state to ensure the treatments are actioned.</w:t>
            </w:r>
          </w:p>
          <w:p w:rsidR="00430A60" w:rsidRDefault="00430A60" w:rsidP="00430A60">
            <w:pPr>
              <w:pStyle w:val="Jurisdictioncommentsbodytext"/>
            </w:pPr>
            <w:r>
              <w:t>Following the severe and intense 2013</w:t>
            </w:r>
            <w:r w:rsidR="0026487F">
              <w:noBreakHyphen/>
            </w:r>
            <w:r>
              <w:t xml:space="preserve">14 bushfire season that saw many parts of the State impacted by fire, SA Country Fire Service contracted the Bushfire and Natural Hazards Cooperative Research Centre to conduct community engagement surveys affected by the Bangor, Eden Valley and </w:t>
            </w:r>
            <w:proofErr w:type="spellStart"/>
            <w:r>
              <w:t>Rockleigh</w:t>
            </w:r>
            <w:proofErr w:type="spellEnd"/>
            <w:r>
              <w:t xml:space="preserve"> bushfires. The outcome of these surveys will inform and assist SACFS and agencies in other jurisdictions to refine warnings to affected communities. The research will identify the critical information communities seek before, during and after a majo</w:t>
            </w:r>
            <w:r w:rsidR="0054741D">
              <w:t>r natural disaster event.</w:t>
            </w:r>
          </w:p>
          <w:p w:rsidR="00430A60" w:rsidRDefault="00430A60" w:rsidP="00430A60">
            <w:pPr>
              <w:pStyle w:val="Jurisdictioncommentsbodytext"/>
            </w:pPr>
            <w:r>
              <w:t>SA Ambulance Service (SAAS) highlights for 2013–14 include:</w:t>
            </w:r>
          </w:p>
          <w:p w:rsidR="0066743D" w:rsidRDefault="0085799E" w:rsidP="00430A60">
            <w:pPr>
              <w:pStyle w:val="Jurisdictioncommentslistbullet"/>
            </w:pPr>
            <w:r>
              <w:t xml:space="preserve">establishment </w:t>
            </w:r>
            <w:r w:rsidR="00430A60">
              <w:t>of a new Clinical Performance and Patient Safety Directorate to oversee and steer changes in traditional ambulance service delivery, and to ensure that patient care and the evolution of new practice become ce</w:t>
            </w:r>
            <w:r>
              <w:t>ntral to the leadership of SAAS</w:t>
            </w:r>
            <w:r w:rsidR="00430A60">
              <w:t xml:space="preserve"> </w:t>
            </w:r>
          </w:p>
          <w:p w:rsidR="0066743D" w:rsidRDefault="0085799E" w:rsidP="00430A60">
            <w:pPr>
              <w:pStyle w:val="Jurisdictioncommentslistbullet"/>
            </w:pPr>
            <w:r>
              <w:t xml:space="preserve">development </w:t>
            </w:r>
            <w:r w:rsidR="00430A60">
              <w:t>of a revised Clinical Governance Framework to support ongoin</w:t>
            </w:r>
            <w:r>
              <w:t>g service delivery improvements</w:t>
            </w:r>
          </w:p>
          <w:p w:rsidR="0066743D" w:rsidRDefault="0085799E" w:rsidP="00430A60">
            <w:pPr>
              <w:pStyle w:val="Jurisdictioncommentslistbullet"/>
            </w:pPr>
            <w:r>
              <w:t xml:space="preserve">implementation </w:t>
            </w:r>
            <w:r w:rsidR="00430A60">
              <w:t>of Stage 1 of the additional crewing model, which resulted in 19 mo</w:t>
            </w:r>
            <w:r>
              <w:t>re paramedic FTE being employed</w:t>
            </w:r>
          </w:p>
          <w:p w:rsidR="0066743D" w:rsidRDefault="0085799E" w:rsidP="00430A60">
            <w:pPr>
              <w:pStyle w:val="Jurisdictioncommentslistbullet"/>
            </w:pPr>
            <w:r>
              <w:t xml:space="preserve">establishment </w:t>
            </w:r>
            <w:r w:rsidR="00430A60">
              <w:t>of a new volunteer regional response team for the Limesto</w:t>
            </w:r>
            <w:r>
              <w:t>ne Coast based in Mount Gambier</w:t>
            </w:r>
          </w:p>
          <w:p w:rsidR="0066743D" w:rsidRDefault="0085799E" w:rsidP="00430A60">
            <w:pPr>
              <w:pStyle w:val="Jurisdictioncommentslistbullet"/>
            </w:pPr>
            <w:r>
              <w:t xml:space="preserve">launch </w:t>
            </w:r>
            <w:r w:rsidR="00430A60">
              <w:t>of the new SA Ambulance Service First Emergency Responder (SAAFER) program for regional communities, which trains local volunteers to provide immediate medical assistance to pa</w:t>
            </w:r>
            <w:r>
              <w:t>tients suffering cardiac arrest</w:t>
            </w:r>
          </w:p>
          <w:p w:rsidR="0066743D" w:rsidRDefault="0085799E" w:rsidP="00430A60">
            <w:pPr>
              <w:pStyle w:val="Jurisdictioncommentslistbullet"/>
            </w:pPr>
            <w:r>
              <w:t>recognition</w:t>
            </w:r>
            <w:r w:rsidR="00430A60">
              <w:t>, through interest from other ambulance services, of SAAS’s successful Manual</w:t>
            </w:r>
            <w:r>
              <w:t xml:space="preserve"> Tasks Risk Management Program</w:t>
            </w:r>
          </w:p>
          <w:p w:rsidR="00152824" w:rsidRPr="00845E2C" w:rsidRDefault="0085799E" w:rsidP="008115F8">
            <w:pPr>
              <w:pStyle w:val="Jurisdictioncommentslistbullet"/>
              <w:spacing w:after="20"/>
            </w:pPr>
            <w:r>
              <w:t xml:space="preserve">exceeding </w:t>
            </w:r>
            <w:r w:rsidR="00430A60">
              <w:t>international benchmarks for medical priority dispatch system triage standards in the Emergency Operations Centre.</w:t>
            </w:r>
          </w:p>
        </w:tc>
        <w:tc>
          <w:tcPr>
            <w:tcW w:w="850" w:type="dxa"/>
            <w:vAlign w:val="bottom"/>
          </w:tcPr>
          <w:p w:rsidR="00152824" w:rsidRPr="00845E2C" w:rsidRDefault="00152824" w:rsidP="00E348CB">
            <w:pPr>
              <w:pStyle w:val="BodyText"/>
              <w:spacing w:before="0" w:line="240" w:lineRule="auto"/>
              <w:jc w:val="center"/>
              <w:rPr>
                <w:rFonts w:ascii="Arial" w:hAnsi="Arial"/>
                <w:b/>
              </w:rPr>
            </w:pPr>
            <w:r w:rsidRPr="00845E2C">
              <w:rPr>
                <w:b/>
                <w:sz w:val="132"/>
              </w:rPr>
              <w:t>”</w:t>
            </w:r>
          </w:p>
        </w:tc>
      </w:tr>
    </w:tbl>
    <w:p w:rsidR="0076183D" w:rsidRDefault="0076183D" w:rsidP="008115F8">
      <w:pPr>
        <w:pStyle w:val="FooterEnd"/>
      </w:pPr>
      <w:r>
        <w:br w:type="page"/>
      </w:r>
    </w:p>
    <w:tbl>
      <w:tblPr>
        <w:tblW w:w="10632" w:type="dxa"/>
        <w:tblInd w:w="-885" w:type="dxa"/>
        <w:tblLayout w:type="fixed"/>
        <w:tblLook w:val="0000" w:firstRow="0" w:lastRow="0" w:firstColumn="0" w:lastColumn="0" w:noHBand="0" w:noVBand="0"/>
      </w:tblPr>
      <w:tblGrid>
        <w:gridCol w:w="993"/>
        <w:gridCol w:w="8789"/>
        <w:gridCol w:w="850"/>
      </w:tblGrid>
      <w:tr w:rsidR="00AA7979" w:rsidRPr="00AA7979" w:rsidTr="0054741D">
        <w:trPr>
          <w:cantSplit/>
          <w:trHeight w:hRule="exact" w:val="13325"/>
        </w:trPr>
        <w:tc>
          <w:tcPr>
            <w:tcW w:w="993" w:type="dxa"/>
          </w:tcPr>
          <w:p w:rsidR="00986A8B" w:rsidRPr="00AA7979" w:rsidRDefault="00986A8B" w:rsidP="00986A8B">
            <w:pPr>
              <w:pStyle w:val="BodyText"/>
              <w:rPr>
                <w:rFonts w:ascii="Arial" w:hAnsi="Arial"/>
                <w:b/>
              </w:rPr>
            </w:pPr>
            <w:r w:rsidRPr="00AA7979">
              <w:rPr>
                <w:b/>
                <w:sz w:val="132"/>
              </w:rPr>
              <w:lastRenderedPageBreak/>
              <w:t>“</w:t>
            </w:r>
          </w:p>
        </w:tc>
        <w:tc>
          <w:tcPr>
            <w:tcW w:w="8789" w:type="dxa"/>
          </w:tcPr>
          <w:p w:rsidR="00986A8B" w:rsidRPr="00AA7979" w:rsidRDefault="00986A8B" w:rsidP="00050436">
            <w:pPr>
              <w:pStyle w:val="Jurisdictioncommentsheading"/>
            </w:pPr>
            <w:r w:rsidRPr="00AA7979">
              <w:t>Tasmanian Government comments</w:t>
            </w:r>
          </w:p>
          <w:p w:rsidR="008C2147" w:rsidRPr="0026487F" w:rsidRDefault="008C2147" w:rsidP="008C2147">
            <w:pPr>
              <w:pStyle w:val="Jurisdictioncommentsbodytext"/>
            </w:pPr>
            <w:r w:rsidRPr="0026487F">
              <w:t xml:space="preserve">Tasmania has a number of unique characteristics that influence the provision of emergency services throughout the State and affect response/turnout times and infrastructure costs. These characteristics include a small and dispersed population, diseconomies of scale, reliance on a network of dedicated volunteers in rural and remote areas and the State’s rugged topography. Tasmania’s two major urban centres have low population density compared to the large urban centres in other states. </w:t>
            </w:r>
          </w:p>
          <w:p w:rsidR="008C2147" w:rsidRPr="0026487F" w:rsidRDefault="008C2147" w:rsidP="008C2147">
            <w:pPr>
              <w:pStyle w:val="Jurisdictioncommentsbodytext"/>
            </w:pPr>
            <w:r w:rsidRPr="0026487F">
              <w:t>Tasmania’s data include both urban and rural fire, emergency and ambulance service performance. Tasmania has the highest percentage of all jurisdictions of its population in rural and remote areas (34.4</w:t>
            </w:r>
            <w:r w:rsidR="008D46EA" w:rsidRPr="0026487F">
              <w:t xml:space="preserve"> </w:t>
            </w:r>
            <w:r w:rsidRPr="0026487F">
              <w:t>per cent — compared with a national average of 11.6</w:t>
            </w:r>
            <w:r w:rsidR="008D46EA" w:rsidRPr="0026487F">
              <w:t xml:space="preserve"> </w:t>
            </w:r>
            <w:r w:rsidRPr="0026487F">
              <w:t>per cent). Conversely, Tasmania has the lowest proportion in highly accessible areas making it difficult to reliably compare the response performance of Tasmania with other jurisdictions.</w:t>
            </w:r>
          </w:p>
          <w:p w:rsidR="008C2147" w:rsidRPr="0026487F" w:rsidRDefault="008C2147" w:rsidP="008C2147">
            <w:pPr>
              <w:pStyle w:val="Jurisdictioncommentsbodytext"/>
            </w:pPr>
            <w:r w:rsidRPr="0026487F">
              <w:t xml:space="preserve">Tasmania Fire Service (TFS) comprises four career brigades and 236 volunteer brigades that respond to fires in all metropolitan and rural areas. Tasmania reports all incidents attended by these brigades, and the TFS bears the full cost of funding both the operating and capital costs of its brigades. </w:t>
            </w:r>
          </w:p>
          <w:p w:rsidR="008C2147" w:rsidRPr="0026487F" w:rsidRDefault="008C2147" w:rsidP="008C2147">
            <w:pPr>
              <w:pStyle w:val="Jurisdictioncommentsbodytext"/>
            </w:pPr>
            <w:r w:rsidRPr="0026487F">
              <w:t>TFS continues to deliver a broad range of educational and promotional programs to assist at</w:t>
            </w:r>
            <w:r w:rsidR="0026487F">
              <w:noBreakHyphen/>
            </w:r>
            <w:r w:rsidRPr="0026487F">
              <w:t>risk sectors of the community, prevent fires and minimise the impact of fires that occur. The TFS also has a lead role in hazardous materials (hazmat) incidents and technical rescues.</w:t>
            </w:r>
          </w:p>
          <w:p w:rsidR="008C2147" w:rsidRPr="0026487F" w:rsidRDefault="008C2147" w:rsidP="008C2147">
            <w:pPr>
              <w:pStyle w:val="Jurisdictioncommentsbodytext"/>
            </w:pPr>
            <w:r w:rsidRPr="0026487F">
              <w:t>In 2013</w:t>
            </w:r>
            <w:r w:rsidR="0026487F">
              <w:noBreakHyphen/>
            </w:r>
            <w:r w:rsidRPr="0026487F">
              <w:t>14 TFS contracted additional positions to support the State Fire Management Council with an increased focus on vegetation fire management following from the January 2013 bushfires. This has seen an increase in the non</w:t>
            </w:r>
            <w:r w:rsidR="0026487F">
              <w:noBreakHyphen/>
            </w:r>
            <w:r w:rsidRPr="0026487F">
              <w:t>operational workforce with a heavy focus on mitigation and planning activities.</w:t>
            </w:r>
          </w:p>
          <w:p w:rsidR="008C2147" w:rsidRPr="0026487F" w:rsidRDefault="008C2147" w:rsidP="008C2147">
            <w:pPr>
              <w:pStyle w:val="Jurisdictioncommentsbodytext"/>
            </w:pPr>
            <w:r w:rsidRPr="0026487F">
              <w:t xml:space="preserve">TFS has responsibility for road crash rescue in and around metropolitan areas. </w:t>
            </w:r>
          </w:p>
          <w:p w:rsidR="008C2147" w:rsidRPr="0026487F" w:rsidRDefault="008C2147" w:rsidP="008C2147">
            <w:pPr>
              <w:pStyle w:val="Jurisdictioncommentsbodytext"/>
            </w:pPr>
            <w:r w:rsidRPr="0026487F">
              <w:t xml:space="preserve">Tasmania’s State Emergency Service (SES) continues to provide road crash rescue services outside the main metropolitan centres. SES comprises 34 volunteer units, 24 of which have road crash rescue as their primary role. These units are responsible to the three regional headquarters. This is in addition to the primary role of storm and flood response and general assistance provided to all emergency services and local government. </w:t>
            </w:r>
          </w:p>
          <w:p w:rsidR="008C2147" w:rsidRPr="0026487F" w:rsidRDefault="008C2147" w:rsidP="008C2147">
            <w:pPr>
              <w:pStyle w:val="Jurisdictioncommentsbodytext"/>
            </w:pPr>
            <w:r w:rsidRPr="0026487F">
              <w:t>Ambulance Tasmania (AT) provides emergency ambulance care, medical retrieval services and a non</w:t>
            </w:r>
            <w:r w:rsidR="0026487F">
              <w:noBreakHyphen/>
            </w:r>
            <w:r w:rsidRPr="0026487F">
              <w:t>emergency patient transport service. In addition, AT provides a fixed</w:t>
            </w:r>
            <w:r w:rsidR="0026487F">
              <w:noBreakHyphen/>
            </w:r>
            <w:r w:rsidRPr="0026487F">
              <w:t xml:space="preserve">wing aeromedical and medical retrieval service and staff for helicopter rescue operations. </w:t>
            </w:r>
          </w:p>
          <w:p w:rsidR="00AA7979" w:rsidRPr="00AA7979" w:rsidRDefault="008C2147" w:rsidP="0026487F">
            <w:pPr>
              <w:pStyle w:val="Jurisdictioncommentsbodytext"/>
              <w:spacing w:after="0"/>
              <w:rPr>
                <w:rStyle w:val="DraftingNote"/>
                <w:b w:val="0"/>
                <w:color w:val="auto"/>
                <w:u w:val="none"/>
              </w:rPr>
            </w:pPr>
            <w:r w:rsidRPr="0026487F">
              <w:t xml:space="preserve">Tasmania is currently one of two </w:t>
            </w:r>
            <w:r w:rsidR="007D5E8E" w:rsidRPr="0026487F">
              <w:t>s</w:t>
            </w:r>
            <w:r w:rsidRPr="0026487F">
              <w:t>tates that waives the fees of its residents for ambulance services and consequently there is a greater reliance on government funding for services than in jurisdictions that are not entirely government funded. Tasmania continues to enjoy a high level of patient satisfaction in ambulance services. This factor reflects positively on its ambulance personnel</w:t>
            </w:r>
            <w:r w:rsidRPr="008C2147">
              <w:rPr>
                <w:rStyle w:val="DraftingNote"/>
                <w:b w:val="0"/>
                <w:color w:val="auto"/>
                <w:u w:val="none"/>
              </w:rPr>
              <w:t>.</w:t>
            </w:r>
          </w:p>
        </w:tc>
        <w:tc>
          <w:tcPr>
            <w:tcW w:w="850" w:type="dxa"/>
            <w:vAlign w:val="bottom"/>
          </w:tcPr>
          <w:p w:rsidR="00986A8B" w:rsidRPr="00AA7979" w:rsidRDefault="00986A8B" w:rsidP="007D5E8E">
            <w:pPr>
              <w:pStyle w:val="BodyText"/>
              <w:spacing w:before="0"/>
              <w:jc w:val="center"/>
              <w:rPr>
                <w:rFonts w:ascii="Arial" w:hAnsi="Arial"/>
                <w:b/>
              </w:rPr>
            </w:pPr>
            <w:r w:rsidRPr="00AA7979">
              <w:rPr>
                <w:b/>
                <w:sz w:val="132"/>
              </w:rPr>
              <w:t>”</w:t>
            </w:r>
          </w:p>
        </w:tc>
      </w:tr>
    </w:tbl>
    <w:p w:rsidR="0076183D" w:rsidRDefault="0076183D" w:rsidP="008C2147">
      <w:pPr>
        <w:pStyle w:val="FooterEnd"/>
      </w:pPr>
      <w:r>
        <w:br w:type="page"/>
      </w:r>
    </w:p>
    <w:tbl>
      <w:tblPr>
        <w:tblW w:w="10632" w:type="dxa"/>
        <w:tblInd w:w="-885" w:type="dxa"/>
        <w:tblLayout w:type="fixed"/>
        <w:tblLook w:val="0000" w:firstRow="0" w:lastRow="0" w:firstColumn="0" w:lastColumn="0" w:noHBand="0" w:noVBand="0"/>
      </w:tblPr>
      <w:tblGrid>
        <w:gridCol w:w="993"/>
        <w:gridCol w:w="8789"/>
        <w:gridCol w:w="850"/>
      </w:tblGrid>
      <w:tr w:rsidR="00986A8B" w:rsidRPr="007622C7" w:rsidTr="007D5E8E">
        <w:trPr>
          <w:cantSplit/>
          <w:trHeight w:val="10987"/>
        </w:trPr>
        <w:tc>
          <w:tcPr>
            <w:tcW w:w="993" w:type="dxa"/>
          </w:tcPr>
          <w:p w:rsidR="00986A8B" w:rsidRPr="007622C7" w:rsidRDefault="00986A8B" w:rsidP="00986A8B">
            <w:pPr>
              <w:pStyle w:val="BodyText"/>
              <w:rPr>
                <w:rFonts w:ascii="Arial" w:hAnsi="Arial"/>
                <w:b/>
              </w:rPr>
            </w:pPr>
            <w:r w:rsidRPr="007622C7">
              <w:rPr>
                <w:b/>
                <w:sz w:val="132"/>
              </w:rPr>
              <w:lastRenderedPageBreak/>
              <w:t>“</w:t>
            </w:r>
          </w:p>
        </w:tc>
        <w:tc>
          <w:tcPr>
            <w:tcW w:w="8789" w:type="dxa"/>
          </w:tcPr>
          <w:p w:rsidR="00986A8B" w:rsidRPr="007622C7" w:rsidRDefault="00986A8B" w:rsidP="00050436">
            <w:pPr>
              <w:pStyle w:val="Jurisdictioncommentsheading"/>
            </w:pPr>
            <w:r w:rsidRPr="007622C7">
              <w:t>Australian Capital Territory Government comments</w:t>
            </w:r>
          </w:p>
          <w:p w:rsidR="008115F8" w:rsidRDefault="008115F8" w:rsidP="008115F8">
            <w:pPr>
              <w:pStyle w:val="Jurisdictioncommentsbodytext"/>
            </w:pPr>
            <w:r>
              <w:t xml:space="preserve">The ACT Emergency Services Agency (ESA), which is part of the Justice and Community Safety Directorate, comprises the ACT Ambulance Service, ACT Fire and Rescue, ACT Rural Fire Service and the ACT State Emergency Service along with emergency management and support areas. It also incorporates the affiliated Snowy Hydro </w:t>
            </w:r>
            <w:proofErr w:type="spellStart"/>
            <w:r>
              <w:t>Southcare</w:t>
            </w:r>
            <w:proofErr w:type="spellEnd"/>
            <w:r>
              <w:t xml:space="preserve"> aero</w:t>
            </w:r>
            <w:r w:rsidR="0026487F">
              <w:noBreakHyphen/>
            </w:r>
            <w:r>
              <w:t>medical service.</w:t>
            </w:r>
          </w:p>
          <w:p w:rsidR="008115F8" w:rsidRDefault="008115F8" w:rsidP="008115F8">
            <w:pPr>
              <w:pStyle w:val="Jurisdictioncommentsbodytext"/>
            </w:pPr>
            <w:r>
              <w:t>The ESA provides services across a broad geographic base to encompass the Bush Capital Planning Model. This geographic spread provides challenges to meet benchmark response standards and community expectations.</w:t>
            </w:r>
          </w:p>
          <w:p w:rsidR="008115F8" w:rsidRDefault="008115F8" w:rsidP="008115F8">
            <w:pPr>
              <w:pStyle w:val="Jurisdictioncommentsbodytext"/>
            </w:pPr>
            <w:r>
              <w:t>Over the past twelve months the ESA has continued to foster the ‘all hazards all agencies’ approach to delivering emergency services and emergency management for the ACT and surrounding region. The operational capability of the ESA was further improved or enhanced through the continued work of the following key projects:</w:t>
            </w:r>
          </w:p>
          <w:p w:rsidR="008115F8" w:rsidRDefault="007D5E8E" w:rsidP="008115F8">
            <w:pPr>
              <w:pStyle w:val="Jurisdictioncommentslistbullet"/>
            </w:pPr>
            <w:r>
              <w:t xml:space="preserve">completion </w:t>
            </w:r>
            <w:r w:rsidR="008115F8">
              <w:t>of the construction of the co</w:t>
            </w:r>
            <w:r w:rsidR="0026487F">
              <w:noBreakHyphen/>
            </w:r>
            <w:r w:rsidR="008115F8">
              <w:t>located West Belco</w:t>
            </w:r>
            <w:r>
              <w:t>nnen ambulance and fire station</w:t>
            </w:r>
          </w:p>
          <w:p w:rsidR="008115F8" w:rsidRDefault="007D5E8E" w:rsidP="008115F8">
            <w:pPr>
              <w:pStyle w:val="Jurisdictioncommentslistbullet"/>
            </w:pPr>
            <w:r>
              <w:t xml:space="preserve">a </w:t>
            </w:r>
            <w:r w:rsidR="008115F8">
              <w:t>major review of the Strategic Bushfire Management Plan commenced during 2013–14. An extensive program of public consultation has been initiated with key stakeholders from within the ACT and surrounding NSW areas</w:t>
            </w:r>
            <w:r>
              <w:t xml:space="preserve"> involved in the review process</w:t>
            </w:r>
          </w:p>
          <w:p w:rsidR="008115F8" w:rsidRDefault="007D5E8E" w:rsidP="008115F8">
            <w:pPr>
              <w:pStyle w:val="Jurisdictioncommentslistbullet"/>
            </w:pPr>
            <w:r>
              <w:t xml:space="preserve">consultations </w:t>
            </w:r>
            <w:r w:rsidR="008115F8">
              <w:t>and advice on the review of planning arrangements in the ACT to declare Bushfire Prone Areas (BPA) for the purpose of applying the Building Code of Australia to require higher standards of const</w:t>
            </w:r>
            <w:r>
              <w:t>ruction to reduce bushfire risk</w:t>
            </w:r>
          </w:p>
          <w:p w:rsidR="008115F8" w:rsidRDefault="007D5E8E" w:rsidP="008115F8">
            <w:pPr>
              <w:pStyle w:val="Jurisdictioncommentslistbullet"/>
            </w:pPr>
            <w:r>
              <w:t xml:space="preserve">strengthening </w:t>
            </w:r>
            <w:r w:rsidR="008115F8">
              <w:t xml:space="preserve">of ESA Triple Zero (000) capability with a highly available telephony system and refresh of the </w:t>
            </w:r>
            <w:proofErr w:type="spellStart"/>
            <w:r w:rsidR="008115F8">
              <w:t>Comcen</w:t>
            </w:r>
            <w:proofErr w:type="spellEnd"/>
            <w:r w:rsidR="008115F8">
              <w:t xml:space="preserve"> Business Continuity site.</w:t>
            </w:r>
          </w:p>
          <w:p w:rsidR="008115F8" w:rsidRDefault="007D5E8E" w:rsidP="008115F8">
            <w:pPr>
              <w:pStyle w:val="Jurisdictioncommentslistbullet"/>
            </w:pPr>
            <w:r>
              <w:t xml:space="preserve">replacement </w:t>
            </w:r>
            <w:r w:rsidR="008115F8">
              <w:t xml:space="preserve">of the obsolete radio communication console in the </w:t>
            </w:r>
            <w:proofErr w:type="spellStart"/>
            <w:r w:rsidR="008115F8">
              <w:t>Comcen</w:t>
            </w:r>
            <w:proofErr w:type="spellEnd"/>
            <w:r w:rsidR="008115F8">
              <w:t xml:space="preserve"> with an IP solution; which is used to dispatch, communicate with and coordinate ESA first responders</w:t>
            </w:r>
          </w:p>
          <w:p w:rsidR="008115F8" w:rsidRDefault="007D5E8E" w:rsidP="008115F8">
            <w:pPr>
              <w:pStyle w:val="Jurisdictioncommentslistbullet"/>
            </w:pPr>
            <w:r>
              <w:t xml:space="preserve">replacement </w:t>
            </w:r>
            <w:r w:rsidR="008115F8">
              <w:t xml:space="preserve">of Urban Search and Rescue (USAR) and Chemical, Biological, Radiological and Nuclear (CBRN) technologies. </w:t>
            </w:r>
          </w:p>
          <w:p w:rsidR="009E7A88" w:rsidRPr="007622C7" w:rsidRDefault="008115F8" w:rsidP="008115F8">
            <w:pPr>
              <w:pStyle w:val="Jurisdictioncommentsbodytext"/>
            </w:pPr>
            <w:r>
              <w:t>During 2013</w:t>
            </w:r>
            <w:r w:rsidR="0026487F">
              <w:noBreakHyphen/>
            </w:r>
            <w:r>
              <w:t>14, the four services of the ESA provided in excess of 54 000 responses to incidents within the ACT.</w:t>
            </w:r>
          </w:p>
        </w:tc>
        <w:tc>
          <w:tcPr>
            <w:tcW w:w="850" w:type="dxa"/>
            <w:vAlign w:val="bottom"/>
          </w:tcPr>
          <w:p w:rsidR="00986A8B" w:rsidRPr="007622C7" w:rsidRDefault="00986A8B" w:rsidP="009E23DF">
            <w:pPr>
              <w:pStyle w:val="BodyText"/>
              <w:spacing w:before="0"/>
              <w:jc w:val="center"/>
              <w:rPr>
                <w:rFonts w:ascii="Arial" w:hAnsi="Arial"/>
                <w:b/>
              </w:rPr>
            </w:pPr>
            <w:r w:rsidRPr="007622C7">
              <w:rPr>
                <w:b/>
                <w:sz w:val="132"/>
              </w:rPr>
              <w:t>”</w:t>
            </w:r>
          </w:p>
        </w:tc>
      </w:tr>
    </w:tbl>
    <w:p w:rsidR="0076183D" w:rsidRDefault="0076183D">
      <w:r>
        <w:br w:type="page"/>
      </w:r>
    </w:p>
    <w:tbl>
      <w:tblPr>
        <w:tblW w:w="10632" w:type="dxa"/>
        <w:tblInd w:w="-885" w:type="dxa"/>
        <w:tblLayout w:type="fixed"/>
        <w:tblLook w:val="0000" w:firstRow="0" w:lastRow="0" w:firstColumn="0" w:lastColumn="0" w:noHBand="0" w:noVBand="0"/>
      </w:tblPr>
      <w:tblGrid>
        <w:gridCol w:w="993"/>
        <w:gridCol w:w="8789"/>
        <w:gridCol w:w="850"/>
      </w:tblGrid>
      <w:tr w:rsidR="009E7A88" w:rsidRPr="009E7A88" w:rsidTr="007D5E8E">
        <w:trPr>
          <w:cantSplit/>
          <w:trHeight w:val="12546"/>
        </w:trPr>
        <w:tc>
          <w:tcPr>
            <w:tcW w:w="993" w:type="dxa"/>
          </w:tcPr>
          <w:p w:rsidR="00986A8B" w:rsidRPr="009E7A88" w:rsidRDefault="00986A8B" w:rsidP="00986A8B">
            <w:pPr>
              <w:pStyle w:val="BodyText"/>
              <w:rPr>
                <w:rFonts w:ascii="Arial" w:hAnsi="Arial"/>
                <w:b/>
              </w:rPr>
            </w:pPr>
            <w:r w:rsidRPr="009E7A88">
              <w:rPr>
                <w:b/>
                <w:sz w:val="132"/>
              </w:rPr>
              <w:lastRenderedPageBreak/>
              <w:t>“</w:t>
            </w:r>
          </w:p>
        </w:tc>
        <w:tc>
          <w:tcPr>
            <w:tcW w:w="8789" w:type="dxa"/>
          </w:tcPr>
          <w:p w:rsidR="00986A8B" w:rsidRDefault="00986A8B" w:rsidP="00050436">
            <w:pPr>
              <w:pStyle w:val="Jurisdictioncommentsheading"/>
            </w:pPr>
            <w:r w:rsidRPr="009E7A88">
              <w:t>Northern Territory Government comments</w:t>
            </w:r>
          </w:p>
          <w:p w:rsidR="00D808F0" w:rsidRDefault="00D808F0" w:rsidP="00D808F0">
            <w:pPr>
              <w:pStyle w:val="Jurisdictioncommentsbodytext"/>
            </w:pPr>
            <w:r>
              <w:t>In 2013</w:t>
            </w:r>
            <w:r w:rsidR="0026487F">
              <w:noBreakHyphen/>
            </w:r>
            <w:r>
              <w:t>14, the NT Fire and Rescue Service (NTFRS) continued its focus on fire prevention, preparedness, response and recovery in order to minimise the impact of fire and other emergencies on Northern Territory communities.</w:t>
            </w:r>
          </w:p>
          <w:p w:rsidR="00D808F0" w:rsidRDefault="00D808F0" w:rsidP="00D808F0">
            <w:pPr>
              <w:pStyle w:val="Jurisdictioncommentsbodytext"/>
            </w:pPr>
            <w:r>
              <w:t>The NTFRS received a Highly Commended notation in the 2013 Chief Minister’s Awards for Excellence in the Public Sector for the Bushfire Arson Prevention Campaign under the category of ‘Enriching Our Society’. This was significant recognition for the NTFRS fire awareness program and for the work put into this campaign to make it a reality.</w:t>
            </w:r>
          </w:p>
          <w:p w:rsidR="00D808F0" w:rsidRDefault="00D808F0" w:rsidP="00D808F0">
            <w:pPr>
              <w:pStyle w:val="Jurisdictioncommentsbodytext"/>
            </w:pPr>
            <w:r>
              <w:t>NTFRS continues its lead role in providing end user input into the Northern Australia research projects emanating from the Bushfire and Natural Hazards Cooperative Research Centre which commenced in July 2013.</w:t>
            </w:r>
          </w:p>
          <w:p w:rsidR="00D808F0" w:rsidRDefault="00D808F0" w:rsidP="00D808F0">
            <w:pPr>
              <w:pStyle w:val="Jurisdictioncommentsbodytext"/>
            </w:pPr>
            <w:r>
              <w:t>Throughout 2013</w:t>
            </w:r>
            <w:r w:rsidR="0026487F">
              <w:noBreakHyphen/>
            </w:r>
            <w:r>
              <w:t>14 the NTFRS continued the renewal of operational frontline appliances for the remote locations with Borroloola receiving a dual cab Toyota grassfire unit and a combination Isuzu pumper rescue for Mataranka Fire and Emergency Response Group. A new Isuzu pumper was introduced into Alice Springs and a new Scania aerial pumper for the Berrimah Fire and Rescue Station in Darwin.</w:t>
            </w:r>
          </w:p>
          <w:p w:rsidR="00D808F0" w:rsidRDefault="00D808F0" w:rsidP="00D808F0">
            <w:pPr>
              <w:pStyle w:val="Jurisdictioncommentsbodytext"/>
            </w:pPr>
            <w:r>
              <w:t>NT Emergency Service (NTES) experienced a moderate level of activity in 2013</w:t>
            </w:r>
            <w:r>
              <w:noBreakHyphen/>
              <w:t>14. Major activities included various road crash rescue operations, logistic sourcing and evacuation shelter preparations for the Daly River community, various search and rescue activities and significant emergency service organisation support.</w:t>
            </w:r>
          </w:p>
          <w:p w:rsidR="00D808F0" w:rsidRDefault="00D808F0" w:rsidP="00D808F0">
            <w:pPr>
              <w:pStyle w:val="Jurisdictioncommentsbodytext"/>
            </w:pPr>
            <w:r>
              <w:t>NTES continued to coordinate emergency management across the NT Government and, prior to the commencement of the wet season, all Regional and Local Emergency Plans were reviewed and updated. The Emergency Management Act 2013 was enacted as at November 2013 and NTES charged with transitioning the Emergency Management Plans across the Territory from the previous Disasters Act.</w:t>
            </w:r>
          </w:p>
          <w:p w:rsidR="00D808F0" w:rsidRDefault="00D808F0" w:rsidP="00D808F0">
            <w:pPr>
              <w:pStyle w:val="Jurisdictioncommentsbodytext"/>
            </w:pPr>
            <w:r>
              <w:t>Bushfires NT responded to predictions of a severe 2014 bushfire season for the top half of the Territory by planning and implementing broad scale fuel reduction programs across much of the Top End and Katherine regions during the early part of the 2014 dry season. Aerial prescribed burning was used extensively to create strategic firebreaks on a regional scale. A series of pre</w:t>
            </w:r>
            <w:r w:rsidR="0026487F">
              <w:noBreakHyphen/>
            </w:r>
            <w:r>
              <w:t>season planning workshops brought together volunteer brigades, landholders and fire managers, resulting in a high level of coordination and cooperation for the 2014 season.</w:t>
            </w:r>
          </w:p>
          <w:p w:rsidR="009E7A88" w:rsidRPr="009E7A88" w:rsidRDefault="00D808F0" w:rsidP="00D808F0">
            <w:pPr>
              <w:pStyle w:val="Jurisdictioncommentsbodytext"/>
            </w:pPr>
            <w:r>
              <w:t>Bushfires NT also continued its program of upgrading volunteer brigade firefighting resources by adding three extra 3000 litre medium attack grassfire units and four extra 500 litre light grassfire units to the volunteer fleet.</w:t>
            </w:r>
          </w:p>
        </w:tc>
        <w:tc>
          <w:tcPr>
            <w:tcW w:w="850" w:type="dxa"/>
            <w:vAlign w:val="bottom"/>
          </w:tcPr>
          <w:p w:rsidR="003C54DA" w:rsidRPr="009E7A88" w:rsidRDefault="00986A8B" w:rsidP="007D5E8E">
            <w:pPr>
              <w:pStyle w:val="BodyText"/>
              <w:jc w:val="center"/>
              <w:rPr>
                <w:rFonts w:ascii="Arial" w:hAnsi="Arial"/>
                <w:b/>
                <w:sz w:val="132"/>
                <w:szCs w:val="132"/>
              </w:rPr>
            </w:pPr>
            <w:r w:rsidRPr="009E7A88">
              <w:rPr>
                <w:b/>
                <w:sz w:val="132"/>
              </w:rPr>
              <w:t>”</w:t>
            </w:r>
          </w:p>
        </w:tc>
      </w:tr>
    </w:tbl>
    <w:p w:rsidR="003576F3" w:rsidRDefault="003576F3" w:rsidP="00150954">
      <w:pPr>
        <w:pStyle w:val="BodyText"/>
      </w:pPr>
      <w:bookmarkStart w:id="128" w:name="OLE_LINK58"/>
      <w:r>
        <w:br w:type="page"/>
      </w:r>
    </w:p>
    <w:p w:rsidR="00986A8B" w:rsidRDefault="008C1F96" w:rsidP="002106F9">
      <w:pPr>
        <w:pStyle w:val="Heading2"/>
      </w:pPr>
      <w:bookmarkStart w:id="129" w:name="_Toc370724859"/>
      <w:r>
        <w:lastRenderedPageBreak/>
        <w:t>9.</w:t>
      </w:r>
      <w:r w:rsidR="00D52162">
        <w:rPr>
          <w:noProof/>
        </w:rPr>
        <w:t>9</w:t>
      </w:r>
      <w:bookmarkEnd w:id="128"/>
      <w:r w:rsidR="00986A8B" w:rsidRPr="001F08C0">
        <w:tab/>
        <w:t>Definitions of key terms</w:t>
      </w:r>
      <w:bookmarkEnd w:id="129"/>
    </w:p>
    <w:p w:rsidR="002106F9" w:rsidRPr="002106F9" w:rsidRDefault="002106F9" w:rsidP="002106F9">
      <w:pPr>
        <w:pStyle w:val="BoxSpaceAbove"/>
      </w:pPr>
    </w:p>
    <w:tbl>
      <w:tblPr>
        <w:tblW w:w="8789" w:type="dxa"/>
        <w:tblLayout w:type="fixed"/>
        <w:tblCellMar>
          <w:top w:w="57" w:type="dxa"/>
          <w:left w:w="28" w:type="dxa"/>
          <w:bottom w:w="57" w:type="dxa"/>
          <w:right w:w="0" w:type="dxa"/>
        </w:tblCellMar>
        <w:tblLook w:val="0000" w:firstRow="0" w:lastRow="0" w:firstColumn="0" w:lastColumn="0" w:noHBand="0" w:noVBand="0"/>
      </w:tblPr>
      <w:tblGrid>
        <w:gridCol w:w="1843"/>
        <w:gridCol w:w="6946"/>
      </w:tblGrid>
      <w:tr w:rsidR="0054741D" w:rsidRPr="001F08C0" w:rsidTr="00446594">
        <w:tc>
          <w:tcPr>
            <w:tcW w:w="1843" w:type="dxa"/>
            <w:shd w:val="clear" w:color="auto" w:fill="auto"/>
          </w:tcPr>
          <w:p w:rsidR="0054741D" w:rsidRPr="001F08C0" w:rsidRDefault="0054741D" w:rsidP="008E2806">
            <w:pPr>
              <w:pStyle w:val="TableBodyText"/>
              <w:keepNext w:val="0"/>
              <w:keepLines w:val="0"/>
              <w:widowControl w:val="0"/>
              <w:spacing w:before="60" w:after="60"/>
              <w:jc w:val="left"/>
              <w:rPr>
                <w:b/>
              </w:rPr>
            </w:pPr>
            <w:r w:rsidRPr="0054741D">
              <w:rPr>
                <w:b/>
              </w:rPr>
              <w:t>Comparability</w:t>
            </w:r>
          </w:p>
        </w:tc>
        <w:tc>
          <w:tcPr>
            <w:tcW w:w="6946" w:type="dxa"/>
            <w:shd w:val="clear" w:color="auto" w:fill="auto"/>
          </w:tcPr>
          <w:p w:rsidR="0054741D" w:rsidRDefault="00814B8C" w:rsidP="002E29D2">
            <w:pPr>
              <w:pStyle w:val="TableBodyText"/>
              <w:jc w:val="left"/>
            </w:pPr>
            <w:r w:rsidRPr="00814B8C">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54741D" w:rsidRPr="001F08C0" w:rsidTr="00446594">
        <w:tc>
          <w:tcPr>
            <w:tcW w:w="1843" w:type="dxa"/>
            <w:shd w:val="clear" w:color="auto" w:fill="auto"/>
          </w:tcPr>
          <w:p w:rsidR="0054741D" w:rsidRPr="001F08C0" w:rsidRDefault="0054741D" w:rsidP="008E2806">
            <w:pPr>
              <w:pStyle w:val="TableBodyText"/>
              <w:keepNext w:val="0"/>
              <w:keepLines w:val="0"/>
              <w:widowControl w:val="0"/>
              <w:spacing w:before="60" w:after="60"/>
              <w:jc w:val="left"/>
              <w:rPr>
                <w:b/>
              </w:rPr>
            </w:pPr>
            <w:r w:rsidRPr="0054741D">
              <w:rPr>
                <w:b/>
              </w:rPr>
              <w:t>Completeness</w:t>
            </w:r>
          </w:p>
        </w:tc>
        <w:tc>
          <w:tcPr>
            <w:tcW w:w="6946" w:type="dxa"/>
            <w:shd w:val="clear" w:color="auto" w:fill="auto"/>
          </w:tcPr>
          <w:p w:rsidR="0054741D" w:rsidRDefault="00814B8C" w:rsidP="008E2806">
            <w:pPr>
              <w:pStyle w:val="TableBodyText"/>
              <w:jc w:val="left"/>
            </w:pPr>
            <w:r w:rsidRPr="00814B8C">
              <w:t>Data are considered complete if all required data are available for all jurisdictions that provide the service.</w:t>
            </w:r>
          </w:p>
        </w:tc>
      </w:tr>
      <w:tr w:rsidR="002A1FE1" w:rsidRPr="001F08C0" w:rsidTr="00EC7BE9">
        <w:tc>
          <w:tcPr>
            <w:tcW w:w="1843" w:type="dxa"/>
            <w:shd w:val="clear" w:color="auto" w:fill="auto"/>
          </w:tcPr>
          <w:p w:rsidR="002A1FE1" w:rsidRPr="001F08C0" w:rsidRDefault="002A1FE1" w:rsidP="00EC7BE9">
            <w:pPr>
              <w:pStyle w:val="TableBodyText"/>
              <w:keepNext w:val="0"/>
              <w:keepLines w:val="0"/>
              <w:widowControl w:val="0"/>
              <w:spacing w:before="60" w:after="60"/>
              <w:jc w:val="left"/>
              <w:rPr>
                <w:b/>
              </w:rPr>
            </w:pPr>
            <w:r w:rsidRPr="001F08C0">
              <w:rPr>
                <w:b/>
              </w:rPr>
              <w:t>Expenditure</w:t>
            </w:r>
          </w:p>
        </w:tc>
        <w:tc>
          <w:tcPr>
            <w:tcW w:w="6946" w:type="dxa"/>
            <w:shd w:val="clear" w:color="auto" w:fill="auto"/>
          </w:tcPr>
          <w:p w:rsidR="002A1FE1" w:rsidRDefault="002A1FE1" w:rsidP="00EC7BE9">
            <w:pPr>
              <w:pStyle w:val="TableBodyText"/>
              <w:keepNext w:val="0"/>
              <w:keepLines w:val="0"/>
              <w:widowControl w:val="0"/>
              <w:spacing w:before="60" w:after="60"/>
              <w:ind w:right="28"/>
              <w:jc w:val="left"/>
            </w:pPr>
            <w:r>
              <w:t>Includes:</w:t>
            </w:r>
          </w:p>
          <w:p w:rsidR="002A1FE1" w:rsidRDefault="002A1FE1" w:rsidP="00EC7BE9">
            <w:pPr>
              <w:pStyle w:val="TableBullet"/>
            </w:pPr>
            <w:r w:rsidRPr="001F08C0">
              <w:t>salaries and payments in the nature of salaries to fire and ambulance personnel</w:t>
            </w:r>
          </w:p>
          <w:p w:rsidR="002A1FE1" w:rsidRDefault="002A1FE1" w:rsidP="00EC7BE9">
            <w:pPr>
              <w:pStyle w:val="TableBullet"/>
            </w:pPr>
            <w:r w:rsidRPr="001F08C0">
              <w:t xml:space="preserve">capital expenditure (such as the user cost of capital) </w:t>
            </w:r>
          </w:p>
          <w:p w:rsidR="002A1FE1" w:rsidRDefault="002A1FE1" w:rsidP="00EC7BE9">
            <w:pPr>
              <w:pStyle w:val="TableBullet"/>
            </w:pPr>
            <w:r w:rsidRPr="001F08C0">
              <w:t xml:space="preserve">other operating expenditure (such as running expenditure, contract expenditure, training expenditure, maintenance expenditure, communications expenditure, provision for losses and other recurrent expenditure). </w:t>
            </w:r>
          </w:p>
          <w:p w:rsidR="002A1FE1" w:rsidRPr="001F08C0" w:rsidRDefault="002A1FE1" w:rsidP="00EC7BE9">
            <w:pPr>
              <w:pStyle w:val="TableBodyText"/>
              <w:jc w:val="left"/>
            </w:pPr>
            <w:r w:rsidRPr="001F08C0">
              <w:t>Excludes interest on borrowings.</w:t>
            </w:r>
          </w:p>
        </w:tc>
      </w:tr>
      <w:tr w:rsidR="002A1FE1" w:rsidRPr="001F08C0" w:rsidTr="00EC7BE9">
        <w:tc>
          <w:tcPr>
            <w:tcW w:w="1843" w:type="dxa"/>
            <w:shd w:val="clear" w:color="auto" w:fill="auto"/>
          </w:tcPr>
          <w:p w:rsidR="002A1FE1" w:rsidRPr="002A1FE1" w:rsidRDefault="002A1FE1" w:rsidP="00EC7BE9">
            <w:pPr>
              <w:pStyle w:val="TableBodyText"/>
              <w:keepNext w:val="0"/>
              <w:keepLines w:val="0"/>
              <w:widowControl w:val="0"/>
              <w:spacing w:before="60" w:after="60"/>
              <w:ind w:left="284"/>
              <w:jc w:val="left"/>
            </w:pPr>
            <w:r w:rsidRPr="002A1FE1">
              <w:t xml:space="preserve">User cost </w:t>
            </w:r>
            <w:r w:rsidRPr="002A1FE1">
              <w:br/>
              <w:t>of capital</w:t>
            </w:r>
          </w:p>
        </w:tc>
        <w:tc>
          <w:tcPr>
            <w:tcW w:w="6946" w:type="dxa"/>
            <w:shd w:val="clear" w:color="auto" w:fill="auto"/>
          </w:tcPr>
          <w:p w:rsidR="002A1FE1" w:rsidRPr="001F08C0" w:rsidRDefault="002A1FE1" w:rsidP="00EC7BE9">
            <w:pPr>
              <w:pStyle w:val="TableBodyText"/>
              <w:keepNext w:val="0"/>
              <w:keepLines w:val="0"/>
              <w:widowControl w:val="0"/>
              <w:spacing w:before="60" w:after="60"/>
              <w:jc w:val="left"/>
            </w:pPr>
            <w:r w:rsidRPr="001F08C0">
              <w:t>The opportunity cost of funds tied up in the capital used to deliver services. Calculated as 8 per cent of the current value of non</w:t>
            </w:r>
            <w:r>
              <w:noBreakHyphen/>
            </w:r>
            <w:r w:rsidRPr="001F08C0">
              <w:t>current physical assets (including land, plant and equipment).</w:t>
            </w:r>
          </w:p>
        </w:tc>
      </w:tr>
      <w:tr w:rsidR="002A1FE1" w:rsidRPr="001F08C0" w:rsidTr="00EC7BE9">
        <w:tc>
          <w:tcPr>
            <w:tcW w:w="1843" w:type="dxa"/>
            <w:shd w:val="clear" w:color="auto" w:fill="auto"/>
          </w:tcPr>
          <w:p w:rsidR="002A1FE1" w:rsidRPr="001F08C0" w:rsidRDefault="002A1FE1" w:rsidP="00EC7BE9">
            <w:pPr>
              <w:pStyle w:val="TableBodyText"/>
              <w:keepNext w:val="0"/>
              <w:keepLines w:val="0"/>
              <w:widowControl w:val="0"/>
              <w:spacing w:before="60" w:after="60"/>
              <w:jc w:val="left"/>
              <w:rPr>
                <w:b/>
              </w:rPr>
            </w:pPr>
            <w:r>
              <w:rPr>
                <w:b/>
              </w:rPr>
              <w:t>Human resources</w:t>
            </w:r>
          </w:p>
        </w:tc>
        <w:tc>
          <w:tcPr>
            <w:tcW w:w="6946" w:type="dxa"/>
            <w:shd w:val="clear" w:color="auto" w:fill="auto"/>
          </w:tcPr>
          <w:p w:rsidR="002A1FE1" w:rsidRDefault="002A1FE1" w:rsidP="00EC7BE9">
            <w:pPr>
              <w:pStyle w:val="TableBodyText"/>
              <w:keepNext w:val="0"/>
              <w:keepLines w:val="0"/>
              <w:widowControl w:val="0"/>
              <w:spacing w:before="60" w:after="60"/>
              <w:ind w:right="28"/>
              <w:jc w:val="left"/>
            </w:pPr>
            <w:r w:rsidRPr="005F0C77">
              <w:t>Human resources refers to any person delivering a service, or managing the delivery of this service, including</w:t>
            </w:r>
            <w:r>
              <w:t>:</w:t>
            </w:r>
            <w:r w:rsidRPr="005F0C77">
              <w:t xml:space="preserve"> </w:t>
            </w:r>
          </w:p>
          <w:p w:rsidR="002A1FE1" w:rsidRDefault="002A1FE1" w:rsidP="00EC7BE9">
            <w:pPr>
              <w:pStyle w:val="TableBullet"/>
            </w:pPr>
            <w:r w:rsidRPr="00980E2D">
              <w:t xml:space="preserve">firefighters (qualified paid and volunteer firefighters) </w:t>
            </w:r>
          </w:p>
          <w:p w:rsidR="002A1FE1" w:rsidRDefault="002A1FE1" w:rsidP="00EC7BE9">
            <w:pPr>
              <w:pStyle w:val="TableBullet"/>
            </w:pPr>
            <w:r w:rsidRPr="001F08C0">
              <w:t>salaried ambulance personnel, remunerated volunteer and non</w:t>
            </w:r>
            <w:r w:rsidRPr="001F08C0">
              <w:noBreakHyphen/>
              <w:t>remunerated volunteer ambulance personnel</w:t>
            </w:r>
          </w:p>
          <w:p w:rsidR="002A1FE1" w:rsidRPr="00980E2D" w:rsidRDefault="002A1FE1" w:rsidP="00EC7BE9">
            <w:pPr>
              <w:pStyle w:val="TableBullet"/>
            </w:pPr>
            <w:r w:rsidRPr="00980E2D">
              <w:t>support personnel (any paid person or volunteer directly supporting operational providers, including administrative, technical and communications personnel).</w:t>
            </w:r>
          </w:p>
        </w:tc>
      </w:tr>
      <w:tr w:rsidR="009B671E" w:rsidRPr="001F08C0" w:rsidTr="005374AD">
        <w:tc>
          <w:tcPr>
            <w:tcW w:w="1843" w:type="dxa"/>
            <w:shd w:val="clear" w:color="auto" w:fill="auto"/>
          </w:tcPr>
          <w:p w:rsidR="009B671E" w:rsidRPr="001F08C0" w:rsidRDefault="009B671E" w:rsidP="003A402C">
            <w:pPr>
              <w:pStyle w:val="TableBodyText"/>
              <w:keepNext w:val="0"/>
              <w:keepLines w:val="0"/>
              <w:widowControl w:val="0"/>
              <w:spacing w:before="60" w:after="60"/>
              <w:jc w:val="left"/>
              <w:rPr>
                <w:b/>
              </w:rPr>
            </w:pPr>
            <w:r>
              <w:rPr>
                <w:b/>
              </w:rPr>
              <w:t>Revenue</w:t>
            </w:r>
          </w:p>
        </w:tc>
        <w:tc>
          <w:tcPr>
            <w:tcW w:w="6946" w:type="dxa"/>
            <w:shd w:val="clear" w:color="auto" w:fill="auto"/>
          </w:tcPr>
          <w:p w:rsidR="009B671E" w:rsidRDefault="00B51B9A" w:rsidP="0054741D">
            <w:pPr>
              <w:pStyle w:val="TableBodyText"/>
              <w:jc w:val="left"/>
            </w:pPr>
            <w:r w:rsidRPr="0054741D">
              <w:t>Revenue</w:t>
            </w:r>
            <w:r w:rsidR="009B671E">
              <w:t xml:space="preserve"> received </w:t>
            </w:r>
            <w:r>
              <w:t xml:space="preserve">directly or indirectly </w:t>
            </w:r>
            <w:r w:rsidR="009B671E">
              <w:t>by fire</w:t>
            </w:r>
            <w:r>
              <w:t xml:space="preserve"> and </w:t>
            </w:r>
            <w:r w:rsidR="009B671E">
              <w:t>ambulance service organisation</w:t>
            </w:r>
            <w:r>
              <w:t>s</w:t>
            </w:r>
            <w:r w:rsidR="009B671E">
              <w:t xml:space="preserve"> on an accrual accounting basis, including:</w:t>
            </w:r>
          </w:p>
        </w:tc>
      </w:tr>
      <w:tr w:rsidR="009B671E" w:rsidRPr="001F08C0" w:rsidTr="005374AD">
        <w:tc>
          <w:tcPr>
            <w:tcW w:w="1843" w:type="dxa"/>
            <w:shd w:val="clear" w:color="auto" w:fill="auto"/>
          </w:tcPr>
          <w:p w:rsidR="009B671E" w:rsidRPr="002A1FE1" w:rsidRDefault="009B671E" w:rsidP="003A402C">
            <w:pPr>
              <w:pStyle w:val="TableBodyText"/>
              <w:keepNext w:val="0"/>
              <w:keepLines w:val="0"/>
              <w:widowControl w:val="0"/>
              <w:spacing w:before="60" w:after="60"/>
              <w:ind w:left="284"/>
              <w:jc w:val="left"/>
            </w:pPr>
            <w:r w:rsidRPr="002A1FE1">
              <w:t>Government grant funding</w:t>
            </w:r>
          </w:p>
        </w:tc>
        <w:tc>
          <w:tcPr>
            <w:tcW w:w="6946" w:type="dxa"/>
            <w:shd w:val="clear" w:color="auto" w:fill="auto"/>
          </w:tcPr>
          <w:p w:rsidR="009B671E" w:rsidRDefault="009B671E" w:rsidP="003A402C">
            <w:pPr>
              <w:pStyle w:val="TableBodyText"/>
              <w:keepNext w:val="0"/>
              <w:keepLines w:val="0"/>
              <w:widowControl w:val="0"/>
              <w:spacing w:before="60" w:after="60"/>
              <w:ind w:right="28"/>
              <w:jc w:val="left"/>
            </w:pPr>
            <w:r>
              <w:t>Grant funding, as established in legislation,</w:t>
            </w:r>
            <w:r w:rsidRPr="00E43138">
              <w:t xml:space="preserve"> from</w:t>
            </w:r>
            <w:r>
              <w:t xml:space="preserve"> the </w:t>
            </w:r>
            <w:r w:rsidRPr="00E43138">
              <w:t>Australian</w:t>
            </w:r>
            <w:r>
              <w:t>, State/Territory and Local</w:t>
            </w:r>
            <w:r w:rsidRPr="00E43138">
              <w:t xml:space="preserve"> government</w:t>
            </w:r>
            <w:r>
              <w:t>s</w:t>
            </w:r>
            <w:r w:rsidRPr="00E43138">
              <w:t>.</w:t>
            </w:r>
          </w:p>
        </w:tc>
      </w:tr>
      <w:tr w:rsidR="009B671E" w:rsidRPr="001F08C0" w:rsidTr="005374AD">
        <w:tc>
          <w:tcPr>
            <w:tcW w:w="1843" w:type="dxa"/>
            <w:shd w:val="clear" w:color="auto" w:fill="auto"/>
          </w:tcPr>
          <w:p w:rsidR="009B671E" w:rsidRPr="002A1FE1" w:rsidRDefault="009B671E" w:rsidP="003A402C">
            <w:pPr>
              <w:pStyle w:val="TableBodyText"/>
              <w:keepNext w:val="0"/>
              <w:keepLines w:val="0"/>
              <w:widowControl w:val="0"/>
              <w:spacing w:before="60" w:after="60"/>
              <w:ind w:left="284"/>
              <w:jc w:val="left"/>
            </w:pPr>
            <w:r w:rsidRPr="002A1FE1">
              <w:t>Levies</w:t>
            </w:r>
          </w:p>
        </w:tc>
        <w:tc>
          <w:tcPr>
            <w:tcW w:w="6946" w:type="dxa"/>
            <w:shd w:val="clear" w:color="auto" w:fill="auto"/>
          </w:tcPr>
          <w:p w:rsidR="009B671E" w:rsidRDefault="00F45814" w:rsidP="003A402C">
            <w:pPr>
              <w:pStyle w:val="TableBodyText"/>
              <w:keepNext w:val="0"/>
              <w:keepLines w:val="0"/>
              <w:widowControl w:val="0"/>
              <w:spacing w:before="60" w:after="60"/>
              <w:ind w:right="28"/>
              <w:jc w:val="left"/>
            </w:pPr>
            <w:r>
              <w:t>Revenue</w:t>
            </w:r>
            <w:r w:rsidR="009113B4">
              <w:t xml:space="preserve"> from levies</w:t>
            </w:r>
            <w:r w:rsidR="00B51B9A">
              <w:t xml:space="preserve">, </w:t>
            </w:r>
            <w:r w:rsidR="00B51B9A" w:rsidRPr="00E43138">
              <w:t>as established in enabling legislation</w:t>
            </w:r>
            <w:r w:rsidR="00B51B9A">
              <w:t>,</w:t>
            </w:r>
            <w:r w:rsidR="009113B4">
              <w:t xml:space="preserve"> raised </w:t>
            </w:r>
            <w:r w:rsidR="009B671E">
              <w:t>on insurance companies and property owners.</w:t>
            </w:r>
          </w:p>
        </w:tc>
      </w:tr>
      <w:tr w:rsidR="009B671E" w:rsidRPr="001F08C0" w:rsidTr="005374AD">
        <w:tc>
          <w:tcPr>
            <w:tcW w:w="1843" w:type="dxa"/>
            <w:shd w:val="clear" w:color="auto" w:fill="auto"/>
          </w:tcPr>
          <w:p w:rsidR="009B671E" w:rsidRPr="002A1FE1" w:rsidRDefault="009B671E" w:rsidP="003A402C">
            <w:pPr>
              <w:pStyle w:val="TableBodyText"/>
              <w:keepNext w:val="0"/>
              <w:keepLines w:val="0"/>
              <w:widowControl w:val="0"/>
              <w:spacing w:before="60" w:after="60"/>
              <w:ind w:left="284"/>
              <w:jc w:val="left"/>
            </w:pPr>
            <w:r w:rsidRPr="002A1FE1">
              <w:t>User/transport charges</w:t>
            </w:r>
          </w:p>
        </w:tc>
        <w:tc>
          <w:tcPr>
            <w:tcW w:w="6946" w:type="dxa"/>
            <w:shd w:val="clear" w:color="auto" w:fill="auto"/>
          </w:tcPr>
          <w:p w:rsidR="009B671E" w:rsidRDefault="00F45814" w:rsidP="003A402C">
            <w:pPr>
              <w:pStyle w:val="TableBodyText"/>
              <w:keepNext w:val="0"/>
              <w:keepLines w:val="0"/>
              <w:widowControl w:val="0"/>
              <w:spacing w:before="60" w:after="60"/>
              <w:ind w:right="28"/>
              <w:jc w:val="left"/>
            </w:pPr>
            <w:r>
              <w:t>Revenue from</w:t>
            </w:r>
            <w:r w:rsidR="009B671E">
              <w:t xml:space="preserve"> </w:t>
            </w:r>
            <w:r w:rsidR="009113B4">
              <w:t xml:space="preserve">fees and </w:t>
            </w:r>
            <w:r w:rsidR="009B671E">
              <w:t>charges on individuals</w:t>
            </w:r>
            <w:r w:rsidR="009113B4">
              <w:t>, private/public</w:t>
            </w:r>
            <w:r w:rsidR="009B671E">
              <w:t xml:space="preserve"> organisations</w:t>
            </w:r>
            <w:r w:rsidR="009113B4">
              <w:t xml:space="preserve"> and insurers</w:t>
            </w:r>
            <w:r w:rsidR="009B671E">
              <w:t>.</w:t>
            </w:r>
          </w:p>
        </w:tc>
      </w:tr>
      <w:tr w:rsidR="009B671E" w:rsidRPr="001F08C0" w:rsidTr="005374AD">
        <w:tc>
          <w:tcPr>
            <w:tcW w:w="1843" w:type="dxa"/>
            <w:shd w:val="clear" w:color="auto" w:fill="auto"/>
          </w:tcPr>
          <w:p w:rsidR="009B671E" w:rsidRPr="002A1FE1" w:rsidRDefault="009113B4" w:rsidP="003A402C">
            <w:pPr>
              <w:pStyle w:val="TableBodyText"/>
              <w:keepNext w:val="0"/>
              <w:keepLines w:val="0"/>
              <w:widowControl w:val="0"/>
              <w:spacing w:before="60" w:after="60"/>
              <w:ind w:left="284"/>
              <w:jc w:val="left"/>
            </w:pPr>
            <w:r w:rsidRPr="002A1FE1">
              <w:t>Subscriptions and other income</w:t>
            </w:r>
          </w:p>
        </w:tc>
        <w:tc>
          <w:tcPr>
            <w:tcW w:w="6946" w:type="dxa"/>
            <w:shd w:val="clear" w:color="auto" w:fill="auto"/>
          </w:tcPr>
          <w:p w:rsidR="009B671E" w:rsidRDefault="00F45814" w:rsidP="003A402C">
            <w:pPr>
              <w:pStyle w:val="TableBodyText"/>
              <w:keepNext w:val="0"/>
              <w:keepLines w:val="0"/>
              <w:widowControl w:val="0"/>
              <w:spacing w:before="60" w:after="60"/>
              <w:ind w:right="28"/>
              <w:jc w:val="left"/>
            </w:pPr>
            <w:r>
              <w:t>O</w:t>
            </w:r>
            <w:r w:rsidR="009113B4">
              <w:t xml:space="preserve">ther </w:t>
            </w:r>
            <w:r>
              <w:t>revenue</w:t>
            </w:r>
            <w:r w:rsidR="00B51B9A">
              <w:t>, including:</w:t>
            </w:r>
          </w:p>
          <w:p w:rsidR="00B51B9A" w:rsidRPr="00B51B9A" w:rsidRDefault="00B51B9A" w:rsidP="003A402C">
            <w:pPr>
              <w:pStyle w:val="TableBullet"/>
            </w:pPr>
            <w:r w:rsidRPr="00E14C41">
              <w:rPr>
                <w:color w:val="000000"/>
              </w:rPr>
              <w:t xml:space="preserve">subscriptions and benefit funds received </w:t>
            </w:r>
            <w:r w:rsidR="00F45814">
              <w:rPr>
                <w:color w:val="000000"/>
              </w:rPr>
              <w:t>from the community</w:t>
            </w:r>
          </w:p>
          <w:p w:rsidR="00B51B9A" w:rsidRDefault="00B51B9A" w:rsidP="003A402C">
            <w:pPr>
              <w:pStyle w:val="TableBullet"/>
            </w:pPr>
            <w:r w:rsidRPr="00B51B9A">
              <w:t>donations, industry contributions and fundraising received</w:t>
            </w:r>
          </w:p>
          <w:p w:rsidR="00B51B9A" w:rsidRDefault="00B51B9A" w:rsidP="003A402C">
            <w:pPr>
              <w:pStyle w:val="TableBullet"/>
            </w:pPr>
            <w:r>
              <w:t>other income</w:t>
            </w:r>
            <w:r w:rsidRPr="00B51B9A">
              <w:t>.</w:t>
            </w:r>
          </w:p>
        </w:tc>
      </w:tr>
      <w:tr w:rsidR="007D20FC" w:rsidRPr="001F08C0" w:rsidTr="005374AD">
        <w:tc>
          <w:tcPr>
            <w:tcW w:w="1843" w:type="dxa"/>
            <w:shd w:val="clear" w:color="auto" w:fill="auto"/>
          </w:tcPr>
          <w:p w:rsidR="007D20FC" w:rsidRPr="002A1FE1" w:rsidRDefault="007D20FC" w:rsidP="003A402C">
            <w:pPr>
              <w:pStyle w:val="TableBodyText"/>
              <w:keepNext w:val="0"/>
              <w:keepLines w:val="0"/>
              <w:widowControl w:val="0"/>
              <w:spacing w:before="60" w:after="60"/>
              <w:ind w:left="284"/>
              <w:jc w:val="left"/>
            </w:pPr>
            <w:r w:rsidRPr="002A1FE1">
              <w:t>Indirect revenue</w:t>
            </w:r>
          </w:p>
        </w:tc>
        <w:tc>
          <w:tcPr>
            <w:tcW w:w="6946" w:type="dxa"/>
            <w:shd w:val="clear" w:color="auto" w:fill="auto"/>
          </w:tcPr>
          <w:p w:rsidR="007D20FC" w:rsidRPr="001F08C0" w:rsidRDefault="007D20FC" w:rsidP="003A402C">
            <w:pPr>
              <w:pStyle w:val="TableBodyText"/>
              <w:keepNext w:val="0"/>
              <w:keepLines w:val="0"/>
              <w:widowControl w:val="0"/>
              <w:spacing w:before="60" w:after="60"/>
              <w:jc w:val="left"/>
            </w:pPr>
            <w:r w:rsidRPr="001F08C0">
              <w:t>All revenue or funding received indirectly by the agency (for example, directly to Treasury or other such entity) that arises from the agency’s actions.</w:t>
            </w:r>
          </w:p>
        </w:tc>
      </w:tr>
    </w:tbl>
    <w:p w:rsidR="002A1FE1" w:rsidRDefault="002A1FE1" w:rsidP="002A1FE1">
      <w:pPr>
        <w:pStyle w:val="BodyText"/>
      </w:pPr>
      <w:r>
        <w:br w:type="page"/>
      </w:r>
    </w:p>
    <w:tbl>
      <w:tblPr>
        <w:tblW w:w="8789" w:type="dxa"/>
        <w:tblLayout w:type="fixed"/>
        <w:tblCellMar>
          <w:top w:w="57" w:type="dxa"/>
          <w:left w:w="28" w:type="dxa"/>
          <w:bottom w:w="57" w:type="dxa"/>
          <w:right w:w="0" w:type="dxa"/>
        </w:tblCellMar>
        <w:tblLook w:val="0000" w:firstRow="0" w:lastRow="0" w:firstColumn="0" w:lastColumn="0" w:noHBand="0" w:noVBand="0"/>
      </w:tblPr>
      <w:tblGrid>
        <w:gridCol w:w="1843"/>
        <w:gridCol w:w="879"/>
        <w:gridCol w:w="6067"/>
      </w:tblGrid>
      <w:tr w:rsidR="001F08C0" w:rsidRPr="001F08C0" w:rsidTr="002A1FE1">
        <w:tc>
          <w:tcPr>
            <w:tcW w:w="2722" w:type="dxa"/>
            <w:gridSpan w:val="2"/>
            <w:shd w:val="clear" w:color="auto" w:fill="auto"/>
          </w:tcPr>
          <w:p w:rsidR="00752C39" w:rsidRPr="001F08C0" w:rsidRDefault="00752C39" w:rsidP="002A1FE1">
            <w:pPr>
              <w:pStyle w:val="TableBodyText"/>
              <w:keepNext w:val="0"/>
              <w:keepLines w:val="0"/>
              <w:widowControl w:val="0"/>
              <w:spacing w:before="60" w:after="60"/>
              <w:jc w:val="left"/>
              <w:rPr>
                <w:b/>
              </w:rPr>
            </w:pPr>
            <w:r w:rsidRPr="001F08C0">
              <w:rPr>
                <w:b/>
              </w:rPr>
              <w:lastRenderedPageBreak/>
              <w:t>Volunteer</w:t>
            </w:r>
            <w:r w:rsidR="00335A6D">
              <w:rPr>
                <w:b/>
              </w:rPr>
              <w:t xml:space="preserve"> personnel</w:t>
            </w:r>
            <w:r w:rsidRPr="001F08C0">
              <w:rPr>
                <w:b/>
              </w:rPr>
              <w:t xml:space="preserve"> </w:t>
            </w:r>
          </w:p>
        </w:tc>
        <w:tc>
          <w:tcPr>
            <w:tcW w:w="6067" w:type="dxa"/>
            <w:shd w:val="clear" w:color="auto" w:fill="auto"/>
          </w:tcPr>
          <w:p w:rsidR="00752C39" w:rsidRPr="001F08C0" w:rsidRDefault="00752C39" w:rsidP="003A402C">
            <w:pPr>
              <w:pStyle w:val="TableBodyText"/>
              <w:keepNext w:val="0"/>
              <w:keepLines w:val="0"/>
              <w:widowControl w:val="0"/>
              <w:spacing w:before="60" w:after="60"/>
              <w:jc w:val="left"/>
            </w:pPr>
          </w:p>
        </w:tc>
      </w:tr>
      <w:tr w:rsidR="002A1FE1" w:rsidRPr="001F08C0" w:rsidTr="005374AD">
        <w:tc>
          <w:tcPr>
            <w:tcW w:w="1843" w:type="dxa"/>
            <w:shd w:val="clear" w:color="auto" w:fill="auto"/>
          </w:tcPr>
          <w:p w:rsidR="002A1FE1" w:rsidRDefault="002A1FE1" w:rsidP="002A1FE1">
            <w:pPr>
              <w:pStyle w:val="TableBodyText"/>
              <w:keepNext w:val="0"/>
              <w:keepLines w:val="0"/>
              <w:widowControl w:val="0"/>
              <w:spacing w:before="60" w:after="60"/>
              <w:ind w:left="284"/>
              <w:jc w:val="left"/>
            </w:pPr>
            <w:r w:rsidRPr="002A1FE1">
              <w:t>Volunteer firefighters</w:t>
            </w:r>
            <w:r>
              <w:br/>
            </w:r>
            <w:r w:rsidRPr="002A1FE1">
              <w:t>/ambulance operatives</w:t>
            </w:r>
          </w:p>
          <w:p w:rsidR="002A1FE1" w:rsidRPr="001F08C0" w:rsidRDefault="002A1FE1" w:rsidP="003A402C">
            <w:pPr>
              <w:pStyle w:val="TableBodyText"/>
              <w:keepNext w:val="0"/>
              <w:keepLines w:val="0"/>
              <w:widowControl w:val="0"/>
              <w:spacing w:before="60" w:after="60"/>
              <w:jc w:val="left"/>
              <w:rPr>
                <w:b/>
              </w:rPr>
            </w:pPr>
          </w:p>
        </w:tc>
        <w:tc>
          <w:tcPr>
            <w:tcW w:w="6946" w:type="dxa"/>
            <w:gridSpan w:val="2"/>
            <w:shd w:val="clear" w:color="auto" w:fill="auto"/>
          </w:tcPr>
          <w:p w:rsidR="002A1FE1" w:rsidRDefault="002A1FE1" w:rsidP="002A1FE1">
            <w:pPr>
              <w:pStyle w:val="TableBodyText"/>
              <w:keepNext w:val="0"/>
              <w:keepLines w:val="0"/>
              <w:widowControl w:val="0"/>
              <w:spacing w:before="60" w:after="60"/>
              <w:jc w:val="left"/>
            </w:pPr>
            <w:r>
              <w:t>A</w:t>
            </w:r>
            <w:r w:rsidRPr="001F08C0">
              <w:t>ll personnel engage</w:t>
            </w:r>
            <w:r>
              <w:t>d on an unpaid casual basis by the emergency service organisation who:</w:t>
            </w:r>
          </w:p>
          <w:p w:rsidR="002A1FE1" w:rsidRPr="007D20FC" w:rsidRDefault="002A1FE1" w:rsidP="002A1FE1">
            <w:pPr>
              <w:pStyle w:val="TableBullet"/>
              <w:keepNext w:val="0"/>
              <w:keepLines w:val="0"/>
              <w:widowControl w:val="0"/>
              <w:spacing w:before="60" w:after="60"/>
              <w:rPr>
                <w:i/>
              </w:rPr>
            </w:pPr>
            <w:r w:rsidRPr="001F08C0">
              <w:t>are principally involved in the delivery of ambulance services</w:t>
            </w:r>
            <w:r>
              <w:t>,</w:t>
            </w:r>
            <w:r w:rsidRPr="001F08C0">
              <w:t xml:space="preserve"> generally on an on</w:t>
            </w:r>
            <w:r w:rsidRPr="001F08C0">
              <w:noBreakHyphen/>
              <w:t>call basis. These staff may include categories on the same basis as permanent ambulance operati</w:t>
            </w:r>
            <w:r>
              <w:t>ves (with transport capability)</w:t>
            </w:r>
          </w:p>
          <w:p w:rsidR="002A1FE1" w:rsidRPr="001F08C0" w:rsidRDefault="002A1FE1" w:rsidP="002A1FE1">
            <w:pPr>
              <w:pStyle w:val="TableBullet"/>
              <w:rPr>
                <w:i/>
              </w:rPr>
            </w:pPr>
            <w:r w:rsidRPr="001F08C0">
              <w:t>deliver or manage a firefighting service directly to the community and who are formally trained and qualified to undertake firefighting duties</w:t>
            </w:r>
            <w:r>
              <w:t>,</w:t>
            </w:r>
            <w:r w:rsidRPr="001F08C0">
              <w:t xml:space="preserve"> but do not receive remuneration other than reimbursement of ‘out of pocket expenses’.</w:t>
            </w:r>
          </w:p>
        </w:tc>
      </w:tr>
      <w:tr w:rsidR="002A1FE1" w:rsidRPr="001F08C0" w:rsidTr="005374AD">
        <w:tc>
          <w:tcPr>
            <w:tcW w:w="1843" w:type="dxa"/>
            <w:shd w:val="clear" w:color="auto" w:fill="auto"/>
          </w:tcPr>
          <w:p w:rsidR="002A1FE1" w:rsidRPr="002A1FE1" w:rsidRDefault="002A1FE1" w:rsidP="002A1FE1">
            <w:pPr>
              <w:pStyle w:val="TableBodyText"/>
              <w:keepNext w:val="0"/>
              <w:keepLines w:val="0"/>
              <w:widowControl w:val="0"/>
              <w:spacing w:before="60" w:after="60"/>
              <w:ind w:left="284"/>
              <w:jc w:val="left"/>
            </w:pPr>
            <w:r w:rsidRPr="002A1FE1">
              <w:t>Remunerated volunteer ambulance operatives</w:t>
            </w:r>
          </w:p>
        </w:tc>
        <w:tc>
          <w:tcPr>
            <w:tcW w:w="6946" w:type="dxa"/>
            <w:gridSpan w:val="2"/>
            <w:shd w:val="clear" w:color="auto" w:fill="auto"/>
          </w:tcPr>
          <w:p w:rsidR="002A1FE1" w:rsidRPr="001F08C0" w:rsidRDefault="002A1FE1" w:rsidP="00EC7BE9">
            <w:pPr>
              <w:pStyle w:val="TableBodyText"/>
              <w:keepLines w:val="0"/>
              <w:widowControl w:val="0"/>
              <w:spacing w:before="60" w:after="60"/>
              <w:jc w:val="left"/>
            </w:pPr>
            <w:r w:rsidRPr="007D20FC">
              <w:t>A</w:t>
            </w:r>
            <w:r w:rsidRPr="001F08C0">
              <w:t>ll personnel who volunteer their availability, however</w:t>
            </w:r>
            <w:r>
              <w:t>,</w:t>
            </w:r>
            <w:r w:rsidRPr="001F08C0">
              <w:t xml:space="preserve"> are remunerated in part for provision of an ambulance response (with transport capability).</w:t>
            </w:r>
          </w:p>
          <w:p w:rsidR="002A1FE1" w:rsidRPr="001F08C0" w:rsidRDefault="002A1FE1" w:rsidP="00EC7BE9">
            <w:pPr>
              <w:pStyle w:val="TableBodyText"/>
              <w:keepNext w:val="0"/>
              <w:keepLines w:val="0"/>
              <w:widowControl w:val="0"/>
              <w:spacing w:before="60" w:after="60"/>
              <w:jc w:val="left"/>
              <w:rPr>
                <w:i/>
              </w:rPr>
            </w:pPr>
          </w:p>
        </w:tc>
      </w:tr>
      <w:tr w:rsidR="002A1FE1" w:rsidRPr="001F08C0" w:rsidTr="005374AD">
        <w:tc>
          <w:tcPr>
            <w:tcW w:w="1843" w:type="dxa"/>
            <w:shd w:val="clear" w:color="auto" w:fill="auto"/>
          </w:tcPr>
          <w:p w:rsidR="002A1FE1" w:rsidRPr="002A1FE1" w:rsidRDefault="002A1FE1" w:rsidP="002A1FE1">
            <w:pPr>
              <w:pStyle w:val="TableBodyText"/>
              <w:keepNext w:val="0"/>
              <w:keepLines w:val="0"/>
              <w:widowControl w:val="0"/>
              <w:spacing w:before="60" w:after="60"/>
              <w:ind w:left="284"/>
              <w:jc w:val="left"/>
            </w:pPr>
            <w:r w:rsidRPr="002A1FE1">
              <w:t>Volunteer support staff</w:t>
            </w:r>
          </w:p>
        </w:tc>
        <w:tc>
          <w:tcPr>
            <w:tcW w:w="6946" w:type="dxa"/>
            <w:gridSpan w:val="2"/>
            <w:shd w:val="clear" w:color="auto" w:fill="auto"/>
          </w:tcPr>
          <w:p w:rsidR="002A1FE1" w:rsidRPr="001F08C0" w:rsidRDefault="002A1FE1" w:rsidP="003A402C">
            <w:pPr>
              <w:pStyle w:val="TableBodyText"/>
              <w:keepNext w:val="0"/>
              <w:keepLines w:val="0"/>
              <w:widowControl w:val="0"/>
              <w:spacing w:before="60" w:after="60"/>
              <w:jc w:val="left"/>
              <w:rPr>
                <w:i/>
              </w:rPr>
            </w:pPr>
            <w:r w:rsidRPr="001F08C0">
              <w:t xml:space="preserve">All personnel engaged on an unpaid casual basis that are not remunerated </w:t>
            </w:r>
            <w:r>
              <w:t xml:space="preserve">and </w:t>
            </w:r>
            <w:r w:rsidRPr="001F08C0">
              <w:t>are principally involved in the provision of support services</w:t>
            </w:r>
            <w:r>
              <w:t xml:space="preserve">. </w:t>
            </w:r>
            <w:r w:rsidRPr="001F08C0">
              <w:t xml:space="preserve">For fire service organisations, </w:t>
            </w:r>
            <w:r>
              <w:t xml:space="preserve">this includes </w:t>
            </w:r>
            <w:r w:rsidRPr="001F08C0">
              <w:t>any staff whose immediate client is the firefighter. These can be people in operational support roles provided they do not receive payment for their services other than reimbursement of ‘out of pocket expenses’.</w:t>
            </w:r>
          </w:p>
        </w:tc>
      </w:tr>
    </w:tbl>
    <w:p w:rsidR="002A1FE1" w:rsidRDefault="002A1FE1" w:rsidP="002A1FE1">
      <w:pPr>
        <w:pStyle w:val="BodyText"/>
      </w:pPr>
    </w:p>
    <w:p w:rsidR="00986A8B" w:rsidRPr="002605A8" w:rsidRDefault="008C1F96" w:rsidP="00986A8B">
      <w:pPr>
        <w:pStyle w:val="Heading2"/>
      </w:pPr>
      <w:bookmarkStart w:id="130" w:name="_Toc370724860"/>
      <w:r>
        <w:t>9.</w:t>
      </w:r>
      <w:r w:rsidR="00D52162">
        <w:rPr>
          <w:noProof/>
        </w:rPr>
        <w:t>10</w:t>
      </w:r>
      <w:r w:rsidR="00986A8B" w:rsidRPr="002605A8">
        <w:tab/>
        <w:t>List of attachment tables</w:t>
      </w:r>
      <w:bookmarkEnd w:id="130"/>
    </w:p>
    <w:p w:rsidR="00986A8B" w:rsidRPr="002605A8" w:rsidRDefault="00986A8B" w:rsidP="00644EDA">
      <w:pPr>
        <w:pStyle w:val="BodyText"/>
      </w:pPr>
      <w:r w:rsidRPr="002605A8">
        <w:t xml:space="preserve">Attachment tables are identified in references throughout this chapter by an ‘9A’ </w:t>
      </w:r>
      <w:r w:rsidR="00E50D5B" w:rsidRPr="002605A8">
        <w:t>prefix</w:t>
      </w:r>
      <w:r w:rsidRPr="002605A8">
        <w:t xml:space="preserve"> (for example, table 9A.3 is table 3). Attachment tables are provided on the Review website (www.pc.gov.au/gsp). </w:t>
      </w:r>
    </w:p>
    <w:p w:rsidR="0010074D" w:rsidRPr="0054109B" w:rsidRDefault="0010074D" w:rsidP="00644EDA">
      <w:pPr>
        <w:pStyle w:val="BodyText"/>
        <w:spacing w:before="0" w:line="240" w:lineRule="auto"/>
        <w:rPr>
          <w:color w:val="0070C0"/>
          <w:sz w:val="16"/>
          <w:szCs w:val="16"/>
        </w:rPr>
      </w:pPr>
    </w:p>
    <w:tbl>
      <w:tblPr>
        <w:tblW w:w="8860" w:type="dxa"/>
        <w:tblInd w:w="108" w:type="dxa"/>
        <w:tblLook w:val="04A0" w:firstRow="1" w:lastRow="0" w:firstColumn="1" w:lastColumn="0" w:noHBand="0" w:noVBand="1"/>
      </w:tblPr>
      <w:tblGrid>
        <w:gridCol w:w="1456"/>
        <w:gridCol w:w="7404"/>
      </w:tblGrid>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9664F5">
            <w:pPr>
              <w:rPr>
                <w:rFonts w:ascii="Arial" w:hAnsi="Arial" w:cs="Arial"/>
                <w:b/>
                <w:bCs/>
                <w:color w:val="000000"/>
                <w:sz w:val="20"/>
                <w:szCs w:val="20"/>
              </w:rPr>
            </w:pPr>
            <w:r w:rsidRPr="009664F5">
              <w:rPr>
                <w:rFonts w:ascii="Arial" w:hAnsi="Arial" w:cs="Arial"/>
                <w:b/>
                <w:bCs/>
                <w:color w:val="000000"/>
                <w:sz w:val="20"/>
                <w:szCs w:val="20"/>
              </w:rPr>
              <w:t>Fire events</w:t>
            </w:r>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9A.1</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All activities of fire service organisations</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9A.2</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Delivery and scope of activity of primary fire service organisations</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9A.3</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Scope of 'fire service organisation' data provided by jurisdictions</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9A.4</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Major sources of fire service organisations revenue (2013</w:t>
            </w:r>
            <w:r w:rsidR="0026487F">
              <w:rPr>
                <w:rFonts w:ascii="Arial" w:hAnsi="Arial" w:cs="Arial"/>
                <w:sz w:val="20"/>
                <w:szCs w:val="20"/>
              </w:rPr>
              <w:noBreakHyphen/>
            </w:r>
            <w:r w:rsidRPr="00E64594">
              <w:rPr>
                <w:rFonts w:ascii="Arial" w:hAnsi="Arial" w:cs="Arial"/>
                <w:sz w:val="20"/>
                <w:szCs w:val="20"/>
              </w:rPr>
              <w:t xml:space="preserve">14 dollars)  </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9A.5</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Fire service organisations human resources </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9A.6</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Fire death rate   </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9A.7</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Fire deaths   </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9A.8</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Landscape fire deaths    </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9A.9</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Fire injuries     </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9A.10</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Confinement of building fires to room of origin (per cent)</w:t>
            </w:r>
          </w:p>
        </w:tc>
      </w:tr>
      <w:tr w:rsidR="00E64594" w:rsidRPr="009664F5" w:rsidTr="004029AC">
        <w:trPr>
          <w:trHeight w:val="612"/>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9A.11</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Confinement of building and other structure fires to room/object of origin (per cent)</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9A.12</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Building and contents insurance, fire event claims (2013</w:t>
            </w:r>
            <w:r w:rsidR="0026487F">
              <w:rPr>
                <w:rFonts w:ascii="Arial" w:hAnsi="Arial" w:cs="Arial"/>
                <w:sz w:val="20"/>
                <w:szCs w:val="20"/>
              </w:rPr>
              <w:noBreakHyphen/>
            </w:r>
            <w:r w:rsidRPr="00E64594">
              <w:rPr>
                <w:rFonts w:ascii="Arial" w:hAnsi="Arial" w:cs="Arial"/>
                <w:sz w:val="20"/>
                <w:szCs w:val="20"/>
              </w:rPr>
              <w:t xml:space="preserve">14 dollars)     </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9A.13</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Reported fires and other primary incidents attended to by fire service organisations (no.)   </w:t>
            </w:r>
          </w:p>
        </w:tc>
      </w:tr>
      <w:tr w:rsidR="00E64594" w:rsidRPr="009664F5" w:rsidTr="004029AC">
        <w:trPr>
          <w:trHeight w:val="612"/>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lastRenderedPageBreak/>
              <w:t>Table 9A.14</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Fire incidents attended by fire service organisations (number per 100 000 people)   </w:t>
            </w:r>
          </w:p>
        </w:tc>
      </w:tr>
      <w:tr w:rsidR="00E64594" w:rsidRPr="009664F5" w:rsidTr="004029AC">
        <w:trPr>
          <w:trHeight w:val="612"/>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9A.15</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Accidental residential structure fires reported to fire service organisations per 100 000 households   </w:t>
            </w:r>
          </w:p>
        </w:tc>
      </w:tr>
      <w:tr w:rsidR="00E64594" w:rsidRPr="009664F5" w:rsidTr="004029AC">
        <w:trPr>
          <w:trHeight w:val="612"/>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9A.16</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Fire service organisations (including land management agencies) reported total landscape fires (bush and grass) incidents (no.) and rates   </w:t>
            </w:r>
          </w:p>
        </w:tc>
      </w:tr>
      <w:tr w:rsidR="00E64594" w:rsidRPr="009664F5" w:rsidTr="004029AC">
        <w:trPr>
          <w:trHeight w:val="612"/>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9A.17</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Ignition factors for structure fires</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9A.18</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Hazardous materials incidents    </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9A.19</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Reported road crash rescue incidents (number)</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9A.20</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Reported road crash rescue extrications (number)</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9A.21</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Prevention activities of fire service organisations</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9A.22</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Selected fire risk management/mitigation strategies </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9A.23</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Households with a smoke alarm or smoke detector installed    </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9A.24</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Firefighter workforce per 100 000 people </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9A.25</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Number of structure fires, by remoteness area</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9A.26</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Structure fire response times to structure fires, including call taking time, by remoteness area </w:t>
            </w:r>
          </w:p>
        </w:tc>
      </w:tr>
      <w:tr w:rsidR="00E64594" w:rsidRPr="009664F5" w:rsidTr="004029AC">
        <w:trPr>
          <w:trHeight w:val="612"/>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9A.27</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Structure fire response times to structure fires, excluding call taking time, by remoteness area </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9A.28</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Fire service organisations' costs ($'000) (2013</w:t>
            </w:r>
            <w:r w:rsidR="0026487F">
              <w:rPr>
                <w:rFonts w:ascii="Arial" w:hAnsi="Arial" w:cs="Arial"/>
                <w:sz w:val="20"/>
                <w:szCs w:val="20"/>
              </w:rPr>
              <w:noBreakHyphen/>
            </w:r>
            <w:r w:rsidRPr="00E64594">
              <w:rPr>
                <w:rFonts w:ascii="Arial" w:hAnsi="Arial" w:cs="Arial"/>
                <w:sz w:val="20"/>
                <w:szCs w:val="20"/>
              </w:rPr>
              <w:t xml:space="preserve">14 dollars)   </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9A.29</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Fire service organisations' expenditure per person (2013</w:t>
            </w:r>
            <w:r w:rsidR="0026487F">
              <w:rPr>
                <w:rFonts w:ascii="Arial" w:hAnsi="Arial" w:cs="Arial"/>
                <w:sz w:val="20"/>
                <w:szCs w:val="20"/>
              </w:rPr>
              <w:noBreakHyphen/>
            </w:r>
            <w:r w:rsidRPr="00E64594">
              <w:rPr>
                <w:rFonts w:ascii="Arial" w:hAnsi="Arial" w:cs="Arial"/>
                <w:sz w:val="20"/>
                <w:szCs w:val="20"/>
              </w:rPr>
              <w:t xml:space="preserve">14 dollars)  </w:t>
            </w:r>
          </w:p>
        </w:tc>
      </w:tr>
      <w:tr w:rsidR="00E64594" w:rsidRPr="009664F5" w:rsidTr="004029AC">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9A.30</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Fire service organisations' funding per person (2013</w:t>
            </w:r>
            <w:r w:rsidR="0026487F">
              <w:rPr>
                <w:rFonts w:ascii="Arial" w:hAnsi="Arial" w:cs="Arial"/>
                <w:sz w:val="20"/>
                <w:szCs w:val="20"/>
              </w:rPr>
              <w:noBreakHyphen/>
            </w:r>
            <w:r w:rsidRPr="00E64594">
              <w:rPr>
                <w:rFonts w:ascii="Arial" w:hAnsi="Arial" w:cs="Arial"/>
                <w:sz w:val="20"/>
                <w:szCs w:val="20"/>
              </w:rPr>
              <w:t xml:space="preserve">14 dollars)    </w:t>
            </w:r>
          </w:p>
        </w:tc>
      </w:tr>
      <w:tr w:rsidR="009664F5" w:rsidRPr="009664F5" w:rsidTr="009664F5">
        <w:trPr>
          <w:trHeight w:val="357"/>
        </w:trPr>
        <w:tc>
          <w:tcPr>
            <w:tcW w:w="8860" w:type="dxa"/>
            <w:gridSpan w:val="2"/>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Ambulance events</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9A.31</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Delivery and scope of activity of ambulance service organisations</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9A.32</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Major sources of ambulance service organisations revenue (2013</w:t>
            </w:r>
            <w:r w:rsidR="0026487F">
              <w:rPr>
                <w:rFonts w:ascii="Arial" w:hAnsi="Arial" w:cs="Arial"/>
                <w:sz w:val="20"/>
                <w:szCs w:val="20"/>
              </w:rPr>
              <w:noBreakHyphen/>
            </w:r>
            <w:r w:rsidRPr="00E64594">
              <w:rPr>
                <w:rFonts w:ascii="Arial" w:hAnsi="Arial" w:cs="Arial"/>
                <w:sz w:val="20"/>
                <w:szCs w:val="20"/>
              </w:rPr>
              <w:t xml:space="preserve">14 dollars) </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9A.33</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Reported ambulance incidents, responses, patients and transport  </w:t>
            </w:r>
          </w:p>
        </w:tc>
      </w:tr>
      <w:tr w:rsidR="00E64594" w:rsidRPr="009664F5" w:rsidTr="00E64594">
        <w:trPr>
          <w:trHeight w:val="612"/>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9A.34</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Emergency department patients who arrived by ambulance, air ambulance, or helicopter, by triage category </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9A.35</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Ambulance service organisations' human resources   </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9A.3</w:t>
            </w:r>
            <w:r w:rsidR="00752BCA">
              <w:rPr>
                <w:rFonts w:ascii="Arial" w:hAnsi="Arial" w:cs="Arial"/>
                <w:b/>
                <w:bCs/>
                <w:sz w:val="20"/>
                <w:szCs w:val="20"/>
              </w:rPr>
              <w:t>6</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Ambulance service organisations' human resources, operational workforce, by age group and attrition</w:t>
            </w:r>
          </w:p>
        </w:tc>
      </w:tr>
      <w:tr w:rsidR="00752BCA" w:rsidRPr="009664F5" w:rsidTr="002E0D39">
        <w:trPr>
          <w:trHeight w:val="357"/>
        </w:trPr>
        <w:tc>
          <w:tcPr>
            <w:tcW w:w="1456" w:type="dxa"/>
            <w:tcBorders>
              <w:top w:val="nil"/>
              <w:left w:val="nil"/>
              <w:bottom w:val="nil"/>
              <w:right w:val="nil"/>
            </w:tcBorders>
            <w:shd w:val="clear" w:color="auto" w:fill="auto"/>
            <w:noWrap/>
          </w:tcPr>
          <w:p w:rsidR="00752BCA" w:rsidRPr="00E64594" w:rsidRDefault="00752BCA" w:rsidP="002E0D39">
            <w:pPr>
              <w:rPr>
                <w:rFonts w:ascii="Arial" w:hAnsi="Arial" w:cs="Arial"/>
                <w:b/>
                <w:bCs/>
                <w:sz w:val="20"/>
                <w:szCs w:val="20"/>
              </w:rPr>
            </w:pPr>
            <w:r w:rsidRPr="00E64594">
              <w:rPr>
                <w:rFonts w:ascii="Arial" w:hAnsi="Arial" w:cs="Arial"/>
                <w:b/>
                <w:bCs/>
                <w:sz w:val="20"/>
                <w:szCs w:val="20"/>
              </w:rPr>
              <w:t>Table 9A.3</w:t>
            </w:r>
            <w:r>
              <w:rPr>
                <w:rFonts w:ascii="Arial" w:hAnsi="Arial" w:cs="Arial"/>
                <w:b/>
                <w:bCs/>
                <w:sz w:val="20"/>
                <w:szCs w:val="20"/>
              </w:rPr>
              <w:t>7</w:t>
            </w:r>
          </w:p>
        </w:tc>
        <w:tc>
          <w:tcPr>
            <w:tcW w:w="7404" w:type="dxa"/>
            <w:tcBorders>
              <w:top w:val="nil"/>
              <w:left w:val="nil"/>
              <w:bottom w:val="nil"/>
              <w:right w:val="nil"/>
            </w:tcBorders>
            <w:shd w:val="clear" w:color="auto" w:fill="auto"/>
          </w:tcPr>
          <w:p w:rsidR="00752BCA" w:rsidRPr="00E64594" w:rsidRDefault="00752BCA" w:rsidP="002E0D39">
            <w:pPr>
              <w:jc w:val="both"/>
              <w:rPr>
                <w:rFonts w:ascii="Arial" w:hAnsi="Arial" w:cs="Arial"/>
                <w:sz w:val="20"/>
                <w:szCs w:val="20"/>
              </w:rPr>
            </w:pPr>
            <w:r w:rsidRPr="00E64594">
              <w:rPr>
                <w:rFonts w:ascii="Arial" w:hAnsi="Arial" w:cs="Arial"/>
                <w:sz w:val="20"/>
                <w:szCs w:val="20"/>
              </w:rPr>
              <w:t xml:space="preserve">Enrolments in accredited paramedic training courses   </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9A.38</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Ambulance response locations, by staff type  </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9A.39</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Ambulance assets (number)  </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9A.40</w:t>
            </w:r>
          </w:p>
        </w:tc>
        <w:tc>
          <w:tcPr>
            <w:tcW w:w="7404" w:type="dxa"/>
            <w:tcBorders>
              <w:top w:val="nil"/>
              <w:left w:val="nil"/>
              <w:bottom w:val="nil"/>
              <w:right w:val="nil"/>
            </w:tcBorders>
            <w:shd w:val="clear" w:color="auto" w:fill="auto"/>
          </w:tcPr>
          <w:p w:rsidR="00E64594" w:rsidRPr="00E64594" w:rsidRDefault="00E64594" w:rsidP="00E64594">
            <w:pPr>
              <w:jc w:val="both"/>
              <w:rPr>
                <w:rFonts w:ascii="Arial" w:hAnsi="Arial" w:cs="Arial"/>
                <w:sz w:val="20"/>
                <w:szCs w:val="20"/>
              </w:rPr>
            </w:pPr>
            <w:r w:rsidRPr="00E64594">
              <w:rPr>
                <w:rFonts w:ascii="Arial" w:hAnsi="Arial" w:cs="Arial"/>
                <w:sz w:val="20"/>
                <w:szCs w:val="20"/>
              </w:rPr>
              <w:t>Aero medical resources and expenditure (201</w:t>
            </w:r>
            <w:r>
              <w:rPr>
                <w:rFonts w:ascii="Arial" w:hAnsi="Arial" w:cs="Arial"/>
                <w:sz w:val="20"/>
                <w:szCs w:val="20"/>
              </w:rPr>
              <w:t>3</w:t>
            </w:r>
            <w:r w:rsidR="0026487F">
              <w:rPr>
                <w:rFonts w:ascii="Arial" w:hAnsi="Arial" w:cs="Arial"/>
                <w:sz w:val="20"/>
                <w:szCs w:val="20"/>
              </w:rPr>
              <w:noBreakHyphen/>
            </w:r>
            <w:r w:rsidRPr="00E64594">
              <w:rPr>
                <w:rFonts w:ascii="Arial" w:hAnsi="Arial" w:cs="Arial"/>
                <w:sz w:val="20"/>
                <w:szCs w:val="20"/>
              </w:rPr>
              <w:t>1</w:t>
            </w:r>
            <w:r>
              <w:rPr>
                <w:rFonts w:ascii="Arial" w:hAnsi="Arial" w:cs="Arial"/>
                <w:sz w:val="20"/>
                <w:szCs w:val="20"/>
              </w:rPr>
              <w:t>4</w:t>
            </w:r>
            <w:r w:rsidRPr="00E64594">
              <w:rPr>
                <w:rFonts w:ascii="Arial" w:hAnsi="Arial" w:cs="Arial"/>
                <w:sz w:val="20"/>
                <w:szCs w:val="20"/>
              </w:rPr>
              <w:t xml:space="preserve"> dollars)    </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9A.41</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Cardiac arrest survived event rate       </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9A.42</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Patients who report a clinically meaningful pain reduction   </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9A.43</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Satisfaction with ambulance service organisations  </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9A.44</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Ambulance code 1 response times (minutes) </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lastRenderedPageBreak/>
              <w:t>Table 9A.45</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 xml:space="preserve">Triple zero </w:t>
            </w:r>
            <w:r w:rsidR="007510AC">
              <w:rPr>
                <w:rFonts w:ascii="Arial" w:hAnsi="Arial" w:cs="Arial"/>
                <w:sz w:val="20"/>
                <w:szCs w:val="20"/>
              </w:rPr>
              <w:t xml:space="preserve">(000) </w:t>
            </w:r>
            <w:r w:rsidRPr="00E64594">
              <w:rPr>
                <w:rFonts w:ascii="Arial" w:hAnsi="Arial" w:cs="Arial"/>
                <w:sz w:val="20"/>
                <w:szCs w:val="20"/>
              </w:rPr>
              <w:t xml:space="preserve">call answering time  </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9A.46</w:t>
            </w:r>
          </w:p>
        </w:tc>
        <w:tc>
          <w:tcPr>
            <w:tcW w:w="7404" w:type="dxa"/>
            <w:tcBorders>
              <w:top w:val="nil"/>
              <w:left w:val="nil"/>
              <w:bottom w:val="nil"/>
              <w:right w:val="nil"/>
            </w:tcBorders>
            <w:shd w:val="clear" w:color="auto" w:fill="auto"/>
          </w:tcPr>
          <w:p w:rsidR="00E64594" w:rsidRPr="00E64594" w:rsidRDefault="00E64594">
            <w:pPr>
              <w:jc w:val="both"/>
              <w:rPr>
                <w:rFonts w:ascii="Arial" w:hAnsi="Arial" w:cs="Arial"/>
                <w:sz w:val="20"/>
                <w:szCs w:val="20"/>
              </w:rPr>
            </w:pPr>
            <w:r w:rsidRPr="00E64594">
              <w:rPr>
                <w:rFonts w:ascii="Arial" w:hAnsi="Arial" w:cs="Arial"/>
                <w:sz w:val="20"/>
                <w:szCs w:val="20"/>
              </w:rPr>
              <w:t>Ambulance service costs ($'000) (2013</w:t>
            </w:r>
            <w:r w:rsidR="0026487F">
              <w:rPr>
                <w:rFonts w:ascii="Arial" w:hAnsi="Arial" w:cs="Arial"/>
                <w:sz w:val="20"/>
                <w:szCs w:val="20"/>
              </w:rPr>
              <w:noBreakHyphen/>
            </w:r>
            <w:r w:rsidRPr="00E64594">
              <w:rPr>
                <w:rFonts w:ascii="Arial" w:hAnsi="Arial" w:cs="Arial"/>
                <w:sz w:val="20"/>
                <w:szCs w:val="20"/>
              </w:rPr>
              <w:t xml:space="preserve">14 dollars) </w:t>
            </w:r>
          </w:p>
        </w:tc>
      </w:tr>
      <w:tr w:rsidR="00E64594" w:rsidRPr="009664F5" w:rsidTr="00E64594">
        <w:trPr>
          <w:trHeight w:val="357"/>
        </w:trPr>
        <w:tc>
          <w:tcPr>
            <w:tcW w:w="1456" w:type="dxa"/>
            <w:tcBorders>
              <w:top w:val="nil"/>
              <w:left w:val="nil"/>
              <w:bottom w:val="nil"/>
              <w:right w:val="nil"/>
            </w:tcBorders>
            <w:shd w:val="clear" w:color="auto" w:fill="auto"/>
            <w:noWrap/>
          </w:tcPr>
          <w:p w:rsidR="00E64594" w:rsidRPr="00E64594" w:rsidRDefault="00E64594">
            <w:pPr>
              <w:rPr>
                <w:rFonts w:ascii="Arial" w:hAnsi="Arial" w:cs="Arial"/>
                <w:b/>
                <w:bCs/>
                <w:sz w:val="20"/>
                <w:szCs w:val="20"/>
              </w:rPr>
            </w:pPr>
            <w:r w:rsidRPr="00E64594">
              <w:rPr>
                <w:rFonts w:ascii="Arial" w:hAnsi="Arial" w:cs="Arial"/>
                <w:b/>
                <w:bCs/>
                <w:sz w:val="20"/>
                <w:szCs w:val="20"/>
              </w:rPr>
              <w:t>Table 9A.47</w:t>
            </w:r>
          </w:p>
        </w:tc>
        <w:tc>
          <w:tcPr>
            <w:tcW w:w="7404" w:type="dxa"/>
            <w:tcBorders>
              <w:top w:val="nil"/>
              <w:left w:val="nil"/>
              <w:bottom w:val="nil"/>
              <w:right w:val="nil"/>
            </w:tcBorders>
            <w:shd w:val="clear" w:color="auto" w:fill="auto"/>
          </w:tcPr>
          <w:p w:rsidR="00E64594" w:rsidRPr="00E64594" w:rsidRDefault="00E64594" w:rsidP="00E64594">
            <w:pPr>
              <w:jc w:val="both"/>
              <w:rPr>
                <w:rFonts w:ascii="Arial" w:hAnsi="Arial" w:cs="Arial"/>
                <w:sz w:val="20"/>
                <w:szCs w:val="20"/>
              </w:rPr>
            </w:pPr>
            <w:r w:rsidRPr="00E64594">
              <w:rPr>
                <w:rFonts w:ascii="Arial" w:hAnsi="Arial" w:cs="Arial"/>
                <w:sz w:val="20"/>
                <w:szCs w:val="20"/>
              </w:rPr>
              <w:t>Ambulance service organisations' expenditure per person</w:t>
            </w:r>
            <w:r>
              <w:rPr>
                <w:rFonts w:ascii="Arial" w:hAnsi="Arial" w:cs="Arial"/>
                <w:sz w:val="20"/>
                <w:szCs w:val="20"/>
              </w:rPr>
              <w:t xml:space="preserve"> </w:t>
            </w:r>
            <w:r w:rsidRPr="00E64594">
              <w:rPr>
                <w:rFonts w:ascii="Arial" w:hAnsi="Arial" w:cs="Arial"/>
                <w:sz w:val="20"/>
                <w:szCs w:val="20"/>
              </w:rPr>
              <w:t>(2013</w:t>
            </w:r>
            <w:r w:rsidR="0026487F">
              <w:rPr>
                <w:rFonts w:ascii="Arial" w:hAnsi="Arial" w:cs="Arial"/>
                <w:sz w:val="20"/>
                <w:szCs w:val="20"/>
              </w:rPr>
              <w:noBreakHyphen/>
            </w:r>
            <w:r w:rsidRPr="00E64594">
              <w:rPr>
                <w:rFonts w:ascii="Arial" w:hAnsi="Arial" w:cs="Arial"/>
                <w:sz w:val="20"/>
                <w:szCs w:val="20"/>
              </w:rPr>
              <w:t xml:space="preserve">14 dollars)  </w:t>
            </w:r>
          </w:p>
        </w:tc>
      </w:tr>
      <w:tr w:rsidR="009664F5" w:rsidRPr="009664F5" w:rsidTr="009664F5">
        <w:trPr>
          <w:trHeight w:val="357"/>
        </w:trPr>
        <w:tc>
          <w:tcPr>
            <w:tcW w:w="8860" w:type="dxa"/>
            <w:gridSpan w:val="2"/>
            <w:tcBorders>
              <w:top w:val="nil"/>
              <w:left w:val="nil"/>
              <w:bottom w:val="nil"/>
              <w:right w:val="nil"/>
            </w:tcBorders>
            <w:shd w:val="clear" w:color="auto" w:fill="auto"/>
            <w:noWrap/>
            <w:hideMark/>
          </w:tcPr>
          <w:p w:rsidR="009664F5" w:rsidRPr="009664F5" w:rsidRDefault="009664F5" w:rsidP="009664F5">
            <w:pPr>
              <w:rPr>
                <w:rFonts w:ascii="Arial" w:hAnsi="Arial" w:cs="Arial"/>
                <w:b/>
                <w:bCs/>
                <w:sz w:val="20"/>
                <w:szCs w:val="20"/>
              </w:rPr>
            </w:pPr>
            <w:r w:rsidRPr="002D18BD">
              <w:rPr>
                <w:rFonts w:ascii="Arial" w:hAnsi="Arial" w:cs="Arial"/>
                <w:b/>
                <w:bCs/>
                <w:sz w:val="20"/>
                <w:szCs w:val="20"/>
              </w:rPr>
              <w:t>Context and other information</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E64594">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r w:rsidRPr="002D18BD">
              <w:rPr>
                <w:rFonts w:ascii="Arial" w:hAnsi="Arial" w:cs="Arial"/>
                <w:b/>
                <w:bCs/>
                <w:sz w:val="20"/>
                <w:szCs w:val="20"/>
              </w:rPr>
              <w:t>9A.</w:t>
            </w:r>
            <w:r w:rsidR="00012ECB">
              <w:rPr>
                <w:rFonts w:ascii="Arial" w:hAnsi="Arial" w:cs="Arial"/>
                <w:b/>
                <w:bCs/>
                <w:sz w:val="20"/>
                <w:szCs w:val="20"/>
              </w:rPr>
              <w:t>4</w:t>
            </w:r>
            <w:r w:rsidR="00E64594">
              <w:rPr>
                <w:rFonts w:ascii="Arial" w:hAnsi="Arial" w:cs="Arial"/>
                <w:b/>
                <w:bCs/>
                <w:sz w:val="20"/>
                <w:szCs w:val="20"/>
              </w:rPr>
              <w:t>8</w:t>
            </w:r>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Communications and dispatching systems</w:t>
            </w:r>
          </w:p>
        </w:tc>
      </w:tr>
      <w:tr w:rsidR="009664F5" w:rsidRPr="009664F5" w:rsidTr="009664F5">
        <w:trPr>
          <w:trHeight w:val="357"/>
        </w:trPr>
        <w:tc>
          <w:tcPr>
            <w:tcW w:w="1456" w:type="dxa"/>
            <w:tcBorders>
              <w:top w:val="nil"/>
              <w:left w:val="nil"/>
              <w:bottom w:val="nil"/>
              <w:right w:val="nil"/>
            </w:tcBorders>
            <w:shd w:val="clear" w:color="auto" w:fill="auto"/>
            <w:noWrap/>
            <w:hideMark/>
          </w:tcPr>
          <w:p w:rsidR="009664F5" w:rsidRPr="009664F5" w:rsidRDefault="009664F5" w:rsidP="00E64594">
            <w:pPr>
              <w:rPr>
                <w:rFonts w:ascii="Arial" w:hAnsi="Arial" w:cs="Arial"/>
                <w:b/>
                <w:bCs/>
                <w:sz w:val="20"/>
                <w:szCs w:val="20"/>
              </w:rPr>
            </w:pPr>
            <w:r w:rsidRPr="002D18BD">
              <w:rPr>
                <w:rFonts w:ascii="Arial" w:hAnsi="Arial" w:cs="Arial"/>
                <w:b/>
                <w:bCs/>
                <w:sz w:val="20"/>
                <w:szCs w:val="20"/>
              </w:rPr>
              <w:t>Table</w:t>
            </w:r>
            <w:r w:rsidR="00243CD6">
              <w:rPr>
                <w:rFonts w:ascii="Arial" w:hAnsi="Arial" w:cs="Arial"/>
                <w:b/>
                <w:bCs/>
                <w:sz w:val="20"/>
                <w:szCs w:val="20"/>
              </w:rPr>
              <w:t> </w:t>
            </w:r>
            <w:r w:rsidR="00E64594">
              <w:rPr>
                <w:rFonts w:ascii="Arial" w:hAnsi="Arial" w:cs="Arial"/>
                <w:b/>
                <w:bCs/>
                <w:sz w:val="20"/>
                <w:szCs w:val="20"/>
              </w:rPr>
              <w:t>9A.49</w:t>
            </w:r>
          </w:p>
        </w:tc>
        <w:tc>
          <w:tcPr>
            <w:tcW w:w="7404" w:type="dxa"/>
            <w:tcBorders>
              <w:top w:val="nil"/>
              <w:left w:val="nil"/>
              <w:bottom w:val="nil"/>
              <w:right w:val="nil"/>
            </w:tcBorders>
            <w:shd w:val="clear" w:color="auto" w:fill="auto"/>
            <w:hideMark/>
          </w:tcPr>
          <w:p w:rsidR="009664F5" w:rsidRPr="009664F5" w:rsidRDefault="009664F5" w:rsidP="009664F5">
            <w:pPr>
              <w:jc w:val="both"/>
              <w:rPr>
                <w:rFonts w:ascii="Arial" w:hAnsi="Arial" w:cs="Arial"/>
                <w:color w:val="000000"/>
                <w:sz w:val="20"/>
                <w:szCs w:val="20"/>
              </w:rPr>
            </w:pPr>
            <w:r w:rsidRPr="009664F5">
              <w:rPr>
                <w:rFonts w:ascii="Arial" w:hAnsi="Arial" w:cs="Arial"/>
                <w:color w:val="000000"/>
                <w:sz w:val="20"/>
                <w:szCs w:val="20"/>
              </w:rPr>
              <w:t>Treatment of assets by emergency management agencies</w:t>
            </w:r>
            <w:r w:rsidR="00CC7814">
              <w:rPr>
                <w:rFonts w:ascii="Arial" w:hAnsi="Arial" w:cs="Arial"/>
                <w:color w:val="000000"/>
                <w:sz w:val="20"/>
                <w:szCs w:val="20"/>
              </w:rPr>
              <w:t xml:space="preserve"> </w:t>
            </w:r>
          </w:p>
        </w:tc>
      </w:tr>
    </w:tbl>
    <w:p w:rsidR="00986A8B" w:rsidRPr="00796917" w:rsidRDefault="008C1F96" w:rsidP="00986A8B">
      <w:pPr>
        <w:pStyle w:val="Heading2"/>
      </w:pPr>
      <w:bookmarkStart w:id="131" w:name="_Toc370724861"/>
      <w:r>
        <w:t>9.</w:t>
      </w:r>
      <w:r w:rsidR="00D52162">
        <w:rPr>
          <w:noProof/>
        </w:rPr>
        <w:t>11</w:t>
      </w:r>
      <w:r w:rsidR="00986A8B" w:rsidRPr="00796917">
        <w:tab/>
        <w:t>References</w:t>
      </w:r>
      <w:bookmarkEnd w:id="131"/>
    </w:p>
    <w:p w:rsidR="00EB10E1" w:rsidRPr="00B102EC" w:rsidRDefault="00986A8B" w:rsidP="00B102EC">
      <w:pPr>
        <w:pStyle w:val="Reference"/>
      </w:pPr>
      <w:r w:rsidRPr="00796917">
        <w:t>ABS (A</w:t>
      </w:r>
      <w:r w:rsidR="002E7D83">
        <w:t>ustralian Bureau of Statistics)</w:t>
      </w:r>
      <w:r w:rsidR="00EB10E1" w:rsidRPr="00B102EC">
        <w:t> 201</w:t>
      </w:r>
      <w:r w:rsidR="002E7D83">
        <w:t>4</w:t>
      </w:r>
      <w:r w:rsidR="00EB10E1" w:rsidRPr="00B102EC">
        <w:t xml:space="preserve">, </w:t>
      </w:r>
      <w:r w:rsidR="00EB10E1" w:rsidRPr="00B102EC">
        <w:rPr>
          <w:i/>
        </w:rPr>
        <w:t>Causes of Death Australia, 201</w:t>
      </w:r>
      <w:r w:rsidR="002E7D83">
        <w:rPr>
          <w:i/>
        </w:rPr>
        <w:t>2</w:t>
      </w:r>
      <w:r w:rsidR="00EB10E1" w:rsidRPr="00B102EC">
        <w:t>, Cat.</w:t>
      </w:r>
      <w:r w:rsidR="002E7D83">
        <w:t> </w:t>
      </w:r>
      <w:r w:rsidR="00EB10E1" w:rsidRPr="00B102EC">
        <w:t>no. 3303.0, Canberra.</w:t>
      </w:r>
    </w:p>
    <w:p w:rsidR="002E7D83" w:rsidRDefault="002E7D83" w:rsidP="002E7D83">
      <w:pPr>
        <w:pStyle w:val="Reference"/>
        <w:rPr>
          <w:spacing w:val="-6"/>
        </w:rPr>
      </w:pPr>
      <w:r>
        <w:rPr>
          <w:spacing w:val="-6"/>
        </w:rPr>
        <w:t>AEM (Australian Emergency Management) 2014</w:t>
      </w:r>
      <w:r w:rsidRPr="00495745">
        <w:t xml:space="preserve">, </w:t>
      </w:r>
      <w:r w:rsidRPr="00495745">
        <w:rPr>
          <w:i/>
        </w:rPr>
        <w:t>A</w:t>
      </w:r>
      <w:r>
        <w:rPr>
          <w:i/>
        </w:rPr>
        <w:t>ustralian Emergency Management Knowledge Hub</w:t>
      </w:r>
      <w:r w:rsidRPr="00495745">
        <w:t xml:space="preserve">, </w:t>
      </w:r>
      <w:r w:rsidRPr="001A29D5">
        <w:t>www.emknowle</w:t>
      </w:r>
      <w:r>
        <w:t xml:space="preserve">dge.gov.au/disaster-information </w:t>
      </w:r>
      <w:r w:rsidRPr="00495745">
        <w:t>(accessed 10</w:t>
      </w:r>
      <w:r>
        <w:t> </w:t>
      </w:r>
      <w:r w:rsidRPr="00495745">
        <w:t>October</w:t>
      </w:r>
      <w:r>
        <w:t> </w:t>
      </w:r>
      <w:r w:rsidRPr="00495745">
        <w:t>201</w:t>
      </w:r>
      <w:r>
        <w:t>4</w:t>
      </w:r>
      <w:r w:rsidRPr="00495745">
        <w:t>).</w:t>
      </w:r>
    </w:p>
    <w:p w:rsidR="00D97229" w:rsidRPr="00F31B78" w:rsidRDefault="00A17714" w:rsidP="00B102EC">
      <w:pPr>
        <w:pStyle w:val="Reference"/>
        <w:rPr>
          <w:lang w:val="en"/>
        </w:rPr>
      </w:pPr>
      <w:r w:rsidRPr="0054109B">
        <w:rPr>
          <w:lang w:val="en"/>
        </w:rPr>
        <w:t>AFAC (</w:t>
      </w:r>
      <w:r w:rsidRPr="00B102EC">
        <w:t>Australasian</w:t>
      </w:r>
      <w:r w:rsidRPr="0054109B">
        <w:rPr>
          <w:lang w:val="en"/>
        </w:rPr>
        <w:t xml:space="preserve"> Fire and Emergency Service Authorities Council) </w:t>
      </w:r>
      <w:r w:rsidR="00D97229">
        <w:rPr>
          <w:lang w:val="en"/>
        </w:rPr>
        <w:t xml:space="preserve">2013, </w:t>
      </w:r>
      <w:r w:rsidR="00F31B78" w:rsidRPr="00664CD2">
        <w:rPr>
          <w:i/>
          <w:lang w:val="en"/>
        </w:rPr>
        <w:t>Strategic Directions for Fire and Emergency Services in Australia and New Zealand 2014</w:t>
      </w:r>
      <w:r w:rsidR="00F31B78">
        <w:rPr>
          <w:i/>
          <w:lang w:val="en"/>
        </w:rPr>
        <w:t>–</w:t>
      </w:r>
      <w:r w:rsidR="00F31B78" w:rsidRPr="00664CD2">
        <w:rPr>
          <w:i/>
          <w:lang w:val="en"/>
        </w:rPr>
        <w:t>2016</w:t>
      </w:r>
      <w:r w:rsidR="00F31B78">
        <w:rPr>
          <w:i/>
          <w:lang w:val="en"/>
        </w:rPr>
        <w:t xml:space="preserve">, </w:t>
      </w:r>
      <w:r w:rsidR="00F31B78">
        <w:rPr>
          <w:lang w:val="en"/>
        </w:rPr>
        <w:t>www.afac.com.au (accessed 14 November 2014)</w:t>
      </w:r>
    </w:p>
    <w:p w:rsidR="00A17714" w:rsidRPr="0054109B" w:rsidRDefault="00D97229" w:rsidP="00446594">
      <w:pPr>
        <w:pStyle w:val="Reference"/>
        <w:rPr>
          <w:lang w:val="en"/>
        </w:rPr>
      </w:pPr>
      <w:r>
        <w:rPr>
          <w:lang w:val="en"/>
        </w:rPr>
        <w:t>—— </w:t>
      </w:r>
      <w:r w:rsidR="00A17714" w:rsidRPr="0054109B">
        <w:rPr>
          <w:lang w:val="en"/>
        </w:rPr>
        <w:t>2012</w:t>
      </w:r>
      <w:r w:rsidR="00FD1C34">
        <w:rPr>
          <w:lang w:val="en"/>
        </w:rPr>
        <w:t>,</w:t>
      </w:r>
      <w:r w:rsidR="00A17714" w:rsidRPr="0054109B">
        <w:rPr>
          <w:lang w:val="en"/>
        </w:rPr>
        <w:t xml:space="preserve"> </w:t>
      </w:r>
      <w:r w:rsidR="00A17714" w:rsidRPr="0054109B">
        <w:rPr>
          <w:i/>
          <w:lang w:val="en"/>
        </w:rPr>
        <w:t>Unwanted False Alarm Technical Group</w:t>
      </w:r>
      <w:r w:rsidR="00A17714" w:rsidRPr="0054109B">
        <w:t xml:space="preserve">, </w:t>
      </w:r>
      <w:r w:rsidR="002E7D83" w:rsidRPr="002E7D83">
        <w:t>www.afac.com.au/operate/</w:t>
      </w:r>
      <w:r>
        <w:br/>
      </w:r>
      <w:r w:rsidR="002E7D83" w:rsidRPr="002E7D83">
        <w:t>areas/emergency</w:t>
      </w:r>
      <w:r w:rsidR="00A17714" w:rsidRPr="0054109B">
        <w:t>/technical/</w:t>
      </w:r>
      <w:proofErr w:type="spellStart"/>
      <w:r w:rsidR="00A17714" w:rsidRPr="0054109B">
        <w:t>ufatg</w:t>
      </w:r>
      <w:proofErr w:type="spellEnd"/>
      <w:r w:rsidR="00A17714" w:rsidRPr="0054109B">
        <w:t xml:space="preserve"> (accessed September 2012).</w:t>
      </w:r>
    </w:p>
    <w:p w:rsidR="000C0BE2" w:rsidRDefault="000C0BE2" w:rsidP="00446594">
      <w:pPr>
        <w:pStyle w:val="Reference"/>
      </w:pPr>
      <w:r>
        <w:t>ACTAGO (</w:t>
      </w:r>
      <w:r w:rsidRPr="00BF598A">
        <w:t>Australian Capital Territory Auditor-General's Office</w:t>
      </w:r>
      <w:r>
        <w:t>)</w:t>
      </w:r>
      <w:r w:rsidRPr="00BF598A">
        <w:t xml:space="preserve"> 2009, </w:t>
      </w:r>
      <w:r w:rsidRPr="003346A6">
        <w:rPr>
          <w:i/>
        </w:rPr>
        <w:t>Delivery of ambulance services to the ACT Community</w:t>
      </w:r>
      <w:r w:rsidRPr="00BF598A">
        <w:t>, produced ACT Auditor-General's Office by Publishing Services, Dep</w:t>
      </w:r>
      <w:r>
        <w:t>artment</w:t>
      </w:r>
      <w:r w:rsidRPr="00BF598A">
        <w:t xml:space="preserve"> Territory and Municipal Services, Canberra</w:t>
      </w:r>
      <w:r>
        <w:t>.</w:t>
      </w:r>
    </w:p>
    <w:p w:rsidR="004262BF" w:rsidRPr="00495745" w:rsidRDefault="002E7D83" w:rsidP="00446594">
      <w:pPr>
        <w:pStyle w:val="Reference"/>
      </w:pPr>
      <w:r>
        <w:rPr>
          <w:spacing w:val="-6"/>
        </w:rPr>
        <w:t>AGD (Attorney</w:t>
      </w:r>
      <w:r>
        <w:rPr>
          <w:spacing w:val="-6"/>
        </w:rPr>
        <w:noBreakHyphen/>
        <w:t>General’s Department) </w:t>
      </w:r>
      <w:r>
        <w:t>2013</w:t>
      </w:r>
      <w:r>
        <w:rPr>
          <w:spacing w:val="-6"/>
        </w:rPr>
        <w:t> </w:t>
      </w:r>
      <w:r w:rsidR="00605B37">
        <w:rPr>
          <w:spacing w:val="-6"/>
        </w:rPr>
        <w:t>—</w:t>
      </w:r>
      <w:r w:rsidR="00FD1C34">
        <w:rPr>
          <w:spacing w:val="-6"/>
        </w:rPr>
        <w:t>—</w:t>
      </w:r>
      <w:r w:rsidR="004262BF">
        <w:rPr>
          <w:spacing w:val="-6"/>
        </w:rPr>
        <w:t> </w:t>
      </w:r>
      <w:r w:rsidR="00605B37">
        <w:rPr>
          <w:i/>
          <w:spacing w:val="-6"/>
        </w:rPr>
        <w:t>About Emergency Call Service</w:t>
      </w:r>
      <w:r w:rsidR="00605B37">
        <w:rPr>
          <w:spacing w:val="-6"/>
        </w:rPr>
        <w:t xml:space="preserve">, </w:t>
      </w:r>
      <w:r w:rsidR="00605B37" w:rsidRPr="00605B37">
        <w:rPr>
          <w:spacing w:val="-6"/>
        </w:rPr>
        <w:t>www.triplezero.gov.au/Pages/AbouttheEmergencyCallService.aspx</w:t>
      </w:r>
      <w:r w:rsidR="00605B37">
        <w:rPr>
          <w:spacing w:val="-6"/>
        </w:rPr>
        <w:t xml:space="preserve"> (accessed September</w:t>
      </w:r>
      <w:r>
        <w:rPr>
          <w:spacing w:val="-6"/>
        </w:rPr>
        <w:t> </w:t>
      </w:r>
      <w:r w:rsidR="00605B37">
        <w:rPr>
          <w:spacing w:val="-6"/>
        </w:rPr>
        <w:t>2013).</w:t>
      </w:r>
    </w:p>
    <w:p w:rsidR="00986A8B" w:rsidRPr="00B102EC" w:rsidRDefault="00986A8B" w:rsidP="00986A8B">
      <w:pPr>
        <w:pStyle w:val="Reference"/>
        <w:rPr>
          <w:spacing w:val="-6"/>
        </w:rPr>
      </w:pPr>
      <w:r w:rsidRPr="00B102EC">
        <w:rPr>
          <w:spacing w:val="-6"/>
        </w:rPr>
        <w:t xml:space="preserve">AIC (Australian Institute of Criminology) 2008, </w:t>
      </w:r>
      <w:r w:rsidRPr="00B102EC">
        <w:rPr>
          <w:i/>
          <w:spacing w:val="-6"/>
        </w:rPr>
        <w:t>Bushfire Arson Bulletin No. 51.</w:t>
      </w:r>
    </w:p>
    <w:p w:rsidR="003B6257" w:rsidRDefault="003B6257" w:rsidP="00B102EC">
      <w:pPr>
        <w:pStyle w:val="Reference"/>
      </w:pPr>
      <w:r>
        <w:t>AIHW (Australian Institute of Health and Welfare) 2013</w:t>
      </w:r>
      <w:r w:rsidR="00FD1C34">
        <w:t>,</w:t>
      </w:r>
      <w:r>
        <w:t xml:space="preserve"> </w:t>
      </w:r>
      <w:r w:rsidRPr="003B6257">
        <w:rPr>
          <w:i/>
        </w:rPr>
        <w:t>Trends in hospitalised injury, Australia: 1999</w:t>
      </w:r>
      <w:r w:rsidR="00CC7814">
        <w:rPr>
          <w:i/>
        </w:rPr>
        <w:noBreakHyphen/>
      </w:r>
      <w:r w:rsidRPr="003B6257">
        <w:rPr>
          <w:i/>
        </w:rPr>
        <w:t>00 to 2010</w:t>
      </w:r>
      <w:r w:rsidR="00CC7814">
        <w:rPr>
          <w:i/>
        </w:rPr>
        <w:noBreakHyphen/>
      </w:r>
      <w:r w:rsidRPr="003B6257">
        <w:rPr>
          <w:i/>
        </w:rPr>
        <w:t>11</w:t>
      </w:r>
      <w:r>
        <w:t>,</w:t>
      </w:r>
      <w:r w:rsidRPr="003B6257">
        <w:t xml:space="preserve"> Injury research and statistics series 86</w:t>
      </w:r>
      <w:r>
        <w:t>,</w:t>
      </w:r>
      <w:r w:rsidRPr="003B6257">
        <w:t xml:space="preserve"> Cat. no. INJCAT </w:t>
      </w:r>
      <w:r>
        <w:t>162,</w:t>
      </w:r>
      <w:r w:rsidRPr="003B6257">
        <w:t xml:space="preserve"> Canberra.</w:t>
      </w:r>
    </w:p>
    <w:p w:rsidR="000F7A4E" w:rsidRPr="004A5406" w:rsidRDefault="000F7A4E" w:rsidP="004A5406">
      <w:pPr>
        <w:pStyle w:val="Reference"/>
      </w:pPr>
      <w:r>
        <w:t xml:space="preserve">APH </w:t>
      </w:r>
      <w:r w:rsidR="004A5406">
        <w:t xml:space="preserve">(Parliament of Australia) </w:t>
      </w:r>
      <w:r>
        <w:t>201</w:t>
      </w:r>
      <w:r w:rsidR="004A5406">
        <w:t>0</w:t>
      </w:r>
      <w:r w:rsidR="00FD1C34">
        <w:t>,</w:t>
      </w:r>
      <w:r>
        <w:t xml:space="preserve"> </w:t>
      </w:r>
      <w:r w:rsidRPr="004A5406">
        <w:rPr>
          <w:i/>
        </w:rPr>
        <w:t>Roundtable forum on Burns Prevention</w:t>
      </w:r>
      <w:r w:rsidR="004A5406">
        <w:rPr>
          <w:i/>
        </w:rPr>
        <w:t xml:space="preserve"> — Report</w:t>
      </w:r>
      <w:r w:rsidR="004A5406">
        <w:t>, House of Representatives Standing Committee on Health and Ageing, Canberra.</w:t>
      </w:r>
    </w:p>
    <w:p w:rsidR="00800C3F" w:rsidRPr="00800C3F" w:rsidRDefault="006A7552" w:rsidP="00B102EC">
      <w:pPr>
        <w:pStyle w:val="Reference"/>
      </w:pPr>
      <w:r w:rsidRPr="0054109B">
        <w:t xml:space="preserve">Australian Government </w:t>
      </w:r>
      <w:r w:rsidR="00800C3F">
        <w:t>2012, </w:t>
      </w:r>
      <w:r w:rsidR="00800C3F" w:rsidRPr="00800C3F">
        <w:rPr>
          <w:i/>
        </w:rPr>
        <w:t>Australian Government Response to the House of Representatives Standing Committee on Health and Ageing report: Roundtable Forum on Burns Prevention</w:t>
      </w:r>
      <w:r w:rsidR="00800C3F" w:rsidRPr="0054109B">
        <w:t xml:space="preserve">, </w:t>
      </w:r>
      <w:r w:rsidR="00800C3F" w:rsidRPr="00800C3F">
        <w:t>www.health.gov.au/internet/main/publishing.nsf/Content/phd-response-round-table-forum-on-burns-prevention-july2010.htm</w:t>
      </w:r>
      <w:r w:rsidR="00800C3F" w:rsidRPr="0054109B">
        <w:t xml:space="preserve"> (</w:t>
      </w:r>
      <w:r w:rsidR="00800C3F" w:rsidRPr="00B102EC">
        <w:t>accessed</w:t>
      </w:r>
      <w:r w:rsidR="00800C3F" w:rsidRPr="0054109B">
        <w:t xml:space="preserve"> 10</w:t>
      </w:r>
      <w:r w:rsidR="00243CD6">
        <w:t> </w:t>
      </w:r>
      <w:r w:rsidR="00800C3F" w:rsidRPr="0054109B">
        <w:t>October 201</w:t>
      </w:r>
      <w:r w:rsidR="00800C3F">
        <w:t>3</w:t>
      </w:r>
      <w:r w:rsidR="00800C3F" w:rsidRPr="0054109B">
        <w:t>).</w:t>
      </w:r>
    </w:p>
    <w:p w:rsidR="00476616" w:rsidRPr="00476616" w:rsidRDefault="00476616" w:rsidP="00796917">
      <w:pPr>
        <w:pStyle w:val="Reference"/>
      </w:pPr>
      <w:r>
        <w:t xml:space="preserve">BoM (Bureau of Meteorology) 2014, </w:t>
      </w:r>
      <w:r w:rsidRPr="00476616">
        <w:rPr>
          <w:i/>
        </w:rPr>
        <w:t>Annual climate statement 2013</w:t>
      </w:r>
      <w:r>
        <w:t xml:space="preserve">, </w:t>
      </w:r>
      <w:r w:rsidRPr="00436779">
        <w:t>www.bom.gov.au/climate/current/annual/aus/</w:t>
      </w:r>
      <w:r>
        <w:t xml:space="preserve"> (accessed 17 September 2014).</w:t>
      </w:r>
    </w:p>
    <w:p w:rsidR="00472749" w:rsidRPr="00472749" w:rsidRDefault="009653AF" w:rsidP="00796917">
      <w:pPr>
        <w:pStyle w:val="Reference"/>
      </w:pPr>
      <w:r>
        <w:lastRenderedPageBreak/>
        <w:t>B</w:t>
      </w:r>
      <w:r w:rsidR="00472749" w:rsidRPr="00472749">
        <w:t xml:space="preserve">CRC </w:t>
      </w:r>
      <w:r w:rsidR="00472749">
        <w:t>(</w:t>
      </w:r>
      <w:r w:rsidR="00472749" w:rsidRPr="00472749">
        <w:t xml:space="preserve">Bushfire </w:t>
      </w:r>
      <w:r w:rsidR="00472749">
        <w:t>Cooperative Research Centre</w:t>
      </w:r>
      <w:r w:rsidR="00472749" w:rsidRPr="00472749">
        <w:t>)</w:t>
      </w:r>
      <w:r w:rsidR="00472749">
        <w:t xml:space="preserve"> 2013</w:t>
      </w:r>
      <w:r w:rsidR="00FD1C34">
        <w:t>,</w:t>
      </w:r>
      <w:r w:rsidR="00472749">
        <w:t xml:space="preserve"> </w:t>
      </w:r>
      <w:r w:rsidR="00472749" w:rsidRPr="00472749">
        <w:rPr>
          <w:i/>
        </w:rPr>
        <w:t>Southern Australia Seasonal</w:t>
      </w:r>
      <w:r w:rsidR="00780459">
        <w:rPr>
          <w:i/>
        </w:rPr>
        <w:t xml:space="preserve"> </w:t>
      </w:r>
      <w:r w:rsidR="00472749" w:rsidRPr="00472749">
        <w:rPr>
          <w:i/>
        </w:rPr>
        <w:t>Bushfire Outlook 2013</w:t>
      </w:r>
      <w:r w:rsidR="00CC7814">
        <w:rPr>
          <w:i/>
        </w:rPr>
        <w:noBreakHyphen/>
      </w:r>
      <w:r w:rsidR="00472749" w:rsidRPr="00472749">
        <w:rPr>
          <w:i/>
        </w:rPr>
        <w:t>14</w:t>
      </w:r>
      <w:r w:rsidR="00472749">
        <w:t xml:space="preserve">, </w:t>
      </w:r>
      <w:r w:rsidR="00780459">
        <w:t xml:space="preserve">Fire note 116, </w:t>
      </w:r>
      <w:r w:rsidR="00800C3F" w:rsidRPr="00436779">
        <w:rPr>
          <w:spacing w:val="-6"/>
        </w:rPr>
        <w:t>http://www.bushfirecrc.com/</w:t>
      </w:r>
      <w:r w:rsidR="00780459">
        <w:t xml:space="preserve"> (</w:t>
      </w:r>
      <w:r w:rsidR="00780459" w:rsidRPr="00796917">
        <w:t>accessed</w:t>
      </w:r>
      <w:r w:rsidR="00780459">
        <w:t xml:space="preserve"> 2</w:t>
      </w:r>
      <w:r w:rsidR="00897587">
        <w:t> </w:t>
      </w:r>
      <w:r w:rsidR="00780459">
        <w:t>October 2013).</w:t>
      </w:r>
    </w:p>
    <w:p w:rsidR="00EB10E1" w:rsidRPr="0054109B" w:rsidRDefault="00EB10E1" w:rsidP="00897587">
      <w:pPr>
        <w:pStyle w:val="Reference"/>
      </w:pPr>
      <w:r w:rsidRPr="0054109B">
        <w:t>CAA (Council of Ambulance Authorities) 201</w:t>
      </w:r>
      <w:r w:rsidR="00897587">
        <w:t>3</w:t>
      </w:r>
      <w:r w:rsidRPr="0054109B">
        <w:t xml:space="preserve">, </w:t>
      </w:r>
      <w:r w:rsidRPr="0054109B">
        <w:rPr>
          <w:i/>
        </w:rPr>
        <w:t>Council of Ambulance Authorities Patient Satisfaction Survey 201</w:t>
      </w:r>
      <w:r w:rsidR="00897587">
        <w:rPr>
          <w:i/>
        </w:rPr>
        <w:t>3</w:t>
      </w:r>
      <w:r w:rsidRPr="0054109B">
        <w:t xml:space="preserve">, prepared by </w:t>
      </w:r>
      <w:proofErr w:type="spellStart"/>
      <w:r w:rsidRPr="0054109B">
        <w:t>Ehrennerg</w:t>
      </w:r>
      <w:proofErr w:type="spellEnd"/>
      <w:r w:rsidRPr="0054109B">
        <w:t xml:space="preserve">-Bass </w:t>
      </w:r>
      <w:r w:rsidRPr="00897587">
        <w:t>Institute</w:t>
      </w:r>
      <w:r w:rsidRPr="0054109B">
        <w:t xml:space="preserve"> for Marketing Science, </w:t>
      </w:r>
      <w:r w:rsidR="00897587">
        <w:t>www.caa.net.au</w:t>
      </w:r>
      <w:r w:rsidRPr="0054109B">
        <w:t xml:space="preserve"> (accessed 1</w:t>
      </w:r>
      <w:r w:rsidR="00243CD6">
        <w:t> </w:t>
      </w:r>
      <w:r w:rsidRPr="0054109B">
        <w:t>October 201</w:t>
      </w:r>
      <w:r w:rsidR="00897587">
        <w:t>3</w:t>
      </w:r>
      <w:r w:rsidRPr="0054109B">
        <w:t>).</w:t>
      </w:r>
    </w:p>
    <w:p w:rsidR="00EB10E1" w:rsidRPr="0054109B" w:rsidRDefault="00EB10E1" w:rsidP="00B102EC">
      <w:pPr>
        <w:pStyle w:val="Reference"/>
      </w:pPr>
      <w:r w:rsidRPr="0054109B">
        <w:t xml:space="preserve">CSIRO (Commonwealth Scientific and Industrial Research Organisation) 2012, </w:t>
      </w:r>
      <w:r w:rsidRPr="0054109B">
        <w:rPr>
          <w:i/>
        </w:rPr>
        <w:t>Bushfires in Australia</w:t>
      </w:r>
      <w:r w:rsidRPr="0054109B">
        <w:t>, www.csiro.au/en/Organisation-Structure/Divisions/</w:t>
      </w:r>
      <w:r w:rsidRPr="0054109B">
        <w:br/>
        <w:t>Ecosystem-Sciences/BushfireInAustralia.aspx (accessed 1</w:t>
      </w:r>
      <w:r w:rsidR="00243CD6">
        <w:t> </w:t>
      </w:r>
      <w:r w:rsidRPr="0054109B">
        <w:t>October 2012).</w:t>
      </w:r>
    </w:p>
    <w:p w:rsidR="00986A8B" w:rsidRDefault="00986A8B" w:rsidP="00897587">
      <w:pPr>
        <w:pStyle w:val="Reference"/>
      </w:pPr>
      <w:r w:rsidRPr="0054109B">
        <w:t xml:space="preserve">Jacobs I, et al 2004, AHA Scientific Statement, </w:t>
      </w:r>
      <w:r w:rsidRPr="0054109B">
        <w:rPr>
          <w:i/>
        </w:rPr>
        <w:t>Cardiac Arrest and Cardiopulmonary Resuscitation Outcome Reports</w:t>
      </w:r>
      <w:r w:rsidRPr="0054109B">
        <w:t xml:space="preserve">, Update of the </w:t>
      </w:r>
      <w:proofErr w:type="spellStart"/>
      <w:r w:rsidRPr="0054109B">
        <w:t>Utstein</w:t>
      </w:r>
      <w:proofErr w:type="spellEnd"/>
      <w:r w:rsidRPr="0054109B">
        <w:t xml:space="preserve"> Templates for Resuscitation Registries, A Statement for Healthcare Professionals from a Task Force of the International Liaison Committee on Resuscitation (American Heart Association, European Resuscitation Council, Australian Resuscitation Council, New Zealand Resuscitation Council, Heart and Stroke Foundation of Canada, Inter American Heart Foundation, Resuscitation Councils of South Africa), </w:t>
      </w:r>
      <w:r w:rsidRPr="00897587">
        <w:t>circulation</w:t>
      </w:r>
      <w:r w:rsidR="00243CD6">
        <w:t xml:space="preserve"> 23 November </w:t>
      </w:r>
      <w:r w:rsidRPr="0054109B">
        <w:t xml:space="preserve">2004, 110(21)c pp. 3385–97. </w:t>
      </w:r>
    </w:p>
    <w:p w:rsidR="00A660E0" w:rsidRPr="0054109B" w:rsidRDefault="00A660E0" w:rsidP="00A660E0">
      <w:pPr>
        <w:pStyle w:val="Reference"/>
      </w:pPr>
      <w:r>
        <w:t xml:space="preserve">Lennox G. 2014, </w:t>
      </w:r>
      <w:r w:rsidRPr="00A660E0">
        <w:rPr>
          <w:i/>
        </w:rPr>
        <w:t>Evaluation of progress made in implementing the recommendations of an external review of the ACT Ambulance Service carried out by Grant Lennox in 2009/10</w:t>
      </w:r>
      <w:r>
        <w:t xml:space="preserve">, </w:t>
      </w:r>
      <w:r w:rsidR="0074158C" w:rsidRPr="00436779">
        <w:t>esa.act.gov.au/community-information/publications/</w:t>
      </w:r>
      <w:r w:rsidR="0074158C">
        <w:t xml:space="preserve"> (</w:t>
      </w:r>
      <w:r w:rsidR="000472EE">
        <w:t xml:space="preserve">accessed </w:t>
      </w:r>
      <w:r w:rsidR="0074158C">
        <w:t>12 September</w:t>
      </w:r>
      <w:r w:rsidR="000472EE">
        <w:t xml:space="preserve"> </w:t>
      </w:r>
      <w:r w:rsidR="0074158C">
        <w:t>2014).</w:t>
      </w:r>
    </w:p>
    <w:p w:rsidR="0074158C" w:rsidRDefault="0074158C" w:rsidP="00796917">
      <w:pPr>
        <w:pStyle w:val="Reference"/>
      </w:pPr>
      <w:r>
        <w:t xml:space="preserve">—— 2010, </w:t>
      </w:r>
      <w:r w:rsidRPr="0074158C">
        <w:rPr>
          <w:i/>
        </w:rPr>
        <w:t>Review of ACT Ambulance Service</w:t>
      </w:r>
      <w:r>
        <w:rPr>
          <w:i/>
        </w:rPr>
        <w:t xml:space="preserve">: </w:t>
      </w:r>
      <w:r w:rsidRPr="0074158C">
        <w:rPr>
          <w:i/>
        </w:rPr>
        <w:t>Positioning the service to meet future challenges</w:t>
      </w:r>
      <w:r>
        <w:t xml:space="preserve">, </w:t>
      </w:r>
      <w:r w:rsidRPr="0074158C">
        <w:t>ACT</w:t>
      </w:r>
      <w:r>
        <w:t xml:space="preserve"> Department</w:t>
      </w:r>
      <w:r w:rsidRPr="0074158C">
        <w:t xml:space="preserve"> of Justice and Community Safety, Canberra</w:t>
      </w:r>
      <w:r>
        <w:t>.</w:t>
      </w:r>
      <w:r w:rsidRPr="0074158C">
        <w:t xml:space="preserve"> </w:t>
      </w:r>
    </w:p>
    <w:p w:rsidR="00140784" w:rsidRPr="002E7D83" w:rsidRDefault="00140784" w:rsidP="00446594">
      <w:pPr>
        <w:pStyle w:val="Reference"/>
      </w:pPr>
      <w:r w:rsidRPr="002E7D83">
        <w:t xml:space="preserve">McLennan J. 2008, </w:t>
      </w:r>
      <w:r w:rsidRPr="002E7D83">
        <w:rPr>
          <w:i/>
        </w:rPr>
        <w:t>Issues facing Australian volunteer-based emergency services organisations: 2008 – 2010</w:t>
      </w:r>
      <w:r w:rsidRPr="002E7D83">
        <w:t xml:space="preserve">,  Prepared For Emergency Management Australia (EMA) as a Response to a Request by the Ministerial Council for Police and Emergency Management, </w:t>
      </w:r>
      <w:r w:rsidRPr="00436779">
        <w:t>https://www.emknowledge.gov.au/resource/?id=871</w:t>
      </w:r>
      <w:r w:rsidRPr="002E7D83">
        <w:t xml:space="preserve"> (cited 15 September 2014)</w:t>
      </w:r>
    </w:p>
    <w:p w:rsidR="00357722" w:rsidRDefault="00357722" w:rsidP="00446594">
      <w:pPr>
        <w:pStyle w:val="Reference"/>
      </w:pPr>
      <w:r w:rsidRPr="00244EEA">
        <w:t xml:space="preserve">SCRGSP (Steering Committee for the Review of Government Service Provision) 2014, </w:t>
      </w:r>
      <w:r w:rsidRPr="00244EEA">
        <w:rPr>
          <w:i/>
        </w:rPr>
        <w:t>Report on Government Services 2014</w:t>
      </w:r>
      <w:r w:rsidRPr="00244EEA">
        <w:t>, Productivity Commission, Canberra.</w:t>
      </w:r>
    </w:p>
    <w:p w:rsidR="00986A8B" w:rsidRDefault="00FD6454" w:rsidP="00446594">
      <w:pPr>
        <w:pStyle w:val="Reference"/>
      </w:pPr>
      <w:r>
        <w:t xml:space="preserve">Thompson C, Williams K, Morris D, Lago L, </w:t>
      </w:r>
      <w:proofErr w:type="spellStart"/>
      <w:r>
        <w:t>Kobel</w:t>
      </w:r>
      <w:proofErr w:type="spellEnd"/>
      <w:r>
        <w:t xml:space="preserve"> C, </w:t>
      </w:r>
      <w:proofErr w:type="spellStart"/>
      <w:r>
        <w:t>Quinsey</w:t>
      </w:r>
      <w:proofErr w:type="spellEnd"/>
      <w:r>
        <w:t xml:space="preserve"> K, </w:t>
      </w:r>
      <w:proofErr w:type="spellStart"/>
      <w:r>
        <w:t>Eckermann</w:t>
      </w:r>
      <w:proofErr w:type="spellEnd"/>
      <w:r>
        <w:t xml:space="preserve"> S, Andersen P and </w:t>
      </w:r>
      <w:proofErr w:type="spellStart"/>
      <w:r>
        <w:t>Masso</w:t>
      </w:r>
      <w:proofErr w:type="spellEnd"/>
      <w:r>
        <w:t xml:space="preserve"> M 2014, </w:t>
      </w:r>
      <w:r w:rsidRPr="00FD6454">
        <w:rPr>
          <w:i/>
        </w:rPr>
        <w:t>HWA Expanded Scopes of Practice Program Evaluation: Extending the</w:t>
      </w:r>
      <w:r>
        <w:rPr>
          <w:i/>
        </w:rPr>
        <w:t xml:space="preserve"> </w:t>
      </w:r>
      <w:r w:rsidRPr="00FD6454">
        <w:rPr>
          <w:i/>
        </w:rPr>
        <w:t>Role of Paramedics Sub-Project Final Report</w:t>
      </w:r>
      <w:r>
        <w:t>. Centre for Health Service Development, Australian Health Services Research Institute, University of Wollongong.</w:t>
      </w:r>
    </w:p>
    <w:p w:rsidR="00044412" w:rsidRPr="00044412" w:rsidRDefault="00044412" w:rsidP="00FD6454">
      <w:pPr>
        <w:pStyle w:val="Reference"/>
      </w:pPr>
      <w:r>
        <w:t xml:space="preserve">VAGO (Victorian Auditor-General’s Office) 2014, </w:t>
      </w:r>
      <w:r>
        <w:rPr>
          <w:i/>
        </w:rPr>
        <w:t>Managing Emergency Service Volunteers</w:t>
      </w:r>
      <w:r w:rsidR="00E45577">
        <w:t>, 2013-14:21</w:t>
      </w:r>
      <w:r>
        <w:t>, Victorian Government Printer, Melbourne.</w:t>
      </w:r>
    </w:p>
    <w:sectPr w:rsidR="00044412" w:rsidRPr="00044412" w:rsidSect="0089285E">
      <w:headerReference w:type="even" r:id="rId48"/>
      <w:headerReference w:type="default" r:id="rId49"/>
      <w:footerReference w:type="even" r:id="rId50"/>
      <w:footerReference w:type="default" r:id="rId51"/>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413" w:rsidRDefault="00BE5413">
      <w:r>
        <w:separator/>
      </w:r>
    </w:p>
  </w:endnote>
  <w:endnote w:type="continuationSeparator" w:id="0">
    <w:p w:rsidR="00BE5413" w:rsidRDefault="00BE5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E5413" w:rsidTr="0089007B">
      <w:trPr>
        <w:trHeight w:hRule="exact" w:val="567"/>
      </w:trPr>
      <w:tc>
        <w:tcPr>
          <w:tcW w:w="510" w:type="dxa"/>
        </w:tcPr>
        <w:p w:rsidR="00BE5413" w:rsidRPr="00A24443" w:rsidRDefault="00BE5413" w:rsidP="0019293B">
          <w:pPr>
            <w:pStyle w:val="Footer"/>
            <w:tabs>
              <w:tab w:val="left" w:pos="0"/>
            </w:tabs>
            <w:ind w:right="0"/>
            <w:rPr>
              <w:rStyle w:val="PageNumber"/>
              <w:caps w:val="0"/>
            </w:rPr>
          </w:pPr>
          <w:r>
            <w:rPr>
              <w:rStyle w:val="PageNumber"/>
              <w:caps w:val="0"/>
            </w:rPr>
            <w:t>9.</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906F6">
            <w:rPr>
              <w:rStyle w:val="PageNumber"/>
              <w:caps w:val="0"/>
              <w:noProof/>
            </w:rPr>
            <w:t>26</w:t>
          </w:r>
          <w:r w:rsidRPr="00A24443">
            <w:rPr>
              <w:rStyle w:val="PageNumber"/>
              <w:caps w:val="0"/>
            </w:rPr>
            <w:fldChar w:fldCharType="end"/>
          </w:r>
        </w:p>
      </w:tc>
      <w:tc>
        <w:tcPr>
          <w:tcW w:w="7767" w:type="dxa"/>
        </w:tcPr>
        <w:p w:rsidR="00BE5413" w:rsidRPr="0013739A" w:rsidRDefault="00BE5413" w:rsidP="0089007B">
          <w:pPr>
            <w:pStyle w:val="Footer"/>
            <w:rPr>
              <w:rFonts w:cs="Arial"/>
            </w:rPr>
          </w:pPr>
          <w:r>
            <w:rPr>
              <w:rFonts w:cs="Arial"/>
            </w:rPr>
            <w:t>Report on Government Services 2015</w:t>
          </w:r>
          <w:bookmarkStart w:id="132" w:name="DraftReportEven"/>
          <w:bookmarkEnd w:id="132"/>
        </w:p>
      </w:tc>
      <w:tc>
        <w:tcPr>
          <w:tcW w:w="510" w:type="dxa"/>
        </w:tcPr>
        <w:p w:rsidR="00BE5413" w:rsidRDefault="00BE5413" w:rsidP="0019293B">
          <w:pPr>
            <w:pStyle w:val="Footer"/>
          </w:pPr>
        </w:p>
      </w:tc>
    </w:tr>
  </w:tbl>
  <w:p w:rsidR="00BE5413" w:rsidRDefault="00BE5413" w:rsidP="0019293B">
    <w:pPr>
      <w:pStyle w:val="FooterEnd"/>
    </w:pPr>
  </w:p>
  <w:p w:rsidR="00BE5413" w:rsidRDefault="00BE541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E5413" w:rsidTr="0089007B">
      <w:trPr>
        <w:trHeight w:hRule="exact" w:val="567"/>
      </w:trPr>
      <w:tc>
        <w:tcPr>
          <w:tcW w:w="510" w:type="dxa"/>
        </w:tcPr>
        <w:p w:rsidR="00BE5413" w:rsidRDefault="00BE5413">
          <w:pPr>
            <w:pStyle w:val="Footer"/>
            <w:ind w:right="360" w:firstLine="360"/>
          </w:pPr>
        </w:p>
      </w:tc>
      <w:tc>
        <w:tcPr>
          <w:tcW w:w="7767" w:type="dxa"/>
        </w:tcPr>
        <w:p w:rsidR="00BE5413" w:rsidRPr="00BA5B14" w:rsidRDefault="00BE5413" w:rsidP="0089007B">
          <w:pPr>
            <w:pStyle w:val="Footer"/>
            <w:jc w:val="right"/>
            <w:rPr>
              <w:rFonts w:cs="Arial"/>
            </w:rPr>
          </w:pPr>
          <w:r>
            <w:rPr>
              <w:rFonts w:cs="Arial"/>
            </w:rPr>
            <w:t>Fire and ambulance services</w:t>
          </w:r>
        </w:p>
      </w:tc>
      <w:tc>
        <w:tcPr>
          <w:tcW w:w="510" w:type="dxa"/>
        </w:tcPr>
        <w:p w:rsidR="00BE5413" w:rsidRPr="00A24443" w:rsidRDefault="00BE5413">
          <w:pPr>
            <w:pStyle w:val="Footer"/>
            <w:jc w:val="right"/>
            <w:rPr>
              <w:caps w:val="0"/>
            </w:rPr>
          </w:pPr>
          <w:r>
            <w:rPr>
              <w:rStyle w:val="PageNumber"/>
              <w:caps w:val="0"/>
            </w:rPr>
            <w:t>9.</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906F6">
            <w:rPr>
              <w:rStyle w:val="PageNumber"/>
              <w:caps w:val="0"/>
              <w:noProof/>
            </w:rPr>
            <w:t>25</w:t>
          </w:r>
          <w:r w:rsidRPr="00A24443">
            <w:rPr>
              <w:rStyle w:val="PageNumber"/>
              <w:caps w:val="0"/>
            </w:rPr>
            <w:fldChar w:fldCharType="end"/>
          </w:r>
        </w:p>
      </w:tc>
    </w:tr>
  </w:tbl>
  <w:p w:rsidR="00BE5413" w:rsidRDefault="00BE5413">
    <w:pPr>
      <w:pStyle w:val="FooterEnd"/>
    </w:pPr>
  </w:p>
  <w:p w:rsidR="00BE5413" w:rsidRDefault="00BE541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413" w:rsidRDefault="00BE5413">
      <w:r>
        <w:separator/>
      </w:r>
    </w:p>
  </w:footnote>
  <w:footnote w:type="continuationSeparator" w:id="0">
    <w:p w:rsidR="00BE5413" w:rsidRDefault="00BE54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E5413" w:rsidTr="0019293B">
      <w:tc>
        <w:tcPr>
          <w:tcW w:w="2155" w:type="dxa"/>
          <w:tcBorders>
            <w:top w:val="single" w:sz="24" w:space="0" w:color="auto"/>
          </w:tcBorders>
        </w:tcPr>
        <w:p w:rsidR="00BE5413" w:rsidRDefault="00BE5413" w:rsidP="0019293B">
          <w:pPr>
            <w:pStyle w:val="HeaderEven"/>
          </w:pPr>
        </w:p>
      </w:tc>
      <w:tc>
        <w:tcPr>
          <w:tcW w:w="6634" w:type="dxa"/>
          <w:tcBorders>
            <w:top w:val="single" w:sz="6" w:space="0" w:color="auto"/>
          </w:tcBorders>
        </w:tcPr>
        <w:p w:rsidR="00BE5413" w:rsidRDefault="00BE5413" w:rsidP="00927312">
          <w:pPr>
            <w:pStyle w:val="HeaderEven"/>
          </w:pPr>
        </w:p>
      </w:tc>
    </w:tr>
  </w:tbl>
  <w:p w:rsidR="00BE5413" w:rsidRDefault="00BE541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E5413" w:rsidTr="00E669E2">
      <w:tc>
        <w:tcPr>
          <w:tcW w:w="6634" w:type="dxa"/>
          <w:tcBorders>
            <w:top w:val="single" w:sz="6" w:space="0" w:color="auto"/>
          </w:tcBorders>
        </w:tcPr>
        <w:p w:rsidR="00BE5413" w:rsidRDefault="00BE5413" w:rsidP="00D76A99">
          <w:pPr>
            <w:pStyle w:val="HeaderOdd"/>
          </w:pPr>
        </w:p>
      </w:tc>
      <w:tc>
        <w:tcPr>
          <w:tcW w:w="2155" w:type="dxa"/>
          <w:tcBorders>
            <w:top w:val="single" w:sz="24" w:space="0" w:color="auto"/>
          </w:tcBorders>
        </w:tcPr>
        <w:p w:rsidR="00BE5413" w:rsidRDefault="00BE5413" w:rsidP="00E669E2">
          <w:pPr>
            <w:pStyle w:val="HeaderOdd"/>
          </w:pPr>
        </w:p>
      </w:tc>
    </w:tr>
  </w:tbl>
  <w:p w:rsidR="00BE5413" w:rsidRDefault="00BE541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5AF1CA"/>
    <w:lvl w:ilvl="0">
      <w:start w:val="1"/>
      <w:numFmt w:val="decimal"/>
      <w:lvlText w:val="%1."/>
      <w:lvlJc w:val="left"/>
      <w:pPr>
        <w:tabs>
          <w:tab w:val="num" w:pos="360"/>
        </w:tabs>
        <w:ind w:left="360" w:hanging="360"/>
      </w:p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3FF3874"/>
    <w:multiLevelType w:val="multilevel"/>
    <w:tmpl w:val="0C09001D"/>
    <w:styleLink w:val="Style1"/>
    <w:lvl w:ilvl="0">
      <w:start w:val="9"/>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8EB6860"/>
    <w:multiLevelType w:val="hybridMultilevel"/>
    <w:tmpl w:val="0DBE9C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5EE70BB3"/>
    <w:multiLevelType w:val="hybridMultilevel"/>
    <w:tmpl w:val="2702FE04"/>
    <w:lvl w:ilvl="0" w:tplc="68342044">
      <w:start w:val="1"/>
      <w:numFmt w:val="bullet"/>
      <w:pStyle w:val="TableBullet2"/>
      <w:lvlText w:val=""/>
      <w:lvlJc w:val="left"/>
      <w:pPr>
        <w:ind w:left="1004" w:hanging="360"/>
      </w:pPr>
      <w:rPr>
        <w:rFonts w:ascii="Symbol" w:hAnsi="Symbol"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9C5D94"/>
    <w:multiLevelType w:val="hybridMultilevel"/>
    <w:tmpl w:val="638EBC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4"/>
  </w:num>
  <w:num w:numId="2">
    <w:abstractNumId w:val="5"/>
  </w:num>
  <w:num w:numId="3">
    <w:abstractNumId w:val="23"/>
  </w:num>
  <w:num w:numId="4">
    <w:abstractNumId w:val="3"/>
  </w:num>
  <w:num w:numId="5">
    <w:abstractNumId w:val="16"/>
  </w:num>
  <w:num w:numId="6">
    <w:abstractNumId w:val="4"/>
  </w:num>
  <w:num w:numId="7">
    <w:abstractNumId w:val="22"/>
  </w:num>
  <w:num w:numId="8">
    <w:abstractNumId w:val="18"/>
  </w:num>
  <w:num w:numId="9">
    <w:abstractNumId w:val="25"/>
  </w:num>
  <w:num w:numId="10">
    <w:abstractNumId w:val="8"/>
  </w:num>
  <w:num w:numId="11">
    <w:abstractNumId w:val="17"/>
  </w:num>
  <w:num w:numId="12">
    <w:abstractNumId w:val="7"/>
  </w:num>
  <w:num w:numId="13">
    <w:abstractNumId w:val="6"/>
  </w:num>
  <w:num w:numId="14">
    <w:abstractNumId w:val="10"/>
  </w:num>
  <w:num w:numId="15">
    <w:abstractNumId w:val="11"/>
  </w:num>
  <w:num w:numId="16">
    <w:abstractNumId w:val="13"/>
  </w:num>
  <w:num w:numId="17">
    <w:abstractNumId w:val="15"/>
  </w:num>
  <w:num w:numId="18">
    <w:abstractNumId w:val="19"/>
  </w:num>
  <w:num w:numId="19">
    <w:abstractNumId w:val="20"/>
  </w:num>
  <w:num w:numId="20">
    <w:abstractNumId w:val="21"/>
  </w:num>
  <w:num w:numId="21">
    <w:abstractNumId w:val="9"/>
  </w:num>
  <w:num w:numId="22">
    <w:abstractNumId w:val="0"/>
  </w:num>
  <w:num w:numId="23">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4">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5">
    <w:abstractNumId w:val="1"/>
  </w:num>
  <w:num w:numId="26">
    <w:abstractNumId w:val="16"/>
  </w:num>
  <w:num w:numId="27">
    <w:abstractNumId w:val="24"/>
  </w:num>
  <w:num w:numId="28">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mirrorMargins/>
  <w:activeWritingStyle w:appName="MSWord" w:lang="en-AU" w:vendorID="64" w:dllVersion="131078" w:nlCheck="1" w:checkStyle="1"/>
  <w:activeWritingStyle w:appName="MSWord" w:lang="en-US" w:vendorID="64" w:dllVersion="131078" w:nlCheck="1"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949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Fire and ambulance services"/>
    <w:docVar w:name="ShortReportTitle" w:val="Report on Government Services 2013"/>
  </w:docVars>
  <w:rsids>
    <w:rsidRoot w:val="00986A8B"/>
    <w:rsid w:val="0000022D"/>
    <w:rsid w:val="0000053C"/>
    <w:rsid w:val="00001232"/>
    <w:rsid w:val="000033E7"/>
    <w:rsid w:val="00004778"/>
    <w:rsid w:val="00004B16"/>
    <w:rsid w:val="00004B7C"/>
    <w:rsid w:val="0000553D"/>
    <w:rsid w:val="00006FEF"/>
    <w:rsid w:val="00007899"/>
    <w:rsid w:val="00007AA7"/>
    <w:rsid w:val="0001058E"/>
    <w:rsid w:val="0001084C"/>
    <w:rsid w:val="00012575"/>
    <w:rsid w:val="00012ECB"/>
    <w:rsid w:val="00012F7C"/>
    <w:rsid w:val="00014AEB"/>
    <w:rsid w:val="0001582E"/>
    <w:rsid w:val="00020C54"/>
    <w:rsid w:val="00021E55"/>
    <w:rsid w:val="0002390C"/>
    <w:rsid w:val="00023927"/>
    <w:rsid w:val="000243E8"/>
    <w:rsid w:val="00025F02"/>
    <w:rsid w:val="0002692E"/>
    <w:rsid w:val="000277CB"/>
    <w:rsid w:val="00030434"/>
    <w:rsid w:val="00031725"/>
    <w:rsid w:val="00032047"/>
    <w:rsid w:val="00032123"/>
    <w:rsid w:val="00032BFC"/>
    <w:rsid w:val="0003338A"/>
    <w:rsid w:val="000335FF"/>
    <w:rsid w:val="000347A8"/>
    <w:rsid w:val="00034C0C"/>
    <w:rsid w:val="00034DE5"/>
    <w:rsid w:val="000358C3"/>
    <w:rsid w:val="0003664B"/>
    <w:rsid w:val="00040F56"/>
    <w:rsid w:val="0004111F"/>
    <w:rsid w:val="000423E5"/>
    <w:rsid w:val="0004308E"/>
    <w:rsid w:val="00044412"/>
    <w:rsid w:val="000445C1"/>
    <w:rsid w:val="00044CC2"/>
    <w:rsid w:val="00045C7B"/>
    <w:rsid w:val="00047086"/>
    <w:rsid w:val="000472EE"/>
    <w:rsid w:val="00047FBC"/>
    <w:rsid w:val="00050436"/>
    <w:rsid w:val="00050B71"/>
    <w:rsid w:val="0005338D"/>
    <w:rsid w:val="000542FD"/>
    <w:rsid w:val="0005595F"/>
    <w:rsid w:val="00057854"/>
    <w:rsid w:val="00061A15"/>
    <w:rsid w:val="0006250D"/>
    <w:rsid w:val="0006305F"/>
    <w:rsid w:val="00064A50"/>
    <w:rsid w:val="00066BC3"/>
    <w:rsid w:val="00066F7A"/>
    <w:rsid w:val="00067248"/>
    <w:rsid w:val="000700EF"/>
    <w:rsid w:val="000703C7"/>
    <w:rsid w:val="00071218"/>
    <w:rsid w:val="0007150B"/>
    <w:rsid w:val="00072568"/>
    <w:rsid w:val="0007325F"/>
    <w:rsid w:val="00073D3A"/>
    <w:rsid w:val="00073D46"/>
    <w:rsid w:val="000750A1"/>
    <w:rsid w:val="00076DEF"/>
    <w:rsid w:val="0007767E"/>
    <w:rsid w:val="0008009B"/>
    <w:rsid w:val="0008018A"/>
    <w:rsid w:val="00080C7E"/>
    <w:rsid w:val="00084E02"/>
    <w:rsid w:val="000852C8"/>
    <w:rsid w:val="0008578D"/>
    <w:rsid w:val="000864C2"/>
    <w:rsid w:val="00090288"/>
    <w:rsid w:val="0009261D"/>
    <w:rsid w:val="000938F5"/>
    <w:rsid w:val="000952E2"/>
    <w:rsid w:val="00095778"/>
    <w:rsid w:val="00095F83"/>
    <w:rsid w:val="00096372"/>
    <w:rsid w:val="00096506"/>
    <w:rsid w:val="000A2873"/>
    <w:rsid w:val="000A3ABC"/>
    <w:rsid w:val="000A3C56"/>
    <w:rsid w:val="000A5616"/>
    <w:rsid w:val="000A6023"/>
    <w:rsid w:val="000A696C"/>
    <w:rsid w:val="000A7AEF"/>
    <w:rsid w:val="000B1368"/>
    <w:rsid w:val="000B140D"/>
    <w:rsid w:val="000B16AD"/>
    <w:rsid w:val="000B1859"/>
    <w:rsid w:val="000B246C"/>
    <w:rsid w:val="000B2867"/>
    <w:rsid w:val="000B3D6D"/>
    <w:rsid w:val="000B601B"/>
    <w:rsid w:val="000C0BE2"/>
    <w:rsid w:val="000C207E"/>
    <w:rsid w:val="000C38E7"/>
    <w:rsid w:val="000C3E5A"/>
    <w:rsid w:val="000C42F2"/>
    <w:rsid w:val="000C5CC4"/>
    <w:rsid w:val="000C5F5A"/>
    <w:rsid w:val="000D1428"/>
    <w:rsid w:val="000D2057"/>
    <w:rsid w:val="000D2232"/>
    <w:rsid w:val="000D2243"/>
    <w:rsid w:val="000D2311"/>
    <w:rsid w:val="000D2973"/>
    <w:rsid w:val="000D2EC0"/>
    <w:rsid w:val="000D466F"/>
    <w:rsid w:val="000D46AF"/>
    <w:rsid w:val="000D4CD5"/>
    <w:rsid w:val="000D65AC"/>
    <w:rsid w:val="000D7995"/>
    <w:rsid w:val="000D7E94"/>
    <w:rsid w:val="000E1F12"/>
    <w:rsid w:val="000E5B2C"/>
    <w:rsid w:val="000E7892"/>
    <w:rsid w:val="000F19BD"/>
    <w:rsid w:val="000F5915"/>
    <w:rsid w:val="000F5FC4"/>
    <w:rsid w:val="000F62F0"/>
    <w:rsid w:val="000F7A4E"/>
    <w:rsid w:val="0010074D"/>
    <w:rsid w:val="00101B5B"/>
    <w:rsid w:val="0010230E"/>
    <w:rsid w:val="001025E3"/>
    <w:rsid w:val="00102D3E"/>
    <w:rsid w:val="00104E26"/>
    <w:rsid w:val="001065C9"/>
    <w:rsid w:val="00107313"/>
    <w:rsid w:val="00107430"/>
    <w:rsid w:val="00110116"/>
    <w:rsid w:val="00110310"/>
    <w:rsid w:val="00110704"/>
    <w:rsid w:val="00110A64"/>
    <w:rsid w:val="0011265B"/>
    <w:rsid w:val="00112E9F"/>
    <w:rsid w:val="001132CF"/>
    <w:rsid w:val="001153B7"/>
    <w:rsid w:val="00116022"/>
    <w:rsid w:val="00116D70"/>
    <w:rsid w:val="00116E05"/>
    <w:rsid w:val="00117485"/>
    <w:rsid w:val="00117A62"/>
    <w:rsid w:val="00117D96"/>
    <w:rsid w:val="001206B5"/>
    <w:rsid w:val="0012243C"/>
    <w:rsid w:val="0012599B"/>
    <w:rsid w:val="0012618C"/>
    <w:rsid w:val="0012639E"/>
    <w:rsid w:val="00126EB8"/>
    <w:rsid w:val="00127F53"/>
    <w:rsid w:val="00130A74"/>
    <w:rsid w:val="00132AE7"/>
    <w:rsid w:val="00132B3D"/>
    <w:rsid w:val="0013336A"/>
    <w:rsid w:val="0013399C"/>
    <w:rsid w:val="00133D15"/>
    <w:rsid w:val="00134024"/>
    <w:rsid w:val="00135663"/>
    <w:rsid w:val="00136346"/>
    <w:rsid w:val="001363AA"/>
    <w:rsid w:val="00137592"/>
    <w:rsid w:val="00137965"/>
    <w:rsid w:val="00137E78"/>
    <w:rsid w:val="00140213"/>
    <w:rsid w:val="00140784"/>
    <w:rsid w:val="00140866"/>
    <w:rsid w:val="00140A0C"/>
    <w:rsid w:val="00140E59"/>
    <w:rsid w:val="0014266B"/>
    <w:rsid w:val="0014610B"/>
    <w:rsid w:val="001463BC"/>
    <w:rsid w:val="00147FBA"/>
    <w:rsid w:val="00150954"/>
    <w:rsid w:val="00150AF0"/>
    <w:rsid w:val="00150CD9"/>
    <w:rsid w:val="001512F5"/>
    <w:rsid w:val="00151369"/>
    <w:rsid w:val="00152824"/>
    <w:rsid w:val="0015302C"/>
    <w:rsid w:val="00154114"/>
    <w:rsid w:val="00154581"/>
    <w:rsid w:val="00154CC6"/>
    <w:rsid w:val="00155334"/>
    <w:rsid w:val="00156C68"/>
    <w:rsid w:val="00157008"/>
    <w:rsid w:val="001574AD"/>
    <w:rsid w:val="001575C2"/>
    <w:rsid w:val="0015799A"/>
    <w:rsid w:val="001610EC"/>
    <w:rsid w:val="00161540"/>
    <w:rsid w:val="00162651"/>
    <w:rsid w:val="001639A0"/>
    <w:rsid w:val="00163FC4"/>
    <w:rsid w:val="00164519"/>
    <w:rsid w:val="00164BA2"/>
    <w:rsid w:val="00164F75"/>
    <w:rsid w:val="0016558A"/>
    <w:rsid w:val="00165C21"/>
    <w:rsid w:val="00167B11"/>
    <w:rsid w:val="00167D8D"/>
    <w:rsid w:val="001700CD"/>
    <w:rsid w:val="00170F93"/>
    <w:rsid w:val="00171A40"/>
    <w:rsid w:val="0017216B"/>
    <w:rsid w:val="00176431"/>
    <w:rsid w:val="00176589"/>
    <w:rsid w:val="00177D52"/>
    <w:rsid w:val="00180D2D"/>
    <w:rsid w:val="00183303"/>
    <w:rsid w:val="0018343A"/>
    <w:rsid w:val="00183A10"/>
    <w:rsid w:val="00185FB0"/>
    <w:rsid w:val="00186D56"/>
    <w:rsid w:val="001870C8"/>
    <w:rsid w:val="00187CD1"/>
    <w:rsid w:val="001905EA"/>
    <w:rsid w:val="00190DC2"/>
    <w:rsid w:val="001910E4"/>
    <w:rsid w:val="001911ED"/>
    <w:rsid w:val="00191283"/>
    <w:rsid w:val="00191B7F"/>
    <w:rsid w:val="0019293B"/>
    <w:rsid w:val="00192DBB"/>
    <w:rsid w:val="00192DFA"/>
    <w:rsid w:val="0019334D"/>
    <w:rsid w:val="001949B1"/>
    <w:rsid w:val="001949BD"/>
    <w:rsid w:val="00194BAA"/>
    <w:rsid w:val="00194D57"/>
    <w:rsid w:val="00196A32"/>
    <w:rsid w:val="00197715"/>
    <w:rsid w:val="001A06C4"/>
    <w:rsid w:val="001A09EB"/>
    <w:rsid w:val="001A0E9E"/>
    <w:rsid w:val="001A1D1B"/>
    <w:rsid w:val="001A1DA0"/>
    <w:rsid w:val="001A24A1"/>
    <w:rsid w:val="001A2B30"/>
    <w:rsid w:val="001A36CC"/>
    <w:rsid w:val="001A642F"/>
    <w:rsid w:val="001A7535"/>
    <w:rsid w:val="001B0295"/>
    <w:rsid w:val="001B24CE"/>
    <w:rsid w:val="001B341C"/>
    <w:rsid w:val="001B415D"/>
    <w:rsid w:val="001B4866"/>
    <w:rsid w:val="001B4C04"/>
    <w:rsid w:val="001B5B29"/>
    <w:rsid w:val="001C0865"/>
    <w:rsid w:val="001C2413"/>
    <w:rsid w:val="001C25BC"/>
    <w:rsid w:val="001C3ABA"/>
    <w:rsid w:val="001C49C6"/>
    <w:rsid w:val="001C4E13"/>
    <w:rsid w:val="001C567F"/>
    <w:rsid w:val="001C629A"/>
    <w:rsid w:val="001C6E0D"/>
    <w:rsid w:val="001C6F18"/>
    <w:rsid w:val="001D279E"/>
    <w:rsid w:val="001D35B6"/>
    <w:rsid w:val="001D371F"/>
    <w:rsid w:val="001D4B1E"/>
    <w:rsid w:val="001D64A4"/>
    <w:rsid w:val="001D676F"/>
    <w:rsid w:val="001D6B30"/>
    <w:rsid w:val="001E26AD"/>
    <w:rsid w:val="001E2F08"/>
    <w:rsid w:val="001E5F4F"/>
    <w:rsid w:val="001E61D8"/>
    <w:rsid w:val="001E6903"/>
    <w:rsid w:val="001E7004"/>
    <w:rsid w:val="001E7A69"/>
    <w:rsid w:val="001E7BE8"/>
    <w:rsid w:val="001F0200"/>
    <w:rsid w:val="001F0248"/>
    <w:rsid w:val="001F0341"/>
    <w:rsid w:val="001F08C0"/>
    <w:rsid w:val="001F1F16"/>
    <w:rsid w:val="001F2D8D"/>
    <w:rsid w:val="001F32EF"/>
    <w:rsid w:val="001F4629"/>
    <w:rsid w:val="001F4932"/>
    <w:rsid w:val="001F4EA8"/>
    <w:rsid w:val="001F581F"/>
    <w:rsid w:val="001F5E3E"/>
    <w:rsid w:val="001F7001"/>
    <w:rsid w:val="001F7BF7"/>
    <w:rsid w:val="00200162"/>
    <w:rsid w:val="00200400"/>
    <w:rsid w:val="00200C27"/>
    <w:rsid w:val="00201B72"/>
    <w:rsid w:val="00201C44"/>
    <w:rsid w:val="00202C2C"/>
    <w:rsid w:val="00205AFC"/>
    <w:rsid w:val="002077BD"/>
    <w:rsid w:val="002106F9"/>
    <w:rsid w:val="00211FD9"/>
    <w:rsid w:val="002121FB"/>
    <w:rsid w:val="002128F5"/>
    <w:rsid w:val="00212B69"/>
    <w:rsid w:val="002133DC"/>
    <w:rsid w:val="00214351"/>
    <w:rsid w:val="0021580C"/>
    <w:rsid w:val="00215EE5"/>
    <w:rsid w:val="002170AE"/>
    <w:rsid w:val="002200FA"/>
    <w:rsid w:val="00220189"/>
    <w:rsid w:val="0022218A"/>
    <w:rsid w:val="00225D8D"/>
    <w:rsid w:val="00227912"/>
    <w:rsid w:val="00227A16"/>
    <w:rsid w:val="00227F53"/>
    <w:rsid w:val="00230403"/>
    <w:rsid w:val="00230B6F"/>
    <w:rsid w:val="00231063"/>
    <w:rsid w:val="002312EC"/>
    <w:rsid w:val="002315EE"/>
    <w:rsid w:val="0023192A"/>
    <w:rsid w:val="00231BC8"/>
    <w:rsid w:val="002356C5"/>
    <w:rsid w:val="002356E1"/>
    <w:rsid w:val="00235CBF"/>
    <w:rsid w:val="00237D41"/>
    <w:rsid w:val="00240249"/>
    <w:rsid w:val="00240920"/>
    <w:rsid w:val="00241A59"/>
    <w:rsid w:val="00242279"/>
    <w:rsid w:val="002429C1"/>
    <w:rsid w:val="00242F11"/>
    <w:rsid w:val="00243CC4"/>
    <w:rsid w:val="00243CD6"/>
    <w:rsid w:val="00246A97"/>
    <w:rsid w:val="00247011"/>
    <w:rsid w:val="002475D0"/>
    <w:rsid w:val="00247731"/>
    <w:rsid w:val="002504DA"/>
    <w:rsid w:val="0025153F"/>
    <w:rsid w:val="00251C70"/>
    <w:rsid w:val="00252AFD"/>
    <w:rsid w:val="00252F07"/>
    <w:rsid w:val="00254125"/>
    <w:rsid w:val="00256A52"/>
    <w:rsid w:val="00256B44"/>
    <w:rsid w:val="00257E44"/>
    <w:rsid w:val="00260505"/>
    <w:rsid w:val="002605A8"/>
    <w:rsid w:val="00261250"/>
    <w:rsid w:val="002612BA"/>
    <w:rsid w:val="002646D4"/>
    <w:rsid w:val="0026487F"/>
    <w:rsid w:val="00264BF6"/>
    <w:rsid w:val="00267C51"/>
    <w:rsid w:val="00270120"/>
    <w:rsid w:val="002705E8"/>
    <w:rsid w:val="00270D9F"/>
    <w:rsid w:val="0027155F"/>
    <w:rsid w:val="002716CE"/>
    <w:rsid w:val="00271A02"/>
    <w:rsid w:val="00273719"/>
    <w:rsid w:val="00274C64"/>
    <w:rsid w:val="00274C77"/>
    <w:rsid w:val="00275212"/>
    <w:rsid w:val="00275CD5"/>
    <w:rsid w:val="002776A8"/>
    <w:rsid w:val="00277951"/>
    <w:rsid w:val="00277C13"/>
    <w:rsid w:val="00277CBB"/>
    <w:rsid w:val="00277EE4"/>
    <w:rsid w:val="00282992"/>
    <w:rsid w:val="002845D6"/>
    <w:rsid w:val="00285A20"/>
    <w:rsid w:val="002866A5"/>
    <w:rsid w:val="002871AF"/>
    <w:rsid w:val="002874A0"/>
    <w:rsid w:val="00291B40"/>
    <w:rsid w:val="0029208E"/>
    <w:rsid w:val="00292179"/>
    <w:rsid w:val="0029464A"/>
    <w:rsid w:val="00294785"/>
    <w:rsid w:val="00294896"/>
    <w:rsid w:val="002965A2"/>
    <w:rsid w:val="002971D3"/>
    <w:rsid w:val="00297D88"/>
    <w:rsid w:val="002A0417"/>
    <w:rsid w:val="002A0A03"/>
    <w:rsid w:val="002A1AA0"/>
    <w:rsid w:val="002A1FE1"/>
    <w:rsid w:val="002A281E"/>
    <w:rsid w:val="002A2EE9"/>
    <w:rsid w:val="002A4364"/>
    <w:rsid w:val="002A7BAE"/>
    <w:rsid w:val="002B0424"/>
    <w:rsid w:val="002B0848"/>
    <w:rsid w:val="002B14CE"/>
    <w:rsid w:val="002B3206"/>
    <w:rsid w:val="002B4008"/>
    <w:rsid w:val="002B457E"/>
    <w:rsid w:val="002B4C35"/>
    <w:rsid w:val="002B4D00"/>
    <w:rsid w:val="002B51FE"/>
    <w:rsid w:val="002B5CE9"/>
    <w:rsid w:val="002B5D10"/>
    <w:rsid w:val="002C1521"/>
    <w:rsid w:val="002C34E9"/>
    <w:rsid w:val="002C5191"/>
    <w:rsid w:val="002C5FB5"/>
    <w:rsid w:val="002C60DA"/>
    <w:rsid w:val="002C631A"/>
    <w:rsid w:val="002C6589"/>
    <w:rsid w:val="002C7313"/>
    <w:rsid w:val="002C7AB3"/>
    <w:rsid w:val="002D0E8E"/>
    <w:rsid w:val="002D1865"/>
    <w:rsid w:val="002D18BD"/>
    <w:rsid w:val="002D2689"/>
    <w:rsid w:val="002D2D64"/>
    <w:rsid w:val="002D39F1"/>
    <w:rsid w:val="002D3C7D"/>
    <w:rsid w:val="002E05D7"/>
    <w:rsid w:val="002E0D39"/>
    <w:rsid w:val="002E112A"/>
    <w:rsid w:val="002E12F6"/>
    <w:rsid w:val="002E1A20"/>
    <w:rsid w:val="002E29D2"/>
    <w:rsid w:val="002E2AB2"/>
    <w:rsid w:val="002E43D5"/>
    <w:rsid w:val="002E47EA"/>
    <w:rsid w:val="002E4B09"/>
    <w:rsid w:val="002E4D98"/>
    <w:rsid w:val="002E5E8A"/>
    <w:rsid w:val="002E62B0"/>
    <w:rsid w:val="002E678F"/>
    <w:rsid w:val="002E750D"/>
    <w:rsid w:val="002E7D83"/>
    <w:rsid w:val="002E7FCD"/>
    <w:rsid w:val="002F08C7"/>
    <w:rsid w:val="002F0A85"/>
    <w:rsid w:val="002F1A36"/>
    <w:rsid w:val="002F37A3"/>
    <w:rsid w:val="002F3FD1"/>
    <w:rsid w:val="002F47AA"/>
    <w:rsid w:val="002F5856"/>
    <w:rsid w:val="002F5A31"/>
    <w:rsid w:val="002F6609"/>
    <w:rsid w:val="00300E7E"/>
    <w:rsid w:val="00301189"/>
    <w:rsid w:val="003012BF"/>
    <w:rsid w:val="00302AB0"/>
    <w:rsid w:val="00303289"/>
    <w:rsid w:val="00303D85"/>
    <w:rsid w:val="00305EAF"/>
    <w:rsid w:val="003062C1"/>
    <w:rsid w:val="0030658E"/>
    <w:rsid w:val="00306BE9"/>
    <w:rsid w:val="00306FF4"/>
    <w:rsid w:val="00307D46"/>
    <w:rsid w:val="00307F85"/>
    <w:rsid w:val="00310418"/>
    <w:rsid w:val="00311AB7"/>
    <w:rsid w:val="00312133"/>
    <w:rsid w:val="00312179"/>
    <w:rsid w:val="003136B8"/>
    <w:rsid w:val="00313A20"/>
    <w:rsid w:val="003167C7"/>
    <w:rsid w:val="003173BA"/>
    <w:rsid w:val="00321A73"/>
    <w:rsid w:val="00321BAF"/>
    <w:rsid w:val="00321EBD"/>
    <w:rsid w:val="003229A0"/>
    <w:rsid w:val="00323E09"/>
    <w:rsid w:val="00324002"/>
    <w:rsid w:val="00326914"/>
    <w:rsid w:val="0032724C"/>
    <w:rsid w:val="003276E3"/>
    <w:rsid w:val="00327EDF"/>
    <w:rsid w:val="003314A9"/>
    <w:rsid w:val="00332AC6"/>
    <w:rsid w:val="00332B1B"/>
    <w:rsid w:val="00332B3B"/>
    <w:rsid w:val="00333932"/>
    <w:rsid w:val="00333B6B"/>
    <w:rsid w:val="00335A6D"/>
    <w:rsid w:val="00335C89"/>
    <w:rsid w:val="00336458"/>
    <w:rsid w:val="00337BA6"/>
    <w:rsid w:val="00340D97"/>
    <w:rsid w:val="00340EF9"/>
    <w:rsid w:val="00341808"/>
    <w:rsid w:val="00342918"/>
    <w:rsid w:val="00344E2E"/>
    <w:rsid w:val="003459A3"/>
    <w:rsid w:val="0034609B"/>
    <w:rsid w:val="00350BCC"/>
    <w:rsid w:val="00350FBA"/>
    <w:rsid w:val="003518AA"/>
    <w:rsid w:val="00351B24"/>
    <w:rsid w:val="00351C00"/>
    <w:rsid w:val="003529C5"/>
    <w:rsid w:val="00353182"/>
    <w:rsid w:val="00353E44"/>
    <w:rsid w:val="00354027"/>
    <w:rsid w:val="00354F65"/>
    <w:rsid w:val="003551EB"/>
    <w:rsid w:val="0035626B"/>
    <w:rsid w:val="00357551"/>
    <w:rsid w:val="003576F3"/>
    <w:rsid w:val="00357722"/>
    <w:rsid w:val="003602E1"/>
    <w:rsid w:val="003611A1"/>
    <w:rsid w:val="00362C14"/>
    <w:rsid w:val="00363FDB"/>
    <w:rsid w:val="00364488"/>
    <w:rsid w:val="0036448A"/>
    <w:rsid w:val="003648B0"/>
    <w:rsid w:val="003652DF"/>
    <w:rsid w:val="00365546"/>
    <w:rsid w:val="003673C5"/>
    <w:rsid w:val="003709D4"/>
    <w:rsid w:val="00371240"/>
    <w:rsid w:val="003728B3"/>
    <w:rsid w:val="00374731"/>
    <w:rsid w:val="00375EFA"/>
    <w:rsid w:val="003761D4"/>
    <w:rsid w:val="003762DA"/>
    <w:rsid w:val="003765C1"/>
    <w:rsid w:val="00376A20"/>
    <w:rsid w:val="00380658"/>
    <w:rsid w:val="00381C48"/>
    <w:rsid w:val="00382BC3"/>
    <w:rsid w:val="00383557"/>
    <w:rsid w:val="003838DA"/>
    <w:rsid w:val="00385D5D"/>
    <w:rsid w:val="00385F30"/>
    <w:rsid w:val="00386323"/>
    <w:rsid w:val="00387444"/>
    <w:rsid w:val="00387BE9"/>
    <w:rsid w:val="00390143"/>
    <w:rsid w:val="00390B49"/>
    <w:rsid w:val="00391BDF"/>
    <w:rsid w:val="00392424"/>
    <w:rsid w:val="00393FB7"/>
    <w:rsid w:val="00395078"/>
    <w:rsid w:val="00395805"/>
    <w:rsid w:val="00395DB6"/>
    <w:rsid w:val="00396D12"/>
    <w:rsid w:val="003A0267"/>
    <w:rsid w:val="003A05A4"/>
    <w:rsid w:val="003A083D"/>
    <w:rsid w:val="003A0C49"/>
    <w:rsid w:val="003A0E40"/>
    <w:rsid w:val="003A1620"/>
    <w:rsid w:val="003A16F7"/>
    <w:rsid w:val="003A1CC0"/>
    <w:rsid w:val="003A402C"/>
    <w:rsid w:val="003A4C24"/>
    <w:rsid w:val="003A59EC"/>
    <w:rsid w:val="003B061E"/>
    <w:rsid w:val="003B0635"/>
    <w:rsid w:val="003B1035"/>
    <w:rsid w:val="003B3061"/>
    <w:rsid w:val="003B4BE0"/>
    <w:rsid w:val="003B6257"/>
    <w:rsid w:val="003B6368"/>
    <w:rsid w:val="003B68D3"/>
    <w:rsid w:val="003B6BE9"/>
    <w:rsid w:val="003B702C"/>
    <w:rsid w:val="003B7E87"/>
    <w:rsid w:val="003C0768"/>
    <w:rsid w:val="003C094A"/>
    <w:rsid w:val="003C2413"/>
    <w:rsid w:val="003C24A9"/>
    <w:rsid w:val="003C29FA"/>
    <w:rsid w:val="003C38B5"/>
    <w:rsid w:val="003C5381"/>
    <w:rsid w:val="003C54DA"/>
    <w:rsid w:val="003C5D99"/>
    <w:rsid w:val="003C5E4B"/>
    <w:rsid w:val="003C5F40"/>
    <w:rsid w:val="003C7C59"/>
    <w:rsid w:val="003D0366"/>
    <w:rsid w:val="003D159F"/>
    <w:rsid w:val="003D2FE8"/>
    <w:rsid w:val="003D4E64"/>
    <w:rsid w:val="003D4F80"/>
    <w:rsid w:val="003D5965"/>
    <w:rsid w:val="003D5E49"/>
    <w:rsid w:val="003D6655"/>
    <w:rsid w:val="003D6DC9"/>
    <w:rsid w:val="003D7763"/>
    <w:rsid w:val="003E1179"/>
    <w:rsid w:val="003E2A85"/>
    <w:rsid w:val="003E2E90"/>
    <w:rsid w:val="003E3D7E"/>
    <w:rsid w:val="003E4157"/>
    <w:rsid w:val="003E4BE3"/>
    <w:rsid w:val="003E6EDB"/>
    <w:rsid w:val="003E76AA"/>
    <w:rsid w:val="003E7F4A"/>
    <w:rsid w:val="003F0789"/>
    <w:rsid w:val="003F0993"/>
    <w:rsid w:val="003F0A95"/>
    <w:rsid w:val="003F0DBC"/>
    <w:rsid w:val="003F1631"/>
    <w:rsid w:val="003F2E5C"/>
    <w:rsid w:val="003F430C"/>
    <w:rsid w:val="003F4B59"/>
    <w:rsid w:val="003F536C"/>
    <w:rsid w:val="003F6EF6"/>
    <w:rsid w:val="003F7FC8"/>
    <w:rsid w:val="00401882"/>
    <w:rsid w:val="00401DB1"/>
    <w:rsid w:val="004029AC"/>
    <w:rsid w:val="004032BE"/>
    <w:rsid w:val="0040340E"/>
    <w:rsid w:val="004055F8"/>
    <w:rsid w:val="004056BF"/>
    <w:rsid w:val="0040665E"/>
    <w:rsid w:val="00406A39"/>
    <w:rsid w:val="004079E1"/>
    <w:rsid w:val="00407A2D"/>
    <w:rsid w:val="00407E18"/>
    <w:rsid w:val="004100C8"/>
    <w:rsid w:val="0041200B"/>
    <w:rsid w:val="00412ACE"/>
    <w:rsid w:val="00412BE3"/>
    <w:rsid w:val="00412FEE"/>
    <w:rsid w:val="004154A0"/>
    <w:rsid w:val="00415BA3"/>
    <w:rsid w:val="004167F3"/>
    <w:rsid w:val="00416A49"/>
    <w:rsid w:val="0042006D"/>
    <w:rsid w:val="004201C2"/>
    <w:rsid w:val="0042023D"/>
    <w:rsid w:val="00420455"/>
    <w:rsid w:val="00420C2C"/>
    <w:rsid w:val="00421F7F"/>
    <w:rsid w:val="00422B7B"/>
    <w:rsid w:val="00422D1F"/>
    <w:rsid w:val="0042396D"/>
    <w:rsid w:val="00423D57"/>
    <w:rsid w:val="00423DE9"/>
    <w:rsid w:val="004262BF"/>
    <w:rsid w:val="004265E4"/>
    <w:rsid w:val="00430912"/>
    <w:rsid w:val="00430A60"/>
    <w:rsid w:val="00430A71"/>
    <w:rsid w:val="00431249"/>
    <w:rsid w:val="00431677"/>
    <w:rsid w:val="00431E02"/>
    <w:rsid w:val="00431EA1"/>
    <w:rsid w:val="00432171"/>
    <w:rsid w:val="00432608"/>
    <w:rsid w:val="00432814"/>
    <w:rsid w:val="00432ED5"/>
    <w:rsid w:val="00433231"/>
    <w:rsid w:val="00433A1F"/>
    <w:rsid w:val="004345B2"/>
    <w:rsid w:val="00434C19"/>
    <w:rsid w:val="00436779"/>
    <w:rsid w:val="00437C36"/>
    <w:rsid w:val="00440C54"/>
    <w:rsid w:val="004424AB"/>
    <w:rsid w:val="0044503A"/>
    <w:rsid w:val="00446594"/>
    <w:rsid w:val="00450810"/>
    <w:rsid w:val="00451006"/>
    <w:rsid w:val="00451886"/>
    <w:rsid w:val="00453BD5"/>
    <w:rsid w:val="00455229"/>
    <w:rsid w:val="004558E4"/>
    <w:rsid w:val="00455A50"/>
    <w:rsid w:val="004579EC"/>
    <w:rsid w:val="00460048"/>
    <w:rsid w:val="00461C20"/>
    <w:rsid w:val="0046246C"/>
    <w:rsid w:val="00462525"/>
    <w:rsid w:val="00462E6E"/>
    <w:rsid w:val="004640B4"/>
    <w:rsid w:val="004640D3"/>
    <w:rsid w:val="004645D4"/>
    <w:rsid w:val="00466811"/>
    <w:rsid w:val="00466B1C"/>
    <w:rsid w:val="004708A6"/>
    <w:rsid w:val="00471721"/>
    <w:rsid w:val="004723AA"/>
    <w:rsid w:val="00472749"/>
    <w:rsid w:val="00472CE5"/>
    <w:rsid w:val="00473685"/>
    <w:rsid w:val="0047408A"/>
    <w:rsid w:val="004753B8"/>
    <w:rsid w:val="00475D78"/>
    <w:rsid w:val="00476616"/>
    <w:rsid w:val="00476809"/>
    <w:rsid w:val="0047698D"/>
    <w:rsid w:val="00477121"/>
    <w:rsid w:val="00477144"/>
    <w:rsid w:val="004776F0"/>
    <w:rsid w:val="00477C3F"/>
    <w:rsid w:val="004803B7"/>
    <w:rsid w:val="00481FAC"/>
    <w:rsid w:val="00482709"/>
    <w:rsid w:val="0048277C"/>
    <w:rsid w:val="00483159"/>
    <w:rsid w:val="004835A4"/>
    <w:rsid w:val="00484236"/>
    <w:rsid w:val="00484F48"/>
    <w:rsid w:val="0048520B"/>
    <w:rsid w:val="00485A18"/>
    <w:rsid w:val="00485C35"/>
    <w:rsid w:val="0048679D"/>
    <w:rsid w:val="0048764C"/>
    <w:rsid w:val="00490526"/>
    <w:rsid w:val="0049071D"/>
    <w:rsid w:val="004907EB"/>
    <w:rsid w:val="00490FAF"/>
    <w:rsid w:val="004910DD"/>
    <w:rsid w:val="00491169"/>
    <w:rsid w:val="00491AB1"/>
    <w:rsid w:val="00492170"/>
    <w:rsid w:val="004925C7"/>
    <w:rsid w:val="004926D6"/>
    <w:rsid w:val="004930A0"/>
    <w:rsid w:val="004936D4"/>
    <w:rsid w:val="004938A6"/>
    <w:rsid w:val="0049459F"/>
    <w:rsid w:val="00495560"/>
    <w:rsid w:val="00495EC1"/>
    <w:rsid w:val="00496832"/>
    <w:rsid w:val="0049791E"/>
    <w:rsid w:val="004A1053"/>
    <w:rsid w:val="004A1D33"/>
    <w:rsid w:val="004A1F60"/>
    <w:rsid w:val="004A258E"/>
    <w:rsid w:val="004A310C"/>
    <w:rsid w:val="004A32DE"/>
    <w:rsid w:val="004A5406"/>
    <w:rsid w:val="004A576B"/>
    <w:rsid w:val="004B0270"/>
    <w:rsid w:val="004B1284"/>
    <w:rsid w:val="004B1BC1"/>
    <w:rsid w:val="004B2065"/>
    <w:rsid w:val="004B22BA"/>
    <w:rsid w:val="004B29B0"/>
    <w:rsid w:val="004B334F"/>
    <w:rsid w:val="004B36F1"/>
    <w:rsid w:val="004B39F2"/>
    <w:rsid w:val="004B43AE"/>
    <w:rsid w:val="004B4424"/>
    <w:rsid w:val="004B449C"/>
    <w:rsid w:val="004B4E03"/>
    <w:rsid w:val="004B7679"/>
    <w:rsid w:val="004B7E10"/>
    <w:rsid w:val="004B7EA2"/>
    <w:rsid w:val="004C2338"/>
    <w:rsid w:val="004C2C4A"/>
    <w:rsid w:val="004C30ED"/>
    <w:rsid w:val="004C4E38"/>
    <w:rsid w:val="004C4FD4"/>
    <w:rsid w:val="004C5041"/>
    <w:rsid w:val="004C68FA"/>
    <w:rsid w:val="004C6EFE"/>
    <w:rsid w:val="004C74D0"/>
    <w:rsid w:val="004C792F"/>
    <w:rsid w:val="004D153E"/>
    <w:rsid w:val="004D19D4"/>
    <w:rsid w:val="004D1C50"/>
    <w:rsid w:val="004D1E85"/>
    <w:rsid w:val="004D3754"/>
    <w:rsid w:val="004D4252"/>
    <w:rsid w:val="004D499D"/>
    <w:rsid w:val="004D50DC"/>
    <w:rsid w:val="004D526F"/>
    <w:rsid w:val="004D63D0"/>
    <w:rsid w:val="004D74D6"/>
    <w:rsid w:val="004E15BD"/>
    <w:rsid w:val="004E3C9A"/>
    <w:rsid w:val="004E3FDC"/>
    <w:rsid w:val="004E4012"/>
    <w:rsid w:val="004E5FA0"/>
    <w:rsid w:val="004E600B"/>
    <w:rsid w:val="004E6B0D"/>
    <w:rsid w:val="004E7228"/>
    <w:rsid w:val="004E7D13"/>
    <w:rsid w:val="004E7F30"/>
    <w:rsid w:val="004F1B69"/>
    <w:rsid w:val="004F1DF9"/>
    <w:rsid w:val="004F1F4D"/>
    <w:rsid w:val="004F29A7"/>
    <w:rsid w:val="004F3166"/>
    <w:rsid w:val="004F34CA"/>
    <w:rsid w:val="004F3A8A"/>
    <w:rsid w:val="004F437B"/>
    <w:rsid w:val="004F446C"/>
    <w:rsid w:val="004F4489"/>
    <w:rsid w:val="004F47F5"/>
    <w:rsid w:val="004F496F"/>
    <w:rsid w:val="004F4D72"/>
    <w:rsid w:val="004F5567"/>
    <w:rsid w:val="004F5C77"/>
    <w:rsid w:val="004F618C"/>
    <w:rsid w:val="004F669E"/>
    <w:rsid w:val="004F7FAF"/>
    <w:rsid w:val="005005FC"/>
    <w:rsid w:val="00502C12"/>
    <w:rsid w:val="00502F61"/>
    <w:rsid w:val="005032C6"/>
    <w:rsid w:val="005044AC"/>
    <w:rsid w:val="00505B69"/>
    <w:rsid w:val="00506001"/>
    <w:rsid w:val="005068B6"/>
    <w:rsid w:val="00510A3E"/>
    <w:rsid w:val="005121B5"/>
    <w:rsid w:val="00512A86"/>
    <w:rsid w:val="00512C4C"/>
    <w:rsid w:val="00514F19"/>
    <w:rsid w:val="00516C38"/>
    <w:rsid w:val="00516CD2"/>
    <w:rsid w:val="005205E7"/>
    <w:rsid w:val="005211D6"/>
    <w:rsid w:val="00521478"/>
    <w:rsid w:val="00521552"/>
    <w:rsid w:val="00521CF4"/>
    <w:rsid w:val="0052206F"/>
    <w:rsid w:val="00522AA0"/>
    <w:rsid w:val="00522C00"/>
    <w:rsid w:val="00523205"/>
    <w:rsid w:val="005236B3"/>
    <w:rsid w:val="0052371F"/>
    <w:rsid w:val="00526D24"/>
    <w:rsid w:val="0052746C"/>
    <w:rsid w:val="00527C79"/>
    <w:rsid w:val="00527DEF"/>
    <w:rsid w:val="00531912"/>
    <w:rsid w:val="00531AF4"/>
    <w:rsid w:val="00532A55"/>
    <w:rsid w:val="00533434"/>
    <w:rsid w:val="005334BB"/>
    <w:rsid w:val="00535231"/>
    <w:rsid w:val="0053579D"/>
    <w:rsid w:val="00536E0B"/>
    <w:rsid w:val="005374AD"/>
    <w:rsid w:val="00540596"/>
    <w:rsid w:val="005407F5"/>
    <w:rsid w:val="00540D43"/>
    <w:rsid w:val="00540DA6"/>
    <w:rsid w:val="0054109B"/>
    <w:rsid w:val="00543C98"/>
    <w:rsid w:val="00544183"/>
    <w:rsid w:val="0054528F"/>
    <w:rsid w:val="005457A8"/>
    <w:rsid w:val="005462BD"/>
    <w:rsid w:val="00546462"/>
    <w:rsid w:val="005464BB"/>
    <w:rsid w:val="005471F4"/>
    <w:rsid w:val="0054741D"/>
    <w:rsid w:val="00547440"/>
    <w:rsid w:val="00547978"/>
    <w:rsid w:val="00552073"/>
    <w:rsid w:val="00552CCD"/>
    <w:rsid w:val="00552EED"/>
    <w:rsid w:val="0055329F"/>
    <w:rsid w:val="00553EFC"/>
    <w:rsid w:val="00554D80"/>
    <w:rsid w:val="005551EC"/>
    <w:rsid w:val="00555243"/>
    <w:rsid w:val="00555A19"/>
    <w:rsid w:val="005571D4"/>
    <w:rsid w:val="0055723A"/>
    <w:rsid w:val="0055757A"/>
    <w:rsid w:val="00560BE0"/>
    <w:rsid w:val="00560DF9"/>
    <w:rsid w:val="00563777"/>
    <w:rsid w:val="00563B26"/>
    <w:rsid w:val="00567E00"/>
    <w:rsid w:val="00570008"/>
    <w:rsid w:val="00570C0C"/>
    <w:rsid w:val="00571DB1"/>
    <w:rsid w:val="0057215E"/>
    <w:rsid w:val="00574D31"/>
    <w:rsid w:val="00576DF8"/>
    <w:rsid w:val="005808FD"/>
    <w:rsid w:val="00580B80"/>
    <w:rsid w:val="00580CDF"/>
    <w:rsid w:val="00580E5D"/>
    <w:rsid w:val="00581D68"/>
    <w:rsid w:val="00582229"/>
    <w:rsid w:val="0058270B"/>
    <w:rsid w:val="0058308D"/>
    <w:rsid w:val="00583C39"/>
    <w:rsid w:val="00584436"/>
    <w:rsid w:val="00585062"/>
    <w:rsid w:val="005857AA"/>
    <w:rsid w:val="005859D4"/>
    <w:rsid w:val="005868BD"/>
    <w:rsid w:val="005909CF"/>
    <w:rsid w:val="0059112E"/>
    <w:rsid w:val="005917B8"/>
    <w:rsid w:val="00591E71"/>
    <w:rsid w:val="0059248D"/>
    <w:rsid w:val="0059282D"/>
    <w:rsid w:val="005945B8"/>
    <w:rsid w:val="00594A45"/>
    <w:rsid w:val="00594E73"/>
    <w:rsid w:val="00596B81"/>
    <w:rsid w:val="005A00CC"/>
    <w:rsid w:val="005A02AD"/>
    <w:rsid w:val="005A0523"/>
    <w:rsid w:val="005A094D"/>
    <w:rsid w:val="005A1ACB"/>
    <w:rsid w:val="005A1DA8"/>
    <w:rsid w:val="005A296E"/>
    <w:rsid w:val="005A2EEF"/>
    <w:rsid w:val="005A30B9"/>
    <w:rsid w:val="005A4562"/>
    <w:rsid w:val="005A4882"/>
    <w:rsid w:val="005A4B49"/>
    <w:rsid w:val="005A549D"/>
    <w:rsid w:val="005A5A73"/>
    <w:rsid w:val="005A77F9"/>
    <w:rsid w:val="005B0D13"/>
    <w:rsid w:val="005B270C"/>
    <w:rsid w:val="005B3150"/>
    <w:rsid w:val="005B3994"/>
    <w:rsid w:val="005B3C99"/>
    <w:rsid w:val="005B78D1"/>
    <w:rsid w:val="005C08B3"/>
    <w:rsid w:val="005C250C"/>
    <w:rsid w:val="005C25CB"/>
    <w:rsid w:val="005C2830"/>
    <w:rsid w:val="005C49C0"/>
    <w:rsid w:val="005C5092"/>
    <w:rsid w:val="005C6BBE"/>
    <w:rsid w:val="005C7463"/>
    <w:rsid w:val="005C79EA"/>
    <w:rsid w:val="005D15DB"/>
    <w:rsid w:val="005D2229"/>
    <w:rsid w:val="005D2245"/>
    <w:rsid w:val="005D2EA8"/>
    <w:rsid w:val="005D4946"/>
    <w:rsid w:val="005D4A56"/>
    <w:rsid w:val="005D5379"/>
    <w:rsid w:val="005D55E1"/>
    <w:rsid w:val="005D6041"/>
    <w:rsid w:val="005D7B29"/>
    <w:rsid w:val="005D7E63"/>
    <w:rsid w:val="005D7FFE"/>
    <w:rsid w:val="005E3BA8"/>
    <w:rsid w:val="005E69D4"/>
    <w:rsid w:val="005E7186"/>
    <w:rsid w:val="005E7692"/>
    <w:rsid w:val="005E7D83"/>
    <w:rsid w:val="005F04C4"/>
    <w:rsid w:val="005F0C77"/>
    <w:rsid w:val="005F13CD"/>
    <w:rsid w:val="005F397D"/>
    <w:rsid w:val="005F47BB"/>
    <w:rsid w:val="005F4CD1"/>
    <w:rsid w:val="005F4DF8"/>
    <w:rsid w:val="005F56BB"/>
    <w:rsid w:val="005F718F"/>
    <w:rsid w:val="005F7943"/>
    <w:rsid w:val="005F79C3"/>
    <w:rsid w:val="005F7EBD"/>
    <w:rsid w:val="0060182A"/>
    <w:rsid w:val="00601C89"/>
    <w:rsid w:val="00602080"/>
    <w:rsid w:val="00605AF9"/>
    <w:rsid w:val="00605B37"/>
    <w:rsid w:val="0060671B"/>
    <w:rsid w:val="00606F71"/>
    <w:rsid w:val="00607BF1"/>
    <w:rsid w:val="00607C97"/>
    <w:rsid w:val="00607D7E"/>
    <w:rsid w:val="006107C9"/>
    <w:rsid w:val="006119B6"/>
    <w:rsid w:val="00612687"/>
    <w:rsid w:val="006127E1"/>
    <w:rsid w:val="00612B1B"/>
    <w:rsid w:val="00612B1E"/>
    <w:rsid w:val="00613829"/>
    <w:rsid w:val="006139EC"/>
    <w:rsid w:val="00613F2E"/>
    <w:rsid w:val="00617941"/>
    <w:rsid w:val="00620B5B"/>
    <w:rsid w:val="00620D87"/>
    <w:rsid w:val="00620DD6"/>
    <w:rsid w:val="006214E4"/>
    <w:rsid w:val="00622107"/>
    <w:rsid w:val="00623A4E"/>
    <w:rsid w:val="006252CE"/>
    <w:rsid w:val="00625C7F"/>
    <w:rsid w:val="00625DD6"/>
    <w:rsid w:val="00626A1C"/>
    <w:rsid w:val="00627DDB"/>
    <w:rsid w:val="00630D4D"/>
    <w:rsid w:val="00630E38"/>
    <w:rsid w:val="006325D1"/>
    <w:rsid w:val="006327F6"/>
    <w:rsid w:val="0063292B"/>
    <w:rsid w:val="00632A74"/>
    <w:rsid w:val="00634F93"/>
    <w:rsid w:val="006350F0"/>
    <w:rsid w:val="006351AD"/>
    <w:rsid w:val="00635587"/>
    <w:rsid w:val="00635CBE"/>
    <w:rsid w:val="00635EC3"/>
    <w:rsid w:val="00636B98"/>
    <w:rsid w:val="0063783F"/>
    <w:rsid w:val="00637FBB"/>
    <w:rsid w:val="00640372"/>
    <w:rsid w:val="006405AE"/>
    <w:rsid w:val="00640645"/>
    <w:rsid w:val="0064095B"/>
    <w:rsid w:val="00640EAE"/>
    <w:rsid w:val="00640F1F"/>
    <w:rsid w:val="00640FAD"/>
    <w:rsid w:val="0064344D"/>
    <w:rsid w:val="006439C2"/>
    <w:rsid w:val="00643F52"/>
    <w:rsid w:val="00644459"/>
    <w:rsid w:val="00644B5E"/>
    <w:rsid w:val="00644EDA"/>
    <w:rsid w:val="00647A72"/>
    <w:rsid w:val="0065172A"/>
    <w:rsid w:val="00652360"/>
    <w:rsid w:val="00652A2F"/>
    <w:rsid w:val="006535AB"/>
    <w:rsid w:val="006556E1"/>
    <w:rsid w:val="00655FF3"/>
    <w:rsid w:val="00656DAF"/>
    <w:rsid w:val="0065721E"/>
    <w:rsid w:val="0066150A"/>
    <w:rsid w:val="00661E4F"/>
    <w:rsid w:val="0066286D"/>
    <w:rsid w:val="0066314E"/>
    <w:rsid w:val="00664CD2"/>
    <w:rsid w:val="00665A54"/>
    <w:rsid w:val="006666FB"/>
    <w:rsid w:val="0066743D"/>
    <w:rsid w:val="00667E4C"/>
    <w:rsid w:val="00671303"/>
    <w:rsid w:val="006721D2"/>
    <w:rsid w:val="00673174"/>
    <w:rsid w:val="00673AC8"/>
    <w:rsid w:val="00673EFD"/>
    <w:rsid w:val="00675147"/>
    <w:rsid w:val="00675701"/>
    <w:rsid w:val="006762F0"/>
    <w:rsid w:val="00676750"/>
    <w:rsid w:val="00677D4D"/>
    <w:rsid w:val="0068087F"/>
    <w:rsid w:val="00681165"/>
    <w:rsid w:val="0068272C"/>
    <w:rsid w:val="00682878"/>
    <w:rsid w:val="006846CF"/>
    <w:rsid w:val="00686A2E"/>
    <w:rsid w:val="00686A65"/>
    <w:rsid w:val="00686C7F"/>
    <w:rsid w:val="0068734C"/>
    <w:rsid w:val="00687A4D"/>
    <w:rsid w:val="00691C00"/>
    <w:rsid w:val="006935D4"/>
    <w:rsid w:val="00693ABF"/>
    <w:rsid w:val="00693C6D"/>
    <w:rsid w:val="00694DAC"/>
    <w:rsid w:val="006954F5"/>
    <w:rsid w:val="00695CDC"/>
    <w:rsid w:val="00697DA6"/>
    <w:rsid w:val="006A1029"/>
    <w:rsid w:val="006A263B"/>
    <w:rsid w:val="006A45C7"/>
    <w:rsid w:val="006A4655"/>
    <w:rsid w:val="006A5F28"/>
    <w:rsid w:val="006A6984"/>
    <w:rsid w:val="006A7552"/>
    <w:rsid w:val="006B0DE4"/>
    <w:rsid w:val="006B1665"/>
    <w:rsid w:val="006B2ABB"/>
    <w:rsid w:val="006B3824"/>
    <w:rsid w:val="006B4393"/>
    <w:rsid w:val="006B4F8B"/>
    <w:rsid w:val="006B589A"/>
    <w:rsid w:val="006B5F65"/>
    <w:rsid w:val="006B6B82"/>
    <w:rsid w:val="006C23FF"/>
    <w:rsid w:val="006C2936"/>
    <w:rsid w:val="006C3996"/>
    <w:rsid w:val="006C39B8"/>
    <w:rsid w:val="006C3A3F"/>
    <w:rsid w:val="006C43BD"/>
    <w:rsid w:val="006C4662"/>
    <w:rsid w:val="006C4B0A"/>
    <w:rsid w:val="006C5AB6"/>
    <w:rsid w:val="006C5C35"/>
    <w:rsid w:val="006C698B"/>
    <w:rsid w:val="006C7038"/>
    <w:rsid w:val="006C72CC"/>
    <w:rsid w:val="006C763A"/>
    <w:rsid w:val="006D0875"/>
    <w:rsid w:val="006D0D63"/>
    <w:rsid w:val="006D28A8"/>
    <w:rsid w:val="006D2CDF"/>
    <w:rsid w:val="006D3BFC"/>
    <w:rsid w:val="006D5198"/>
    <w:rsid w:val="006D7D72"/>
    <w:rsid w:val="006E13E3"/>
    <w:rsid w:val="006E263A"/>
    <w:rsid w:val="006E3605"/>
    <w:rsid w:val="006E5398"/>
    <w:rsid w:val="006E56D8"/>
    <w:rsid w:val="006E5C0F"/>
    <w:rsid w:val="006E6412"/>
    <w:rsid w:val="006E6EFD"/>
    <w:rsid w:val="006E73EF"/>
    <w:rsid w:val="006E7C5C"/>
    <w:rsid w:val="006F04B9"/>
    <w:rsid w:val="006F27B0"/>
    <w:rsid w:val="006F4DD5"/>
    <w:rsid w:val="006F5558"/>
    <w:rsid w:val="006F5AD5"/>
    <w:rsid w:val="006F6133"/>
    <w:rsid w:val="00702261"/>
    <w:rsid w:val="007033F5"/>
    <w:rsid w:val="00704B35"/>
    <w:rsid w:val="00704F9F"/>
    <w:rsid w:val="00705F21"/>
    <w:rsid w:val="00706347"/>
    <w:rsid w:val="00706400"/>
    <w:rsid w:val="007068B2"/>
    <w:rsid w:val="007077F9"/>
    <w:rsid w:val="007107EA"/>
    <w:rsid w:val="00712C0E"/>
    <w:rsid w:val="007133B3"/>
    <w:rsid w:val="00713EBB"/>
    <w:rsid w:val="00715892"/>
    <w:rsid w:val="00717929"/>
    <w:rsid w:val="00721994"/>
    <w:rsid w:val="00721DB0"/>
    <w:rsid w:val="00723B07"/>
    <w:rsid w:val="007245E4"/>
    <w:rsid w:val="007256E4"/>
    <w:rsid w:val="00725956"/>
    <w:rsid w:val="00726E58"/>
    <w:rsid w:val="00730133"/>
    <w:rsid w:val="007318E4"/>
    <w:rsid w:val="0073190C"/>
    <w:rsid w:val="00731FDE"/>
    <w:rsid w:val="0073327B"/>
    <w:rsid w:val="00733BCE"/>
    <w:rsid w:val="00736027"/>
    <w:rsid w:val="007362AF"/>
    <w:rsid w:val="00736CDC"/>
    <w:rsid w:val="007412CE"/>
    <w:rsid w:val="0074158C"/>
    <w:rsid w:val="00741783"/>
    <w:rsid w:val="007443AE"/>
    <w:rsid w:val="00744AD5"/>
    <w:rsid w:val="0074663E"/>
    <w:rsid w:val="00747822"/>
    <w:rsid w:val="00750014"/>
    <w:rsid w:val="00750303"/>
    <w:rsid w:val="007510AC"/>
    <w:rsid w:val="00751BF5"/>
    <w:rsid w:val="0075233D"/>
    <w:rsid w:val="007523C1"/>
    <w:rsid w:val="00752A60"/>
    <w:rsid w:val="00752B5F"/>
    <w:rsid w:val="00752BCA"/>
    <w:rsid w:val="00752C39"/>
    <w:rsid w:val="00752F08"/>
    <w:rsid w:val="00754037"/>
    <w:rsid w:val="0075419D"/>
    <w:rsid w:val="00754937"/>
    <w:rsid w:val="0075520F"/>
    <w:rsid w:val="00756420"/>
    <w:rsid w:val="00757906"/>
    <w:rsid w:val="00757F0B"/>
    <w:rsid w:val="007601FD"/>
    <w:rsid w:val="007604BB"/>
    <w:rsid w:val="0076183D"/>
    <w:rsid w:val="007622C7"/>
    <w:rsid w:val="00762AF3"/>
    <w:rsid w:val="007633B5"/>
    <w:rsid w:val="00763453"/>
    <w:rsid w:val="007635F3"/>
    <w:rsid w:val="0076452B"/>
    <w:rsid w:val="00764BB9"/>
    <w:rsid w:val="00764E77"/>
    <w:rsid w:val="0076591F"/>
    <w:rsid w:val="007700FC"/>
    <w:rsid w:val="00770661"/>
    <w:rsid w:val="007707F6"/>
    <w:rsid w:val="00771241"/>
    <w:rsid w:val="00772DB6"/>
    <w:rsid w:val="00772F61"/>
    <w:rsid w:val="00773105"/>
    <w:rsid w:val="0077386C"/>
    <w:rsid w:val="0077411E"/>
    <w:rsid w:val="00774131"/>
    <w:rsid w:val="00774BD5"/>
    <w:rsid w:val="0077511C"/>
    <w:rsid w:val="007761C9"/>
    <w:rsid w:val="0077787A"/>
    <w:rsid w:val="00777F6C"/>
    <w:rsid w:val="007801AA"/>
    <w:rsid w:val="00780459"/>
    <w:rsid w:val="00780852"/>
    <w:rsid w:val="00780F42"/>
    <w:rsid w:val="007813FC"/>
    <w:rsid w:val="0078226D"/>
    <w:rsid w:val="00783185"/>
    <w:rsid w:val="0078389F"/>
    <w:rsid w:val="00783A92"/>
    <w:rsid w:val="007862FD"/>
    <w:rsid w:val="007868A9"/>
    <w:rsid w:val="00787276"/>
    <w:rsid w:val="00790233"/>
    <w:rsid w:val="00791B1C"/>
    <w:rsid w:val="007939A9"/>
    <w:rsid w:val="0079422C"/>
    <w:rsid w:val="0079487C"/>
    <w:rsid w:val="007959FD"/>
    <w:rsid w:val="00796917"/>
    <w:rsid w:val="007A0A61"/>
    <w:rsid w:val="007A16A6"/>
    <w:rsid w:val="007A21EB"/>
    <w:rsid w:val="007A2DC5"/>
    <w:rsid w:val="007A331C"/>
    <w:rsid w:val="007A37A8"/>
    <w:rsid w:val="007A5416"/>
    <w:rsid w:val="007A59EF"/>
    <w:rsid w:val="007A79D3"/>
    <w:rsid w:val="007B02A6"/>
    <w:rsid w:val="007B0ACD"/>
    <w:rsid w:val="007B0C7E"/>
    <w:rsid w:val="007B10C8"/>
    <w:rsid w:val="007B1765"/>
    <w:rsid w:val="007B2377"/>
    <w:rsid w:val="007B30F3"/>
    <w:rsid w:val="007B3FB9"/>
    <w:rsid w:val="007B3FC1"/>
    <w:rsid w:val="007B471C"/>
    <w:rsid w:val="007B4E28"/>
    <w:rsid w:val="007B6A87"/>
    <w:rsid w:val="007B6C5A"/>
    <w:rsid w:val="007B70F6"/>
    <w:rsid w:val="007C019D"/>
    <w:rsid w:val="007C0384"/>
    <w:rsid w:val="007C0B88"/>
    <w:rsid w:val="007C10AA"/>
    <w:rsid w:val="007C1A22"/>
    <w:rsid w:val="007C248E"/>
    <w:rsid w:val="007C30A9"/>
    <w:rsid w:val="007C36C9"/>
    <w:rsid w:val="007C48C1"/>
    <w:rsid w:val="007C4C14"/>
    <w:rsid w:val="007C7013"/>
    <w:rsid w:val="007D20FC"/>
    <w:rsid w:val="007D2743"/>
    <w:rsid w:val="007D49B1"/>
    <w:rsid w:val="007D4C84"/>
    <w:rsid w:val="007D5331"/>
    <w:rsid w:val="007D5BF5"/>
    <w:rsid w:val="007D5E8E"/>
    <w:rsid w:val="007D6240"/>
    <w:rsid w:val="007D7B56"/>
    <w:rsid w:val="007E01E4"/>
    <w:rsid w:val="007E0FBE"/>
    <w:rsid w:val="007E2576"/>
    <w:rsid w:val="007E4457"/>
    <w:rsid w:val="007E4D48"/>
    <w:rsid w:val="007F22A6"/>
    <w:rsid w:val="007F2661"/>
    <w:rsid w:val="007F27F5"/>
    <w:rsid w:val="007F3F9F"/>
    <w:rsid w:val="007F433D"/>
    <w:rsid w:val="007F56F1"/>
    <w:rsid w:val="007F5BF3"/>
    <w:rsid w:val="007F61C2"/>
    <w:rsid w:val="007F6477"/>
    <w:rsid w:val="007F6A3B"/>
    <w:rsid w:val="007F7107"/>
    <w:rsid w:val="007F71B4"/>
    <w:rsid w:val="007F75F8"/>
    <w:rsid w:val="007F7E3B"/>
    <w:rsid w:val="007F7F94"/>
    <w:rsid w:val="00800C3F"/>
    <w:rsid w:val="00800D6F"/>
    <w:rsid w:val="00804C41"/>
    <w:rsid w:val="00804E10"/>
    <w:rsid w:val="008051A1"/>
    <w:rsid w:val="00807EFB"/>
    <w:rsid w:val="008101C7"/>
    <w:rsid w:val="00810257"/>
    <w:rsid w:val="0081030F"/>
    <w:rsid w:val="008115F8"/>
    <w:rsid w:val="008120D1"/>
    <w:rsid w:val="008127D6"/>
    <w:rsid w:val="00814B8C"/>
    <w:rsid w:val="008163E2"/>
    <w:rsid w:val="00816BB8"/>
    <w:rsid w:val="00816D96"/>
    <w:rsid w:val="00816EBB"/>
    <w:rsid w:val="0081715D"/>
    <w:rsid w:val="008171C8"/>
    <w:rsid w:val="00817517"/>
    <w:rsid w:val="008204BE"/>
    <w:rsid w:val="0082087D"/>
    <w:rsid w:val="00821A07"/>
    <w:rsid w:val="008243CA"/>
    <w:rsid w:val="008244EC"/>
    <w:rsid w:val="0082461E"/>
    <w:rsid w:val="008254EC"/>
    <w:rsid w:val="008269C4"/>
    <w:rsid w:val="0083189D"/>
    <w:rsid w:val="008334E0"/>
    <w:rsid w:val="00834907"/>
    <w:rsid w:val="00835E2B"/>
    <w:rsid w:val="008369EE"/>
    <w:rsid w:val="00836A40"/>
    <w:rsid w:val="00837EF2"/>
    <w:rsid w:val="0084144B"/>
    <w:rsid w:val="00842232"/>
    <w:rsid w:val="00845E2C"/>
    <w:rsid w:val="00846C02"/>
    <w:rsid w:val="0084728E"/>
    <w:rsid w:val="008519B0"/>
    <w:rsid w:val="00853058"/>
    <w:rsid w:val="008534F8"/>
    <w:rsid w:val="0085381E"/>
    <w:rsid w:val="00854E63"/>
    <w:rsid w:val="00855A08"/>
    <w:rsid w:val="00856FBA"/>
    <w:rsid w:val="00857538"/>
    <w:rsid w:val="0085799E"/>
    <w:rsid w:val="00857C4D"/>
    <w:rsid w:val="00857DCB"/>
    <w:rsid w:val="0086082C"/>
    <w:rsid w:val="00861170"/>
    <w:rsid w:val="008615FF"/>
    <w:rsid w:val="00864ADC"/>
    <w:rsid w:val="00865984"/>
    <w:rsid w:val="00866338"/>
    <w:rsid w:val="00866361"/>
    <w:rsid w:val="008665C7"/>
    <w:rsid w:val="00866FA4"/>
    <w:rsid w:val="00867866"/>
    <w:rsid w:val="00870883"/>
    <w:rsid w:val="00870B14"/>
    <w:rsid w:val="00871B5C"/>
    <w:rsid w:val="00871F89"/>
    <w:rsid w:val="00872295"/>
    <w:rsid w:val="00872B4B"/>
    <w:rsid w:val="0087335F"/>
    <w:rsid w:val="00873E51"/>
    <w:rsid w:val="00874844"/>
    <w:rsid w:val="008752CD"/>
    <w:rsid w:val="00880153"/>
    <w:rsid w:val="00880C30"/>
    <w:rsid w:val="00880F97"/>
    <w:rsid w:val="0088133A"/>
    <w:rsid w:val="0088381D"/>
    <w:rsid w:val="0088385D"/>
    <w:rsid w:val="00886506"/>
    <w:rsid w:val="00886BB4"/>
    <w:rsid w:val="008876D0"/>
    <w:rsid w:val="00887D61"/>
    <w:rsid w:val="0089007B"/>
    <w:rsid w:val="00890407"/>
    <w:rsid w:val="0089059B"/>
    <w:rsid w:val="0089069F"/>
    <w:rsid w:val="00891451"/>
    <w:rsid w:val="00891694"/>
    <w:rsid w:val="00891F3B"/>
    <w:rsid w:val="00892441"/>
    <w:rsid w:val="0089285E"/>
    <w:rsid w:val="00893137"/>
    <w:rsid w:val="00893FFF"/>
    <w:rsid w:val="008942F0"/>
    <w:rsid w:val="0089436C"/>
    <w:rsid w:val="008953A0"/>
    <w:rsid w:val="008967E5"/>
    <w:rsid w:val="00897587"/>
    <w:rsid w:val="008A0248"/>
    <w:rsid w:val="008A42B7"/>
    <w:rsid w:val="008A59D3"/>
    <w:rsid w:val="008A60F6"/>
    <w:rsid w:val="008A6A6A"/>
    <w:rsid w:val="008A6F5C"/>
    <w:rsid w:val="008A792B"/>
    <w:rsid w:val="008A7DD6"/>
    <w:rsid w:val="008B0390"/>
    <w:rsid w:val="008B2D16"/>
    <w:rsid w:val="008B427C"/>
    <w:rsid w:val="008B4461"/>
    <w:rsid w:val="008B7684"/>
    <w:rsid w:val="008B7921"/>
    <w:rsid w:val="008B7A32"/>
    <w:rsid w:val="008B7C96"/>
    <w:rsid w:val="008C0559"/>
    <w:rsid w:val="008C11D4"/>
    <w:rsid w:val="008C128E"/>
    <w:rsid w:val="008C1571"/>
    <w:rsid w:val="008C1A47"/>
    <w:rsid w:val="008C1F96"/>
    <w:rsid w:val="008C20D1"/>
    <w:rsid w:val="008C2147"/>
    <w:rsid w:val="008C216D"/>
    <w:rsid w:val="008C23A8"/>
    <w:rsid w:val="008C25D2"/>
    <w:rsid w:val="008C3549"/>
    <w:rsid w:val="008C3A0F"/>
    <w:rsid w:val="008C3A69"/>
    <w:rsid w:val="008C3C0B"/>
    <w:rsid w:val="008C4369"/>
    <w:rsid w:val="008C5C3B"/>
    <w:rsid w:val="008C6739"/>
    <w:rsid w:val="008C7C6F"/>
    <w:rsid w:val="008D13CE"/>
    <w:rsid w:val="008D1452"/>
    <w:rsid w:val="008D22C9"/>
    <w:rsid w:val="008D2314"/>
    <w:rsid w:val="008D2FAD"/>
    <w:rsid w:val="008D30DE"/>
    <w:rsid w:val="008D383A"/>
    <w:rsid w:val="008D42A6"/>
    <w:rsid w:val="008D46EA"/>
    <w:rsid w:val="008D537D"/>
    <w:rsid w:val="008D623D"/>
    <w:rsid w:val="008D6C84"/>
    <w:rsid w:val="008D78DA"/>
    <w:rsid w:val="008E2806"/>
    <w:rsid w:val="008E3CD4"/>
    <w:rsid w:val="008E446C"/>
    <w:rsid w:val="008E5D08"/>
    <w:rsid w:val="008E610C"/>
    <w:rsid w:val="008E65C1"/>
    <w:rsid w:val="008E6AE8"/>
    <w:rsid w:val="008E6DB6"/>
    <w:rsid w:val="008E7235"/>
    <w:rsid w:val="008F0EC2"/>
    <w:rsid w:val="008F1439"/>
    <w:rsid w:val="008F19BE"/>
    <w:rsid w:val="008F2E1B"/>
    <w:rsid w:val="008F2E46"/>
    <w:rsid w:val="008F3AC5"/>
    <w:rsid w:val="008F5470"/>
    <w:rsid w:val="008F5D0B"/>
    <w:rsid w:val="008F74C5"/>
    <w:rsid w:val="00900716"/>
    <w:rsid w:val="00902F66"/>
    <w:rsid w:val="009030BF"/>
    <w:rsid w:val="009033C3"/>
    <w:rsid w:val="00904146"/>
    <w:rsid w:val="00904DDC"/>
    <w:rsid w:val="00905555"/>
    <w:rsid w:val="009061C9"/>
    <w:rsid w:val="009062B0"/>
    <w:rsid w:val="00906E59"/>
    <w:rsid w:val="00907410"/>
    <w:rsid w:val="009113B4"/>
    <w:rsid w:val="00911635"/>
    <w:rsid w:val="00911AC6"/>
    <w:rsid w:val="00912251"/>
    <w:rsid w:val="00913857"/>
    <w:rsid w:val="00913DEC"/>
    <w:rsid w:val="00914131"/>
    <w:rsid w:val="00914333"/>
    <w:rsid w:val="00914368"/>
    <w:rsid w:val="009146BF"/>
    <w:rsid w:val="009165C9"/>
    <w:rsid w:val="00916BED"/>
    <w:rsid w:val="00916BFB"/>
    <w:rsid w:val="0091781D"/>
    <w:rsid w:val="00917A51"/>
    <w:rsid w:val="00917C60"/>
    <w:rsid w:val="00921AFD"/>
    <w:rsid w:val="00921BC2"/>
    <w:rsid w:val="009223EC"/>
    <w:rsid w:val="00922601"/>
    <w:rsid w:val="00922865"/>
    <w:rsid w:val="0092328A"/>
    <w:rsid w:val="00923D43"/>
    <w:rsid w:val="00923F0B"/>
    <w:rsid w:val="009245F7"/>
    <w:rsid w:val="00924F0C"/>
    <w:rsid w:val="00925618"/>
    <w:rsid w:val="00927312"/>
    <w:rsid w:val="0092750F"/>
    <w:rsid w:val="00927D2F"/>
    <w:rsid w:val="00930A0C"/>
    <w:rsid w:val="00931076"/>
    <w:rsid w:val="009316AB"/>
    <w:rsid w:val="00931A60"/>
    <w:rsid w:val="009338D1"/>
    <w:rsid w:val="009345D9"/>
    <w:rsid w:val="00934B15"/>
    <w:rsid w:val="00935D18"/>
    <w:rsid w:val="00935D78"/>
    <w:rsid w:val="00936121"/>
    <w:rsid w:val="00936863"/>
    <w:rsid w:val="00936EC2"/>
    <w:rsid w:val="009403D4"/>
    <w:rsid w:val="00940B61"/>
    <w:rsid w:val="00940B63"/>
    <w:rsid w:val="00940E06"/>
    <w:rsid w:val="009420B3"/>
    <w:rsid w:val="00942B62"/>
    <w:rsid w:val="00943013"/>
    <w:rsid w:val="00944B24"/>
    <w:rsid w:val="00945E70"/>
    <w:rsid w:val="00946CA8"/>
    <w:rsid w:val="00946DAB"/>
    <w:rsid w:val="00947BBE"/>
    <w:rsid w:val="00947F6D"/>
    <w:rsid w:val="00950C1B"/>
    <w:rsid w:val="00950EE8"/>
    <w:rsid w:val="0095149D"/>
    <w:rsid w:val="0095214A"/>
    <w:rsid w:val="009540A3"/>
    <w:rsid w:val="00956A0C"/>
    <w:rsid w:val="00956BD9"/>
    <w:rsid w:val="00961917"/>
    <w:rsid w:val="00962489"/>
    <w:rsid w:val="00962ADD"/>
    <w:rsid w:val="00962BBC"/>
    <w:rsid w:val="009630BF"/>
    <w:rsid w:val="00963420"/>
    <w:rsid w:val="0096353B"/>
    <w:rsid w:val="00963693"/>
    <w:rsid w:val="0096448C"/>
    <w:rsid w:val="00964502"/>
    <w:rsid w:val="00964C77"/>
    <w:rsid w:val="009653AF"/>
    <w:rsid w:val="00965B72"/>
    <w:rsid w:val="009664F5"/>
    <w:rsid w:val="00966979"/>
    <w:rsid w:val="00966B2A"/>
    <w:rsid w:val="00970353"/>
    <w:rsid w:val="0097144A"/>
    <w:rsid w:val="0097146D"/>
    <w:rsid w:val="00972388"/>
    <w:rsid w:val="00973B83"/>
    <w:rsid w:val="00973D36"/>
    <w:rsid w:val="00974EB4"/>
    <w:rsid w:val="00975C21"/>
    <w:rsid w:val="00976480"/>
    <w:rsid w:val="009766E0"/>
    <w:rsid w:val="009778D3"/>
    <w:rsid w:val="00977F36"/>
    <w:rsid w:val="00980263"/>
    <w:rsid w:val="00980B56"/>
    <w:rsid w:val="00980E2D"/>
    <w:rsid w:val="009811B9"/>
    <w:rsid w:val="00981AF5"/>
    <w:rsid w:val="00981C2B"/>
    <w:rsid w:val="00981E3D"/>
    <w:rsid w:val="0098208C"/>
    <w:rsid w:val="00982C0E"/>
    <w:rsid w:val="009837E8"/>
    <w:rsid w:val="00984220"/>
    <w:rsid w:val="009842F8"/>
    <w:rsid w:val="00984D2D"/>
    <w:rsid w:val="009853DA"/>
    <w:rsid w:val="00986A8B"/>
    <w:rsid w:val="00987B28"/>
    <w:rsid w:val="00991801"/>
    <w:rsid w:val="00992CC1"/>
    <w:rsid w:val="00992F0C"/>
    <w:rsid w:val="00993A6A"/>
    <w:rsid w:val="00993D35"/>
    <w:rsid w:val="00993D7F"/>
    <w:rsid w:val="009A0014"/>
    <w:rsid w:val="009A009D"/>
    <w:rsid w:val="009A0198"/>
    <w:rsid w:val="009A2AB2"/>
    <w:rsid w:val="009A3213"/>
    <w:rsid w:val="009A36D0"/>
    <w:rsid w:val="009A3FE9"/>
    <w:rsid w:val="009A4239"/>
    <w:rsid w:val="009A4249"/>
    <w:rsid w:val="009A4541"/>
    <w:rsid w:val="009A7A32"/>
    <w:rsid w:val="009A7CF3"/>
    <w:rsid w:val="009B230F"/>
    <w:rsid w:val="009B24F6"/>
    <w:rsid w:val="009B27EC"/>
    <w:rsid w:val="009B3D0A"/>
    <w:rsid w:val="009B4351"/>
    <w:rsid w:val="009B4472"/>
    <w:rsid w:val="009B521F"/>
    <w:rsid w:val="009B5467"/>
    <w:rsid w:val="009B671E"/>
    <w:rsid w:val="009C0FE2"/>
    <w:rsid w:val="009C3451"/>
    <w:rsid w:val="009C34E1"/>
    <w:rsid w:val="009C366C"/>
    <w:rsid w:val="009C37E1"/>
    <w:rsid w:val="009C44D2"/>
    <w:rsid w:val="009C56FE"/>
    <w:rsid w:val="009C5AFC"/>
    <w:rsid w:val="009C6F03"/>
    <w:rsid w:val="009D0DE3"/>
    <w:rsid w:val="009D22D8"/>
    <w:rsid w:val="009D2488"/>
    <w:rsid w:val="009D2A19"/>
    <w:rsid w:val="009D3595"/>
    <w:rsid w:val="009D35AB"/>
    <w:rsid w:val="009D4563"/>
    <w:rsid w:val="009D45CD"/>
    <w:rsid w:val="009D4735"/>
    <w:rsid w:val="009D4F91"/>
    <w:rsid w:val="009D5414"/>
    <w:rsid w:val="009D582C"/>
    <w:rsid w:val="009D7B30"/>
    <w:rsid w:val="009E23DF"/>
    <w:rsid w:val="009E27F5"/>
    <w:rsid w:val="009E306A"/>
    <w:rsid w:val="009E4E11"/>
    <w:rsid w:val="009E6546"/>
    <w:rsid w:val="009E7A88"/>
    <w:rsid w:val="009E7B63"/>
    <w:rsid w:val="009E7CFB"/>
    <w:rsid w:val="009F1809"/>
    <w:rsid w:val="009F1A98"/>
    <w:rsid w:val="009F2DDE"/>
    <w:rsid w:val="009F304F"/>
    <w:rsid w:val="009F4B0A"/>
    <w:rsid w:val="009F5925"/>
    <w:rsid w:val="009F696D"/>
    <w:rsid w:val="009F6BC6"/>
    <w:rsid w:val="009F782A"/>
    <w:rsid w:val="00A009BB"/>
    <w:rsid w:val="00A01085"/>
    <w:rsid w:val="00A01150"/>
    <w:rsid w:val="00A012A1"/>
    <w:rsid w:val="00A033EA"/>
    <w:rsid w:val="00A038DD"/>
    <w:rsid w:val="00A047CB"/>
    <w:rsid w:val="00A073D5"/>
    <w:rsid w:val="00A119A1"/>
    <w:rsid w:val="00A1232C"/>
    <w:rsid w:val="00A14F6D"/>
    <w:rsid w:val="00A15ACC"/>
    <w:rsid w:val="00A162C5"/>
    <w:rsid w:val="00A169E6"/>
    <w:rsid w:val="00A17328"/>
    <w:rsid w:val="00A17714"/>
    <w:rsid w:val="00A17B14"/>
    <w:rsid w:val="00A2015B"/>
    <w:rsid w:val="00A21959"/>
    <w:rsid w:val="00A22153"/>
    <w:rsid w:val="00A22362"/>
    <w:rsid w:val="00A22E54"/>
    <w:rsid w:val="00A23EC4"/>
    <w:rsid w:val="00A23F5C"/>
    <w:rsid w:val="00A243AB"/>
    <w:rsid w:val="00A2500A"/>
    <w:rsid w:val="00A260F3"/>
    <w:rsid w:val="00A2703A"/>
    <w:rsid w:val="00A2738C"/>
    <w:rsid w:val="00A30317"/>
    <w:rsid w:val="00A304B5"/>
    <w:rsid w:val="00A316EC"/>
    <w:rsid w:val="00A31C26"/>
    <w:rsid w:val="00A33DFF"/>
    <w:rsid w:val="00A343B0"/>
    <w:rsid w:val="00A349F8"/>
    <w:rsid w:val="00A3509D"/>
    <w:rsid w:val="00A35115"/>
    <w:rsid w:val="00A35314"/>
    <w:rsid w:val="00A36E56"/>
    <w:rsid w:val="00A41029"/>
    <w:rsid w:val="00A430A1"/>
    <w:rsid w:val="00A43BE9"/>
    <w:rsid w:val="00A45E45"/>
    <w:rsid w:val="00A45FD8"/>
    <w:rsid w:val="00A47518"/>
    <w:rsid w:val="00A50089"/>
    <w:rsid w:val="00A51E30"/>
    <w:rsid w:val="00A52EC3"/>
    <w:rsid w:val="00A54716"/>
    <w:rsid w:val="00A54EF6"/>
    <w:rsid w:val="00A554AB"/>
    <w:rsid w:val="00A556C9"/>
    <w:rsid w:val="00A55D47"/>
    <w:rsid w:val="00A60568"/>
    <w:rsid w:val="00A6111C"/>
    <w:rsid w:val="00A61B4F"/>
    <w:rsid w:val="00A63285"/>
    <w:rsid w:val="00A632BC"/>
    <w:rsid w:val="00A638B8"/>
    <w:rsid w:val="00A64C6E"/>
    <w:rsid w:val="00A65282"/>
    <w:rsid w:val="00A65491"/>
    <w:rsid w:val="00A660E0"/>
    <w:rsid w:val="00A66703"/>
    <w:rsid w:val="00A67D75"/>
    <w:rsid w:val="00A73035"/>
    <w:rsid w:val="00A74777"/>
    <w:rsid w:val="00A75EE4"/>
    <w:rsid w:val="00A8095D"/>
    <w:rsid w:val="00A833A2"/>
    <w:rsid w:val="00A83B9E"/>
    <w:rsid w:val="00A83BB4"/>
    <w:rsid w:val="00A83FCF"/>
    <w:rsid w:val="00A858C8"/>
    <w:rsid w:val="00A872A4"/>
    <w:rsid w:val="00A906F6"/>
    <w:rsid w:val="00A90E73"/>
    <w:rsid w:val="00A93293"/>
    <w:rsid w:val="00A937B5"/>
    <w:rsid w:val="00A94F71"/>
    <w:rsid w:val="00A94FA6"/>
    <w:rsid w:val="00A9590D"/>
    <w:rsid w:val="00A95DC6"/>
    <w:rsid w:val="00A971AC"/>
    <w:rsid w:val="00A97EAF"/>
    <w:rsid w:val="00A97F28"/>
    <w:rsid w:val="00AA00AE"/>
    <w:rsid w:val="00AA012D"/>
    <w:rsid w:val="00AA08A2"/>
    <w:rsid w:val="00AA3962"/>
    <w:rsid w:val="00AA3B71"/>
    <w:rsid w:val="00AA423F"/>
    <w:rsid w:val="00AA4B01"/>
    <w:rsid w:val="00AA4F58"/>
    <w:rsid w:val="00AA51CB"/>
    <w:rsid w:val="00AA5C40"/>
    <w:rsid w:val="00AA6449"/>
    <w:rsid w:val="00AA6710"/>
    <w:rsid w:val="00AA70BC"/>
    <w:rsid w:val="00AA7979"/>
    <w:rsid w:val="00AB038C"/>
    <w:rsid w:val="00AB0681"/>
    <w:rsid w:val="00AB092B"/>
    <w:rsid w:val="00AB0E35"/>
    <w:rsid w:val="00AB122C"/>
    <w:rsid w:val="00AB1995"/>
    <w:rsid w:val="00AB1C81"/>
    <w:rsid w:val="00AB2004"/>
    <w:rsid w:val="00AB2B2B"/>
    <w:rsid w:val="00AB4142"/>
    <w:rsid w:val="00AB4400"/>
    <w:rsid w:val="00AB5D85"/>
    <w:rsid w:val="00AB62F5"/>
    <w:rsid w:val="00AB705F"/>
    <w:rsid w:val="00AB73AD"/>
    <w:rsid w:val="00AC25FF"/>
    <w:rsid w:val="00AC3AA5"/>
    <w:rsid w:val="00AC6AA9"/>
    <w:rsid w:val="00AD0B7F"/>
    <w:rsid w:val="00AD1472"/>
    <w:rsid w:val="00AD25AB"/>
    <w:rsid w:val="00AD312A"/>
    <w:rsid w:val="00AD4181"/>
    <w:rsid w:val="00AD4B24"/>
    <w:rsid w:val="00AD51B7"/>
    <w:rsid w:val="00AD586C"/>
    <w:rsid w:val="00AD6473"/>
    <w:rsid w:val="00AD6B5B"/>
    <w:rsid w:val="00AE112B"/>
    <w:rsid w:val="00AE1A0F"/>
    <w:rsid w:val="00AE28F9"/>
    <w:rsid w:val="00AE2C46"/>
    <w:rsid w:val="00AE40D9"/>
    <w:rsid w:val="00AE4B22"/>
    <w:rsid w:val="00AE5DFF"/>
    <w:rsid w:val="00AE654B"/>
    <w:rsid w:val="00AE6E00"/>
    <w:rsid w:val="00AF033D"/>
    <w:rsid w:val="00AF2247"/>
    <w:rsid w:val="00AF26E1"/>
    <w:rsid w:val="00AF450A"/>
    <w:rsid w:val="00AF5506"/>
    <w:rsid w:val="00AF60B6"/>
    <w:rsid w:val="00B03072"/>
    <w:rsid w:val="00B03B78"/>
    <w:rsid w:val="00B03EDC"/>
    <w:rsid w:val="00B043B9"/>
    <w:rsid w:val="00B062D1"/>
    <w:rsid w:val="00B0695D"/>
    <w:rsid w:val="00B101E9"/>
    <w:rsid w:val="00B102EC"/>
    <w:rsid w:val="00B10B8E"/>
    <w:rsid w:val="00B115F4"/>
    <w:rsid w:val="00B144E8"/>
    <w:rsid w:val="00B14A65"/>
    <w:rsid w:val="00B15780"/>
    <w:rsid w:val="00B16637"/>
    <w:rsid w:val="00B16874"/>
    <w:rsid w:val="00B16884"/>
    <w:rsid w:val="00B169C7"/>
    <w:rsid w:val="00B16F3C"/>
    <w:rsid w:val="00B170A6"/>
    <w:rsid w:val="00B170CA"/>
    <w:rsid w:val="00B1738F"/>
    <w:rsid w:val="00B17E77"/>
    <w:rsid w:val="00B20C24"/>
    <w:rsid w:val="00B20DF0"/>
    <w:rsid w:val="00B21142"/>
    <w:rsid w:val="00B21412"/>
    <w:rsid w:val="00B21789"/>
    <w:rsid w:val="00B21FFD"/>
    <w:rsid w:val="00B220D2"/>
    <w:rsid w:val="00B2247A"/>
    <w:rsid w:val="00B23F85"/>
    <w:rsid w:val="00B245E6"/>
    <w:rsid w:val="00B25032"/>
    <w:rsid w:val="00B2521B"/>
    <w:rsid w:val="00B263AC"/>
    <w:rsid w:val="00B30C8E"/>
    <w:rsid w:val="00B31190"/>
    <w:rsid w:val="00B3165A"/>
    <w:rsid w:val="00B3421E"/>
    <w:rsid w:val="00B354C4"/>
    <w:rsid w:val="00B35C5F"/>
    <w:rsid w:val="00B373BE"/>
    <w:rsid w:val="00B373EF"/>
    <w:rsid w:val="00B373FC"/>
    <w:rsid w:val="00B3768A"/>
    <w:rsid w:val="00B4091C"/>
    <w:rsid w:val="00B41657"/>
    <w:rsid w:val="00B41EFA"/>
    <w:rsid w:val="00B42374"/>
    <w:rsid w:val="00B444CD"/>
    <w:rsid w:val="00B44D41"/>
    <w:rsid w:val="00B45F62"/>
    <w:rsid w:val="00B47F7F"/>
    <w:rsid w:val="00B504E2"/>
    <w:rsid w:val="00B51881"/>
    <w:rsid w:val="00B51B9A"/>
    <w:rsid w:val="00B52950"/>
    <w:rsid w:val="00B530FB"/>
    <w:rsid w:val="00B534A4"/>
    <w:rsid w:val="00B53D60"/>
    <w:rsid w:val="00B53E7E"/>
    <w:rsid w:val="00B5616C"/>
    <w:rsid w:val="00B566C5"/>
    <w:rsid w:val="00B56ABF"/>
    <w:rsid w:val="00B56AE2"/>
    <w:rsid w:val="00B5709A"/>
    <w:rsid w:val="00B57E35"/>
    <w:rsid w:val="00B612F6"/>
    <w:rsid w:val="00B6131E"/>
    <w:rsid w:val="00B6342E"/>
    <w:rsid w:val="00B63AA1"/>
    <w:rsid w:val="00B649B9"/>
    <w:rsid w:val="00B67C47"/>
    <w:rsid w:val="00B70C05"/>
    <w:rsid w:val="00B70D0C"/>
    <w:rsid w:val="00B7113F"/>
    <w:rsid w:val="00B71C3B"/>
    <w:rsid w:val="00B72071"/>
    <w:rsid w:val="00B721C9"/>
    <w:rsid w:val="00B7323B"/>
    <w:rsid w:val="00B73366"/>
    <w:rsid w:val="00B739C9"/>
    <w:rsid w:val="00B748C8"/>
    <w:rsid w:val="00B76CFB"/>
    <w:rsid w:val="00B804D3"/>
    <w:rsid w:val="00B80C84"/>
    <w:rsid w:val="00B83FDF"/>
    <w:rsid w:val="00B8473C"/>
    <w:rsid w:val="00B84F36"/>
    <w:rsid w:val="00B86BAF"/>
    <w:rsid w:val="00B86D87"/>
    <w:rsid w:val="00B878AC"/>
    <w:rsid w:val="00B901E6"/>
    <w:rsid w:val="00B91162"/>
    <w:rsid w:val="00B9291D"/>
    <w:rsid w:val="00B9312F"/>
    <w:rsid w:val="00B940C0"/>
    <w:rsid w:val="00B9512E"/>
    <w:rsid w:val="00B95608"/>
    <w:rsid w:val="00B959DE"/>
    <w:rsid w:val="00B96A8A"/>
    <w:rsid w:val="00BA0118"/>
    <w:rsid w:val="00BA0550"/>
    <w:rsid w:val="00BA0625"/>
    <w:rsid w:val="00BA16E1"/>
    <w:rsid w:val="00BA1C3E"/>
    <w:rsid w:val="00BA34D0"/>
    <w:rsid w:val="00BA3E69"/>
    <w:rsid w:val="00BA73B6"/>
    <w:rsid w:val="00BA796D"/>
    <w:rsid w:val="00BB2B41"/>
    <w:rsid w:val="00BB36F7"/>
    <w:rsid w:val="00BB3870"/>
    <w:rsid w:val="00BB44A8"/>
    <w:rsid w:val="00BB47E3"/>
    <w:rsid w:val="00BB4863"/>
    <w:rsid w:val="00BB4FCD"/>
    <w:rsid w:val="00BB52CD"/>
    <w:rsid w:val="00BB56E9"/>
    <w:rsid w:val="00BB5D10"/>
    <w:rsid w:val="00BB65CC"/>
    <w:rsid w:val="00BB7E43"/>
    <w:rsid w:val="00BC0737"/>
    <w:rsid w:val="00BC15BD"/>
    <w:rsid w:val="00BC176C"/>
    <w:rsid w:val="00BC1776"/>
    <w:rsid w:val="00BC349D"/>
    <w:rsid w:val="00BC3DD8"/>
    <w:rsid w:val="00BC4105"/>
    <w:rsid w:val="00BC447F"/>
    <w:rsid w:val="00BC4C0E"/>
    <w:rsid w:val="00BC6591"/>
    <w:rsid w:val="00BC681C"/>
    <w:rsid w:val="00BD0BCE"/>
    <w:rsid w:val="00BD0E88"/>
    <w:rsid w:val="00BD13EA"/>
    <w:rsid w:val="00BD26FE"/>
    <w:rsid w:val="00BD305B"/>
    <w:rsid w:val="00BD3BC5"/>
    <w:rsid w:val="00BD3C68"/>
    <w:rsid w:val="00BD3F1E"/>
    <w:rsid w:val="00BD3F9F"/>
    <w:rsid w:val="00BD4743"/>
    <w:rsid w:val="00BD5DBD"/>
    <w:rsid w:val="00BD6A9B"/>
    <w:rsid w:val="00BE11E6"/>
    <w:rsid w:val="00BE144C"/>
    <w:rsid w:val="00BE2312"/>
    <w:rsid w:val="00BE2790"/>
    <w:rsid w:val="00BE28FE"/>
    <w:rsid w:val="00BE2BB6"/>
    <w:rsid w:val="00BE2D4E"/>
    <w:rsid w:val="00BE3808"/>
    <w:rsid w:val="00BE38C4"/>
    <w:rsid w:val="00BE3C22"/>
    <w:rsid w:val="00BE42D6"/>
    <w:rsid w:val="00BE4C12"/>
    <w:rsid w:val="00BE5327"/>
    <w:rsid w:val="00BE5413"/>
    <w:rsid w:val="00BF070B"/>
    <w:rsid w:val="00BF115A"/>
    <w:rsid w:val="00BF1347"/>
    <w:rsid w:val="00BF1DF8"/>
    <w:rsid w:val="00BF28E7"/>
    <w:rsid w:val="00BF2E82"/>
    <w:rsid w:val="00BF30C7"/>
    <w:rsid w:val="00BF4995"/>
    <w:rsid w:val="00BF55B3"/>
    <w:rsid w:val="00BF6B1F"/>
    <w:rsid w:val="00BF6DDE"/>
    <w:rsid w:val="00BF731E"/>
    <w:rsid w:val="00C00789"/>
    <w:rsid w:val="00C02E8C"/>
    <w:rsid w:val="00C052CE"/>
    <w:rsid w:val="00C053A3"/>
    <w:rsid w:val="00C062E9"/>
    <w:rsid w:val="00C062F9"/>
    <w:rsid w:val="00C06360"/>
    <w:rsid w:val="00C06BF1"/>
    <w:rsid w:val="00C07387"/>
    <w:rsid w:val="00C07524"/>
    <w:rsid w:val="00C0791C"/>
    <w:rsid w:val="00C10F4C"/>
    <w:rsid w:val="00C11C2F"/>
    <w:rsid w:val="00C13721"/>
    <w:rsid w:val="00C13C3A"/>
    <w:rsid w:val="00C162D5"/>
    <w:rsid w:val="00C16D4A"/>
    <w:rsid w:val="00C1753C"/>
    <w:rsid w:val="00C17B83"/>
    <w:rsid w:val="00C17C5A"/>
    <w:rsid w:val="00C20C86"/>
    <w:rsid w:val="00C20FE0"/>
    <w:rsid w:val="00C24132"/>
    <w:rsid w:val="00C25D8C"/>
    <w:rsid w:val="00C276D3"/>
    <w:rsid w:val="00C301F9"/>
    <w:rsid w:val="00C31101"/>
    <w:rsid w:val="00C314A9"/>
    <w:rsid w:val="00C3157D"/>
    <w:rsid w:val="00C3188E"/>
    <w:rsid w:val="00C31EFC"/>
    <w:rsid w:val="00C31F6A"/>
    <w:rsid w:val="00C323EE"/>
    <w:rsid w:val="00C3391C"/>
    <w:rsid w:val="00C34D8F"/>
    <w:rsid w:val="00C352E7"/>
    <w:rsid w:val="00C35EA2"/>
    <w:rsid w:val="00C36435"/>
    <w:rsid w:val="00C36887"/>
    <w:rsid w:val="00C37576"/>
    <w:rsid w:val="00C4177F"/>
    <w:rsid w:val="00C41889"/>
    <w:rsid w:val="00C42590"/>
    <w:rsid w:val="00C42736"/>
    <w:rsid w:val="00C4343F"/>
    <w:rsid w:val="00C435F2"/>
    <w:rsid w:val="00C454D3"/>
    <w:rsid w:val="00C45607"/>
    <w:rsid w:val="00C47988"/>
    <w:rsid w:val="00C47E65"/>
    <w:rsid w:val="00C50CC8"/>
    <w:rsid w:val="00C51308"/>
    <w:rsid w:val="00C51C55"/>
    <w:rsid w:val="00C5264B"/>
    <w:rsid w:val="00C52DD3"/>
    <w:rsid w:val="00C53EDE"/>
    <w:rsid w:val="00C543F4"/>
    <w:rsid w:val="00C54571"/>
    <w:rsid w:val="00C556D5"/>
    <w:rsid w:val="00C55783"/>
    <w:rsid w:val="00C558E9"/>
    <w:rsid w:val="00C55A98"/>
    <w:rsid w:val="00C56700"/>
    <w:rsid w:val="00C56CD3"/>
    <w:rsid w:val="00C56F8F"/>
    <w:rsid w:val="00C57985"/>
    <w:rsid w:val="00C60F0F"/>
    <w:rsid w:val="00C612F9"/>
    <w:rsid w:val="00C6291C"/>
    <w:rsid w:val="00C633CB"/>
    <w:rsid w:val="00C64ABD"/>
    <w:rsid w:val="00C66179"/>
    <w:rsid w:val="00C66D54"/>
    <w:rsid w:val="00C66D8B"/>
    <w:rsid w:val="00C70334"/>
    <w:rsid w:val="00C70348"/>
    <w:rsid w:val="00C70AC2"/>
    <w:rsid w:val="00C7198A"/>
    <w:rsid w:val="00C72137"/>
    <w:rsid w:val="00C72790"/>
    <w:rsid w:val="00C72AF2"/>
    <w:rsid w:val="00C72D79"/>
    <w:rsid w:val="00C73121"/>
    <w:rsid w:val="00C75614"/>
    <w:rsid w:val="00C759C9"/>
    <w:rsid w:val="00C81367"/>
    <w:rsid w:val="00C87421"/>
    <w:rsid w:val="00C8762C"/>
    <w:rsid w:val="00C87752"/>
    <w:rsid w:val="00C87E50"/>
    <w:rsid w:val="00C90176"/>
    <w:rsid w:val="00C91B30"/>
    <w:rsid w:val="00C92CEF"/>
    <w:rsid w:val="00C92EA6"/>
    <w:rsid w:val="00C93006"/>
    <w:rsid w:val="00C9315B"/>
    <w:rsid w:val="00C9333D"/>
    <w:rsid w:val="00C94587"/>
    <w:rsid w:val="00C94758"/>
    <w:rsid w:val="00C9483A"/>
    <w:rsid w:val="00C94D7D"/>
    <w:rsid w:val="00C95687"/>
    <w:rsid w:val="00C96A46"/>
    <w:rsid w:val="00C96CBE"/>
    <w:rsid w:val="00C97352"/>
    <w:rsid w:val="00CA00F9"/>
    <w:rsid w:val="00CA2961"/>
    <w:rsid w:val="00CA4E3A"/>
    <w:rsid w:val="00CB0050"/>
    <w:rsid w:val="00CB0FE1"/>
    <w:rsid w:val="00CB11A7"/>
    <w:rsid w:val="00CB1DBD"/>
    <w:rsid w:val="00CB27BE"/>
    <w:rsid w:val="00CB41EC"/>
    <w:rsid w:val="00CB50D7"/>
    <w:rsid w:val="00CB7177"/>
    <w:rsid w:val="00CB7334"/>
    <w:rsid w:val="00CB7546"/>
    <w:rsid w:val="00CB7818"/>
    <w:rsid w:val="00CC0646"/>
    <w:rsid w:val="00CC1876"/>
    <w:rsid w:val="00CC1998"/>
    <w:rsid w:val="00CC4105"/>
    <w:rsid w:val="00CC4946"/>
    <w:rsid w:val="00CC58DB"/>
    <w:rsid w:val="00CC5901"/>
    <w:rsid w:val="00CC618E"/>
    <w:rsid w:val="00CC67B4"/>
    <w:rsid w:val="00CC7814"/>
    <w:rsid w:val="00CC7D8A"/>
    <w:rsid w:val="00CD1303"/>
    <w:rsid w:val="00CD20B1"/>
    <w:rsid w:val="00CD291F"/>
    <w:rsid w:val="00CD2F6C"/>
    <w:rsid w:val="00CD306C"/>
    <w:rsid w:val="00CD3C64"/>
    <w:rsid w:val="00CD4258"/>
    <w:rsid w:val="00CD65E8"/>
    <w:rsid w:val="00CD6815"/>
    <w:rsid w:val="00CE02AE"/>
    <w:rsid w:val="00CE1390"/>
    <w:rsid w:val="00CE16CC"/>
    <w:rsid w:val="00CE2426"/>
    <w:rsid w:val="00CE27C6"/>
    <w:rsid w:val="00CE30E6"/>
    <w:rsid w:val="00CE40B7"/>
    <w:rsid w:val="00CE4447"/>
    <w:rsid w:val="00CE44D8"/>
    <w:rsid w:val="00CE5757"/>
    <w:rsid w:val="00CE5E3B"/>
    <w:rsid w:val="00CF1428"/>
    <w:rsid w:val="00CF4224"/>
    <w:rsid w:val="00CF59F6"/>
    <w:rsid w:val="00CF5CD5"/>
    <w:rsid w:val="00D020A4"/>
    <w:rsid w:val="00D02357"/>
    <w:rsid w:val="00D03D2B"/>
    <w:rsid w:val="00D0528A"/>
    <w:rsid w:val="00D06E45"/>
    <w:rsid w:val="00D06E71"/>
    <w:rsid w:val="00D07441"/>
    <w:rsid w:val="00D1029F"/>
    <w:rsid w:val="00D11124"/>
    <w:rsid w:val="00D1132B"/>
    <w:rsid w:val="00D11398"/>
    <w:rsid w:val="00D120B7"/>
    <w:rsid w:val="00D14BC6"/>
    <w:rsid w:val="00D1657B"/>
    <w:rsid w:val="00D167F5"/>
    <w:rsid w:val="00D169CB"/>
    <w:rsid w:val="00D17380"/>
    <w:rsid w:val="00D173D2"/>
    <w:rsid w:val="00D202DC"/>
    <w:rsid w:val="00D23272"/>
    <w:rsid w:val="00D23283"/>
    <w:rsid w:val="00D23D6E"/>
    <w:rsid w:val="00D24BFF"/>
    <w:rsid w:val="00D26142"/>
    <w:rsid w:val="00D26518"/>
    <w:rsid w:val="00D26F6C"/>
    <w:rsid w:val="00D270A4"/>
    <w:rsid w:val="00D27EDB"/>
    <w:rsid w:val="00D30834"/>
    <w:rsid w:val="00D30935"/>
    <w:rsid w:val="00D31DF1"/>
    <w:rsid w:val="00D32E9E"/>
    <w:rsid w:val="00D32F89"/>
    <w:rsid w:val="00D33E56"/>
    <w:rsid w:val="00D34807"/>
    <w:rsid w:val="00D34AAC"/>
    <w:rsid w:val="00D34ACA"/>
    <w:rsid w:val="00D34C28"/>
    <w:rsid w:val="00D34E1B"/>
    <w:rsid w:val="00D36470"/>
    <w:rsid w:val="00D364D0"/>
    <w:rsid w:val="00D376AE"/>
    <w:rsid w:val="00D401CE"/>
    <w:rsid w:val="00D4324A"/>
    <w:rsid w:val="00D43B87"/>
    <w:rsid w:val="00D43DD5"/>
    <w:rsid w:val="00D45BFC"/>
    <w:rsid w:val="00D47BE0"/>
    <w:rsid w:val="00D52162"/>
    <w:rsid w:val="00D53333"/>
    <w:rsid w:val="00D5390E"/>
    <w:rsid w:val="00D53BC9"/>
    <w:rsid w:val="00D54200"/>
    <w:rsid w:val="00D54DD2"/>
    <w:rsid w:val="00D55066"/>
    <w:rsid w:val="00D57AD4"/>
    <w:rsid w:val="00D604DF"/>
    <w:rsid w:val="00D60BF1"/>
    <w:rsid w:val="00D6249F"/>
    <w:rsid w:val="00D63D73"/>
    <w:rsid w:val="00D66E1E"/>
    <w:rsid w:val="00D672A6"/>
    <w:rsid w:val="00D675A8"/>
    <w:rsid w:val="00D705D2"/>
    <w:rsid w:val="00D7172F"/>
    <w:rsid w:val="00D71DC8"/>
    <w:rsid w:val="00D726EB"/>
    <w:rsid w:val="00D729FD"/>
    <w:rsid w:val="00D72AC7"/>
    <w:rsid w:val="00D7354C"/>
    <w:rsid w:val="00D75722"/>
    <w:rsid w:val="00D76614"/>
    <w:rsid w:val="00D767EF"/>
    <w:rsid w:val="00D76A99"/>
    <w:rsid w:val="00D77A00"/>
    <w:rsid w:val="00D802A1"/>
    <w:rsid w:val="00D808F0"/>
    <w:rsid w:val="00D80914"/>
    <w:rsid w:val="00D82BE8"/>
    <w:rsid w:val="00D8415D"/>
    <w:rsid w:val="00D841B5"/>
    <w:rsid w:val="00D84A5C"/>
    <w:rsid w:val="00D8556E"/>
    <w:rsid w:val="00D8588F"/>
    <w:rsid w:val="00D860C6"/>
    <w:rsid w:val="00D87999"/>
    <w:rsid w:val="00D904E2"/>
    <w:rsid w:val="00D9351C"/>
    <w:rsid w:val="00D9362F"/>
    <w:rsid w:val="00D9575D"/>
    <w:rsid w:val="00D97229"/>
    <w:rsid w:val="00D9780F"/>
    <w:rsid w:val="00DA15C8"/>
    <w:rsid w:val="00DA179F"/>
    <w:rsid w:val="00DA2955"/>
    <w:rsid w:val="00DA35DC"/>
    <w:rsid w:val="00DA3F9B"/>
    <w:rsid w:val="00DA43E5"/>
    <w:rsid w:val="00DA507A"/>
    <w:rsid w:val="00DA5C22"/>
    <w:rsid w:val="00DA6504"/>
    <w:rsid w:val="00DB0236"/>
    <w:rsid w:val="00DB0E4D"/>
    <w:rsid w:val="00DB1C9C"/>
    <w:rsid w:val="00DB2175"/>
    <w:rsid w:val="00DB245F"/>
    <w:rsid w:val="00DB3213"/>
    <w:rsid w:val="00DB3AD6"/>
    <w:rsid w:val="00DB40C7"/>
    <w:rsid w:val="00DB4ED1"/>
    <w:rsid w:val="00DB5B58"/>
    <w:rsid w:val="00DB67C9"/>
    <w:rsid w:val="00DB6D0A"/>
    <w:rsid w:val="00DB76EB"/>
    <w:rsid w:val="00DC0C95"/>
    <w:rsid w:val="00DC1209"/>
    <w:rsid w:val="00DC1693"/>
    <w:rsid w:val="00DC3959"/>
    <w:rsid w:val="00DC3D1C"/>
    <w:rsid w:val="00DC4470"/>
    <w:rsid w:val="00DC4E38"/>
    <w:rsid w:val="00DC6185"/>
    <w:rsid w:val="00DC7533"/>
    <w:rsid w:val="00DD14B6"/>
    <w:rsid w:val="00DD258B"/>
    <w:rsid w:val="00DD2E75"/>
    <w:rsid w:val="00DD3057"/>
    <w:rsid w:val="00DD3E58"/>
    <w:rsid w:val="00DD4CC3"/>
    <w:rsid w:val="00DD6580"/>
    <w:rsid w:val="00DD6AC3"/>
    <w:rsid w:val="00DD7BEE"/>
    <w:rsid w:val="00DE067B"/>
    <w:rsid w:val="00DE2161"/>
    <w:rsid w:val="00DE2F09"/>
    <w:rsid w:val="00DE34F3"/>
    <w:rsid w:val="00DE5343"/>
    <w:rsid w:val="00DE534A"/>
    <w:rsid w:val="00DE590C"/>
    <w:rsid w:val="00DE5D3D"/>
    <w:rsid w:val="00DE6E90"/>
    <w:rsid w:val="00DE783A"/>
    <w:rsid w:val="00DF0F13"/>
    <w:rsid w:val="00DF1DDB"/>
    <w:rsid w:val="00DF3677"/>
    <w:rsid w:val="00DF55BD"/>
    <w:rsid w:val="00DF63B9"/>
    <w:rsid w:val="00E00C30"/>
    <w:rsid w:val="00E0330A"/>
    <w:rsid w:val="00E03414"/>
    <w:rsid w:val="00E03704"/>
    <w:rsid w:val="00E04D8D"/>
    <w:rsid w:val="00E05764"/>
    <w:rsid w:val="00E1013E"/>
    <w:rsid w:val="00E10E7C"/>
    <w:rsid w:val="00E11789"/>
    <w:rsid w:val="00E1344F"/>
    <w:rsid w:val="00E1367A"/>
    <w:rsid w:val="00E137EE"/>
    <w:rsid w:val="00E1439C"/>
    <w:rsid w:val="00E14B35"/>
    <w:rsid w:val="00E1510D"/>
    <w:rsid w:val="00E15292"/>
    <w:rsid w:val="00E16189"/>
    <w:rsid w:val="00E1798D"/>
    <w:rsid w:val="00E179C3"/>
    <w:rsid w:val="00E17C72"/>
    <w:rsid w:val="00E17FDA"/>
    <w:rsid w:val="00E20206"/>
    <w:rsid w:val="00E21ED4"/>
    <w:rsid w:val="00E21F69"/>
    <w:rsid w:val="00E24DB4"/>
    <w:rsid w:val="00E254B8"/>
    <w:rsid w:val="00E2692A"/>
    <w:rsid w:val="00E27821"/>
    <w:rsid w:val="00E27E54"/>
    <w:rsid w:val="00E32003"/>
    <w:rsid w:val="00E33DDF"/>
    <w:rsid w:val="00E348CB"/>
    <w:rsid w:val="00E34A8F"/>
    <w:rsid w:val="00E35984"/>
    <w:rsid w:val="00E366E6"/>
    <w:rsid w:val="00E36858"/>
    <w:rsid w:val="00E3779B"/>
    <w:rsid w:val="00E37CE9"/>
    <w:rsid w:val="00E37D0B"/>
    <w:rsid w:val="00E40A01"/>
    <w:rsid w:val="00E4164D"/>
    <w:rsid w:val="00E4236F"/>
    <w:rsid w:val="00E426FC"/>
    <w:rsid w:val="00E42827"/>
    <w:rsid w:val="00E42B92"/>
    <w:rsid w:val="00E42DF5"/>
    <w:rsid w:val="00E43AC7"/>
    <w:rsid w:val="00E45577"/>
    <w:rsid w:val="00E45EDD"/>
    <w:rsid w:val="00E46725"/>
    <w:rsid w:val="00E47023"/>
    <w:rsid w:val="00E4703B"/>
    <w:rsid w:val="00E47F09"/>
    <w:rsid w:val="00E50D5B"/>
    <w:rsid w:val="00E512B8"/>
    <w:rsid w:val="00E512DE"/>
    <w:rsid w:val="00E52CCB"/>
    <w:rsid w:val="00E53435"/>
    <w:rsid w:val="00E564C6"/>
    <w:rsid w:val="00E577BD"/>
    <w:rsid w:val="00E577BE"/>
    <w:rsid w:val="00E57C8A"/>
    <w:rsid w:val="00E61F0B"/>
    <w:rsid w:val="00E63E98"/>
    <w:rsid w:val="00E64562"/>
    <w:rsid w:val="00E64594"/>
    <w:rsid w:val="00E6605F"/>
    <w:rsid w:val="00E669E2"/>
    <w:rsid w:val="00E66BCD"/>
    <w:rsid w:val="00E670E1"/>
    <w:rsid w:val="00E673C0"/>
    <w:rsid w:val="00E70074"/>
    <w:rsid w:val="00E70638"/>
    <w:rsid w:val="00E71DCE"/>
    <w:rsid w:val="00E72444"/>
    <w:rsid w:val="00E742F6"/>
    <w:rsid w:val="00E75330"/>
    <w:rsid w:val="00E76135"/>
    <w:rsid w:val="00E764DB"/>
    <w:rsid w:val="00E76A35"/>
    <w:rsid w:val="00E771FA"/>
    <w:rsid w:val="00E7788E"/>
    <w:rsid w:val="00E82098"/>
    <w:rsid w:val="00E8324E"/>
    <w:rsid w:val="00E83D0D"/>
    <w:rsid w:val="00E85FBA"/>
    <w:rsid w:val="00E862E2"/>
    <w:rsid w:val="00E870B3"/>
    <w:rsid w:val="00E90B7A"/>
    <w:rsid w:val="00E92C7D"/>
    <w:rsid w:val="00E931DF"/>
    <w:rsid w:val="00E93816"/>
    <w:rsid w:val="00E94544"/>
    <w:rsid w:val="00E94D8C"/>
    <w:rsid w:val="00E9599A"/>
    <w:rsid w:val="00E96384"/>
    <w:rsid w:val="00E967FD"/>
    <w:rsid w:val="00E97655"/>
    <w:rsid w:val="00E97762"/>
    <w:rsid w:val="00EA1154"/>
    <w:rsid w:val="00EA1B50"/>
    <w:rsid w:val="00EA1F17"/>
    <w:rsid w:val="00EA2785"/>
    <w:rsid w:val="00EA2CB8"/>
    <w:rsid w:val="00EA3C61"/>
    <w:rsid w:val="00EA41FE"/>
    <w:rsid w:val="00EA726D"/>
    <w:rsid w:val="00EB04CA"/>
    <w:rsid w:val="00EB0971"/>
    <w:rsid w:val="00EB10E1"/>
    <w:rsid w:val="00EB284A"/>
    <w:rsid w:val="00EB2A4F"/>
    <w:rsid w:val="00EB4855"/>
    <w:rsid w:val="00EC13F8"/>
    <w:rsid w:val="00EC4D81"/>
    <w:rsid w:val="00EC559B"/>
    <w:rsid w:val="00EC5886"/>
    <w:rsid w:val="00EC5FD6"/>
    <w:rsid w:val="00EC79EA"/>
    <w:rsid w:val="00EC7BE9"/>
    <w:rsid w:val="00ED15E9"/>
    <w:rsid w:val="00ED162F"/>
    <w:rsid w:val="00ED19EA"/>
    <w:rsid w:val="00ED2546"/>
    <w:rsid w:val="00ED338E"/>
    <w:rsid w:val="00ED4480"/>
    <w:rsid w:val="00ED5439"/>
    <w:rsid w:val="00ED547A"/>
    <w:rsid w:val="00ED7CEA"/>
    <w:rsid w:val="00EE0C45"/>
    <w:rsid w:val="00EE1605"/>
    <w:rsid w:val="00EE5535"/>
    <w:rsid w:val="00EE6D23"/>
    <w:rsid w:val="00EF075E"/>
    <w:rsid w:val="00EF3F8C"/>
    <w:rsid w:val="00EF631D"/>
    <w:rsid w:val="00EF6AC9"/>
    <w:rsid w:val="00EF6B66"/>
    <w:rsid w:val="00EF7AD7"/>
    <w:rsid w:val="00F004D7"/>
    <w:rsid w:val="00F01BC3"/>
    <w:rsid w:val="00F0244A"/>
    <w:rsid w:val="00F026F6"/>
    <w:rsid w:val="00F02924"/>
    <w:rsid w:val="00F03F8B"/>
    <w:rsid w:val="00F04540"/>
    <w:rsid w:val="00F047FE"/>
    <w:rsid w:val="00F056FC"/>
    <w:rsid w:val="00F05CC3"/>
    <w:rsid w:val="00F05ED9"/>
    <w:rsid w:val="00F06E26"/>
    <w:rsid w:val="00F1030C"/>
    <w:rsid w:val="00F11F3B"/>
    <w:rsid w:val="00F12707"/>
    <w:rsid w:val="00F129E2"/>
    <w:rsid w:val="00F135D8"/>
    <w:rsid w:val="00F13BBE"/>
    <w:rsid w:val="00F14118"/>
    <w:rsid w:val="00F14EC8"/>
    <w:rsid w:val="00F14F10"/>
    <w:rsid w:val="00F15C9E"/>
    <w:rsid w:val="00F15CA7"/>
    <w:rsid w:val="00F1664D"/>
    <w:rsid w:val="00F17379"/>
    <w:rsid w:val="00F20781"/>
    <w:rsid w:val="00F207BE"/>
    <w:rsid w:val="00F20C90"/>
    <w:rsid w:val="00F21CC8"/>
    <w:rsid w:val="00F22040"/>
    <w:rsid w:val="00F2213F"/>
    <w:rsid w:val="00F226E1"/>
    <w:rsid w:val="00F23739"/>
    <w:rsid w:val="00F25516"/>
    <w:rsid w:val="00F2594A"/>
    <w:rsid w:val="00F25EAF"/>
    <w:rsid w:val="00F26022"/>
    <w:rsid w:val="00F265C4"/>
    <w:rsid w:val="00F26E40"/>
    <w:rsid w:val="00F276AE"/>
    <w:rsid w:val="00F27BED"/>
    <w:rsid w:val="00F27EDD"/>
    <w:rsid w:val="00F31299"/>
    <w:rsid w:val="00F31B78"/>
    <w:rsid w:val="00F330EB"/>
    <w:rsid w:val="00F33424"/>
    <w:rsid w:val="00F33442"/>
    <w:rsid w:val="00F33E07"/>
    <w:rsid w:val="00F34CC6"/>
    <w:rsid w:val="00F350CC"/>
    <w:rsid w:val="00F3534A"/>
    <w:rsid w:val="00F359C3"/>
    <w:rsid w:val="00F361E1"/>
    <w:rsid w:val="00F36B71"/>
    <w:rsid w:val="00F36CED"/>
    <w:rsid w:val="00F374FC"/>
    <w:rsid w:val="00F37755"/>
    <w:rsid w:val="00F40624"/>
    <w:rsid w:val="00F43F2A"/>
    <w:rsid w:val="00F44122"/>
    <w:rsid w:val="00F45613"/>
    <w:rsid w:val="00F45814"/>
    <w:rsid w:val="00F45DD0"/>
    <w:rsid w:val="00F4602A"/>
    <w:rsid w:val="00F4735F"/>
    <w:rsid w:val="00F50816"/>
    <w:rsid w:val="00F513F3"/>
    <w:rsid w:val="00F51514"/>
    <w:rsid w:val="00F51776"/>
    <w:rsid w:val="00F533FB"/>
    <w:rsid w:val="00F53712"/>
    <w:rsid w:val="00F53A06"/>
    <w:rsid w:val="00F53D47"/>
    <w:rsid w:val="00F53E20"/>
    <w:rsid w:val="00F54468"/>
    <w:rsid w:val="00F54849"/>
    <w:rsid w:val="00F54B31"/>
    <w:rsid w:val="00F5537E"/>
    <w:rsid w:val="00F55710"/>
    <w:rsid w:val="00F55875"/>
    <w:rsid w:val="00F56313"/>
    <w:rsid w:val="00F57F93"/>
    <w:rsid w:val="00F6023F"/>
    <w:rsid w:val="00F61213"/>
    <w:rsid w:val="00F63076"/>
    <w:rsid w:val="00F64FBE"/>
    <w:rsid w:val="00F6646B"/>
    <w:rsid w:val="00F66F6B"/>
    <w:rsid w:val="00F70CCF"/>
    <w:rsid w:val="00F70D4A"/>
    <w:rsid w:val="00F70FD0"/>
    <w:rsid w:val="00F71088"/>
    <w:rsid w:val="00F71260"/>
    <w:rsid w:val="00F73BFB"/>
    <w:rsid w:val="00F75632"/>
    <w:rsid w:val="00F760AB"/>
    <w:rsid w:val="00F76173"/>
    <w:rsid w:val="00F765C7"/>
    <w:rsid w:val="00F77DEE"/>
    <w:rsid w:val="00F80237"/>
    <w:rsid w:val="00F80D3D"/>
    <w:rsid w:val="00F81757"/>
    <w:rsid w:val="00F82339"/>
    <w:rsid w:val="00F8260F"/>
    <w:rsid w:val="00F82FB9"/>
    <w:rsid w:val="00F8424B"/>
    <w:rsid w:val="00F845DC"/>
    <w:rsid w:val="00F84656"/>
    <w:rsid w:val="00F847C3"/>
    <w:rsid w:val="00F84920"/>
    <w:rsid w:val="00F85325"/>
    <w:rsid w:val="00F86A8D"/>
    <w:rsid w:val="00F86DA7"/>
    <w:rsid w:val="00F9051A"/>
    <w:rsid w:val="00F91220"/>
    <w:rsid w:val="00F9128F"/>
    <w:rsid w:val="00F936A9"/>
    <w:rsid w:val="00F93812"/>
    <w:rsid w:val="00F960AB"/>
    <w:rsid w:val="00F96A17"/>
    <w:rsid w:val="00F97311"/>
    <w:rsid w:val="00FA0739"/>
    <w:rsid w:val="00FA0822"/>
    <w:rsid w:val="00FA0986"/>
    <w:rsid w:val="00FA09D1"/>
    <w:rsid w:val="00FA1D39"/>
    <w:rsid w:val="00FA38F6"/>
    <w:rsid w:val="00FA3BAA"/>
    <w:rsid w:val="00FA48AB"/>
    <w:rsid w:val="00FA5148"/>
    <w:rsid w:val="00FA5D77"/>
    <w:rsid w:val="00FA642A"/>
    <w:rsid w:val="00FB1661"/>
    <w:rsid w:val="00FB16BC"/>
    <w:rsid w:val="00FB2077"/>
    <w:rsid w:val="00FB2CB0"/>
    <w:rsid w:val="00FB2CDB"/>
    <w:rsid w:val="00FB30DE"/>
    <w:rsid w:val="00FB39C2"/>
    <w:rsid w:val="00FB4964"/>
    <w:rsid w:val="00FB69AA"/>
    <w:rsid w:val="00FB7B29"/>
    <w:rsid w:val="00FB7BBF"/>
    <w:rsid w:val="00FC170C"/>
    <w:rsid w:val="00FC3B4E"/>
    <w:rsid w:val="00FC4135"/>
    <w:rsid w:val="00FC57E7"/>
    <w:rsid w:val="00FC5EA0"/>
    <w:rsid w:val="00FC6298"/>
    <w:rsid w:val="00FC6642"/>
    <w:rsid w:val="00FC7793"/>
    <w:rsid w:val="00FD1C34"/>
    <w:rsid w:val="00FD22B1"/>
    <w:rsid w:val="00FD265F"/>
    <w:rsid w:val="00FD3134"/>
    <w:rsid w:val="00FD32CF"/>
    <w:rsid w:val="00FD475A"/>
    <w:rsid w:val="00FD5E6C"/>
    <w:rsid w:val="00FD6454"/>
    <w:rsid w:val="00FD7CD5"/>
    <w:rsid w:val="00FD7D29"/>
    <w:rsid w:val="00FE203B"/>
    <w:rsid w:val="00FE2AD7"/>
    <w:rsid w:val="00FE2D46"/>
    <w:rsid w:val="00FE38F9"/>
    <w:rsid w:val="00FE53A0"/>
    <w:rsid w:val="00FE60A1"/>
    <w:rsid w:val="00FE62B3"/>
    <w:rsid w:val="00FE6635"/>
    <w:rsid w:val="00FE7FF5"/>
    <w:rsid w:val="00FF182B"/>
    <w:rsid w:val="00FF1B5C"/>
    <w:rsid w:val="00FF2781"/>
    <w:rsid w:val="00FF3409"/>
    <w:rsid w:val="00FF5AB3"/>
    <w:rsid w:val="00FF6590"/>
    <w:rsid w:val="00FF6D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4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906F6"/>
    <w:rPr>
      <w:sz w:val="24"/>
      <w:szCs w:val="24"/>
    </w:rPr>
  </w:style>
  <w:style w:type="paragraph" w:styleId="Heading1">
    <w:name w:val="heading 1"/>
    <w:basedOn w:val="BodyText"/>
    <w:next w:val="BodyText"/>
    <w:rsid w:val="00A906F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906F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906F6"/>
    <w:pPr>
      <w:spacing w:before="560" w:line="320" w:lineRule="exact"/>
      <w:ind w:left="0" w:firstLine="0"/>
      <w:outlineLvl w:val="2"/>
    </w:pPr>
    <w:rPr>
      <w:sz w:val="26"/>
    </w:rPr>
  </w:style>
  <w:style w:type="paragraph" w:styleId="Heading4">
    <w:name w:val="heading 4"/>
    <w:basedOn w:val="Heading3"/>
    <w:next w:val="BodyText"/>
    <w:qFormat/>
    <w:rsid w:val="00A906F6"/>
    <w:pPr>
      <w:spacing w:before="480"/>
      <w:outlineLvl w:val="3"/>
    </w:pPr>
    <w:rPr>
      <w:b w:val="0"/>
      <w:sz w:val="24"/>
    </w:rPr>
  </w:style>
  <w:style w:type="paragraph" w:styleId="Heading5">
    <w:name w:val="heading 5"/>
    <w:basedOn w:val="Heading4"/>
    <w:next w:val="BodyText"/>
    <w:link w:val="Heading5Char"/>
    <w:qFormat/>
    <w:rsid w:val="00A906F6"/>
    <w:pPr>
      <w:outlineLvl w:val="4"/>
    </w:pPr>
    <w:rPr>
      <w:i/>
      <w:sz w:val="22"/>
    </w:rPr>
  </w:style>
  <w:style w:type="paragraph" w:styleId="Heading6">
    <w:name w:val="heading 6"/>
    <w:basedOn w:val="BodyText"/>
    <w:next w:val="BodyText"/>
    <w:rsid w:val="00A906F6"/>
    <w:pPr>
      <w:spacing w:after="60"/>
      <w:jc w:val="left"/>
      <w:outlineLvl w:val="5"/>
    </w:pPr>
    <w:rPr>
      <w:i/>
      <w:sz w:val="22"/>
    </w:rPr>
  </w:style>
  <w:style w:type="paragraph" w:styleId="Heading7">
    <w:name w:val="heading 7"/>
    <w:basedOn w:val="BodyText"/>
    <w:next w:val="BodyText"/>
    <w:rsid w:val="00A906F6"/>
    <w:pPr>
      <w:spacing w:after="60" w:line="240" w:lineRule="auto"/>
      <w:jc w:val="left"/>
      <w:outlineLvl w:val="6"/>
    </w:pPr>
    <w:rPr>
      <w:rFonts w:ascii="Arial" w:hAnsi="Arial"/>
      <w:sz w:val="20"/>
    </w:rPr>
  </w:style>
  <w:style w:type="paragraph" w:styleId="Heading8">
    <w:name w:val="heading 8"/>
    <w:basedOn w:val="BodyText"/>
    <w:next w:val="BodyText"/>
    <w:rsid w:val="00A906F6"/>
    <w:pPr>
      <w:spacing w:after="60" w:line="240" w:lineRule="auto"/>
      <w:jc w:val="left"/>
      <w:outlineLvl w:val="7"/>
    </w:pPr>
    <w:rPr>
      <w:rFonts w:ascii="Arial" w:hAnsi="Arial"/>
      <w:i/>
      <w:sz w:val="20"/>
    </w:rPr>
  </w:style>
  <w:style w:type="paragraph" w:styleId="Heading9">
    <w:name w:val="heading 9"/>
    <w:basedOn w:val="BodyText"/>
    <w:next w:val="BodyText"/>
    <w:rsid w:val="00A906F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906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6F6"/>
  </w:style>
  <w:style w:type="paragraph" w:styleId="BodyText">
    <w:name w:val="Body Text"/>
    <w:link w:val="BodyTextChar"/>
    <w:qFormat/>
    <w:rsid w:val="00A906F6"/>
    <w:pPr>
      <w:spacing w:before="240" w:line="300" w:lineRule="atLeast"/>
      <w:jc w:val="both"/>
    </w:pPr>
    <w:rPr>
      <w:sz w:val="24"/>
    </w:rPr>
  </w:style>
  <w:style w:type="paragraph" w:styleId="Footer">
    <w:name w:val="footer"/>
    <w:basedOn w:val="BodyText"/>
    <w:link w:val="FooterChar"/>
    <w:rsid w:val="00A906F6"/>
    <w:pPr>
      <w:spacing w:before="80" w:line="200" w:lineRule="exact"/>
      <w:ind w:right="6"/>
      <w:jc w:val="left"/>
    </w:pPr>
    <w:rPr>
      <w:rFonts w:ascii="Arial" w:hAnsi="Arial"/>
      <w:caps/>
      <w:spacing w:val="-4"/>
      <w:sz w:val="16"/>
    </w:rPr>
  </w:style>
  <w:style w:type="paragraph" w:customStyle="1" w:styleId="FooterEnd">
    <w:name w:val="Footer End"/>
    <w:basedOn w:val="Footer"/>
    <w:rsid w:val="00A906F6"/>
    <w:pPr>
      <w:spacing w:before="0" w:line="20" w:lineRule="exact"/>
    </w:pPr>
  </w:style>
  <w:style w:type="paragraph" w:styleId="Header">
    <w:name w:val="header"/>
    <w:basedOn w:val="BodyText"/>
    <w:rsid w:val="00A906F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906F6"/>
    <w:pPr>
      <w:spacing w:line="20" w:lineRule="exact"/>
    </w:pPr>
    <w:rPr>
      <w:sz w:val="16"/>
    </w:rPr>
  </w:style>
  <w:style w:type="paragraph" w:customStyle="1" w:styleId="HeaderEven">
    <w:name w:val="Header Even"/>
    <w:basedOn w:val="Header"/>
    <w:semiHidden/>
    <w:rsid w:val="00A906F6"/>
  </w:style>
  <w:style w:type="paragraph" w:customStyle="1" w:styleId="HeaderOdd">
    <w:name w:val="Header Odd"/>
    <w:basedOn w:val="Header"/>
    <w:semiHidden/>
    <w:rsid w:val="00A906F6"/>
  </w:style>
  <w:style w:type="character" w:styleId="PageNumber">
    <w:name w:val="page number"/>
    <w:basedOn w:val="DefaultParagraphFont"/>
    <w:rsid w:val="00A906F6"/>
    <w:rPr>
      <w:rFonts w:ascii="Arial" w:hAnsi="Arial"/>
      <w:b/>
      <w:sz w:val="16"/>
    </w:rPr>
  </w:style>
  <w:style w:type="paragraph" w:customStyle="1" w:styleId="Abbreviation">
    <w:name w:val="Abbreviation"/>
    <w:basedOn w:val="BodyText"/>
    <w:rsid w:val="00A906F6"/>
    <w:pPr>
      <w:spacing w:before="120"/>
      <w:ind w:left="2381" w:hanging="2381"/>
      <w:jc w:val="left"/>
    </w:pPr>
  </w:style>
  <w:style w:type="paragraph" w:customStyle="1" w:styleId="Box">
    <w:name w:val="Box"/>
    <w:basedOn w:val="BodyText"/>
    <w:link w:val="BoxChar"/>
    <w:qFormat/>
    <w:rsid w:val="00A906F6"/>
    <w:pPr>
      <w:keepNext/>
      <w:spacing w:before="120" w:line="260" w:lineRule="atLeast"/>
    </w:pPr>
    <w:rPr>
      <w:rFonts w:ascii="Arial" w:hAnsi="Arial"/>
      <w:sz w:val="20"/>
    </w:rPr>
  </w:style>
  <w:style w:type="paragraph" w:customStyle="1" w:styleId="BoxContinued">
    <w:name w:val="Box Continued"/>
    <w:basedOn w:val="BodyText"/>
    <w:next w:val="BodyText"/>
    <w:semiHidden/>
    <w:rsid w:val="00A906F6"/>
    <w:pPr>
      <w:spacing w:before="180" w:line="220" w:lineRule="exact"/>
      <w:jc w:val="right"/>
    </w:pPr>
    <w:rPr>
      <w:rFonts w:ascii="Arial" w:hAnsi="Arial"/>
      <w:sz w:val="18"/>
    </w:rPr>
  </w:style>
  <w:style w:type="paragraph" w:customStyle="1" w:styleId="BoxHeading1">
    <w:name w:val="Box Heading 1"/>
    <w:basedOn w:val="BodyText"/>
    <w:next w:val="Box"/>
    <w:rsid w:val="00A906F6"/>
    <w:pPr>
      <w:keepNext/>
      <w:spacing w:before="200" w:line="280" w:lineRule="atLeast"/>
    </w:pPr>
    <w:rPr>
      <w:rFonts w:ascii="Arial" w:hAnsi="Arial"/>
      <w:b/>
      <w:sz w:val="22"/>
    </w:rPr>
  </w:style>
  <w:style w:type="paragraph" w:customStyle="1" w:styleId="BoxHeading2">
    <w:name w:val="Box Heading 2"/>
    <w:basedOn w:val="BoxHeading1"/>
    <w:next w:val="Normal"/>
    <w:rsid w:val="00A906F6"/>
    <w:rPr>
      <w:b w:val="0"/>
      <w:i/>
    </w:rPr>
  </w:style>
  <w:style w:type="paragraph" w:customStyle="1" w:styleId="BoxListBullet">
    <w:name w:val="Box List Bullet"/>
    <w:basedOn w:val="BodyText"/>
    <w:link w:val="BoxListBulletChar"/>
    <w:rsid w:val="00A906F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906F6"/>
    <w:pPr>
      <w:numPr>
        <w:numId w:val="2"/>
      </w:numPr>
      <w:ind w:left="568" w:hanging="284"/>
    </w:pPr>
  </w:style>
  <w:style w:type="paragraph" w:customStyle="1" w:styleId="BoxListNumber">
    <w:name w:val="Box List Number"/>
    <w:basedOn w:val="BodyText"/>
    <w:rsid w:val="00A906F6"/>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A906F6"/>
    <w:pPr>
      <w:numPr>
        <w:ilvl w:val="1"/>
      </w:numPr>
      <w:ind w:left="681" w:hanging="397"/>
    </w:pPr>
  </w:style>
  <w:style w:type="paragraph" w:customStyle="1" w:styleId="BoxQuote">
    <w:name w:val="Box Quote"/>
    <w:basedOn w:val="BodyText"/>
    <w:next w:val="Box"/>
    <w:qFormat/>
    <w:rsid w:val="00A906F6"/>
    <w:pPr>
      <w:keepNext/>
      <w:spacing w:before="60" w:line="240" w:lineRule="exact"/>
      <w:ind w:left="284"/>
    </w:pPr>
    <w:rPr>
      <w:rFonts w:ascii="Arial" w:hAnsi="Arial"/>
      <w:sz w:val="18"/>
    </w:rPr>
  </w:style>
  <w:style w:type="paragraph" w:customStyle="1" w:styleId="Note">
    <w:name w:val="Note"/>
    <w:basedOn w:val="BodyText"/>
    <w:next w:val="BodyText"/>
    <w:rsid w:val="00A906F6"/>
    <w:pPr>
      <w:keepLines/>
      <w:spacing w:before="80" w:line="220" w:lineRule="exact"/>
    </w:pPr>
    <w:rPr>
      <w:rFonts w:ascii="Arial" w:hAnsi="Arial"/>
      <w:sz w:val="18"/>
    </w:rPr>
  </w:style>
  <w:style w:type="paragraph" w:customStyle="1" w:styleId="Source">
    <w:name w:val="Source"/>
    <w:basedOn w:val="Normal"/>
    <w:next w:val="BodyText"/>
    <w:rsid w:val="00A906F6"/>
    <w:pPr>
      <w:keepLines/>
      <w:spacing w:before="80" w:line="220" w:lineRule="exact"/>
      <w:jc w:val="both"/>
    </w:pPr>
    <w:rPr>
      <w:rFonts w:ascii="Arial" w:hAnsi="Arial"/>
      <w:sz w:val="18"/>
      <w:szCs w:val="20"/>
    </w:rPr>
  </w:style>
  <w:style w:type="paragraph" w:customStyle="1" w:styleId="BoxSource">
    <w:name w:val="Box Source"/>
    <w:basedOn w:val="Source"/>
    <w:next w:val="BodyText"/>
    <w:rsid w:val="00A906F6"/>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906F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906F6"/>
    <w:pPr>
      <w:spacing w:before="120" w:after="0"/>
    </w:pPr>
  </w:style>
  <w:style w:type="paragraph" w:customStyle="1" w:styleId="BoxSubtitle">
    <w:name w:val="Box Subtitle"/>
    <w:basedOn w:val="BoxTitle"/>
    <w:next w:val="Normal"/>
    <w:rsid w:val="00A906F6"/>
    <w:pPr>
      <w:spacing w:after="80" w:line="200" w:lineRule="exact"/>
      <w:ind w:firstLine="0"/>
    </w:pPr>
    <w:rPr>
      <w:b w:val="0"/>
      <w:sz w:val="20"/>
    </w:rPr>
  </w:style>
  <w:style w:type="paragraph" w:customStyle="1" w:styleId="Chapter">
    <w:name w:val="Chapter"/>
    <w:basedOn w:val="Heading1"/>
    <w:next w:val="BodyText"/>
    <w:semiHidden/>
    <w:rsid w:val="00A906F6"/>
    <w:pPr>
      <w:ind w:left="0" w:firstLine="0"/>
      <w:outlineLvl w:val="9"/>
    </w:pPr>
  </w:style>
  <w:style w:type="paragraph" w:customStyle="1" w:styleId="ChapterSummary">
    <w:name w:val="Chapter Summary"/>
    <w:basedOn w:val="BodyText"/>
    <w:rsid w:val="00A906F6"/>
    <w:pPr>
      <w:spacing w:line="280" w:lineRule="atLeast"/>
      <w:ind w:left="907"/>
    </w:pPr>
    <w:rPr>
      <w:rFonts w:ascii="Arial" w:hAnsi="Arial"/>
      <w:b/>
      <w:sz w:val="20"/>
    </w:rPr>
  </w:style>
  <w:style w:type="character" w:styleId="CommentReference">
    <w:name w:val="annotation reference"/>
    <w:basedOn w:val="DefaultParagraphFont"/>
    <w:semiHidden/>
    <w:rsid w:val="00A906F6"/>
    <w:rPr>
      <w:b/>
      <w:vanish/>
      <w:color w:val="FF00FF"/>
      <w:sz w:val="20"/>
    </w:rPr>
  </w:style>
  <w:style w:type="paragraph" w:styleId="CommentText">
    <w:name w:val="annotation text"/>
    <w:basedOn w:val="Normal"/>
    <w:semiHidden/>
    <w:rsid w:val="00A906F6"/>
    <w:pPr>
      <w:spacing w:before="120" w:line="240" w:lineRule="atLeast"/>
      <w:ind w:left="567" w:hanging="567"/>
    </w:pPr>
    <w:rPr>
      <w:sz w:val="20"/>
    </w:rPr>
  </w:style>
  <w:style w:type="paragraph" w:customStyle="1" w:styleId="Continued">
    <w:name w:val="Continued"/>
    <w:basedOn w:val="BoxContinued"/>
    <w:next w:val="BodyText"/>
    <w:rsid w:val="00A906F6"/>
  </w:style>
  <w:style w:type="character" w:customStyle="1" w:styleId="DocumentInfo">
    <w:name w:val="Document Info"/>
    <w:basedOn w:val="DefaultParagraphFont"/>
    <w:semiHidden/>
    <w:rsid w:val="00A906F6"/>
    <w:rPr>
      <w:rFonts w:ascii="Arial" w:hAnsi="Arial"/>
      <w:sz w:val="14"/>
    </w:rPr>
  </w:style>
  <w:style w:type="character" w:customStyle="1" w:styleId="DraftingNote">
    <w:name w:val="Drafting Note"/>
    <w:basedOn w:val="DefaultParagraphFont"/>
    <w:rsid w:val="00A906F6"/>
    <w:rPr>
      <w:b/>
      <w:color w:val="FF0000"/>
      <w:sz w:val="24"/>
      <w:u w:val="dotted"/>
    </w:rPr>
  </w:style>
  <w:style w:type="paragraph" w:customStyle="1" w:styleId="Figure">
    <w:name w:val="Figure"/>
    <w:basedOn w:val="BodyText"/>
    <w:rsid w:val="00A906F6"/>
    <w:pPr>
      <w:keepNext/>
      <w:spacing w:before="120" w:after="120" w:line="240" w:lineRule="atLeast"/>
      <w:jc w:val="center"/>
    </w:pPr>
  </w:style>
  <w:style w:type="paragraph" w:customStyle="1" w:styleId="FigureTitle">
    <w:name w:val="Figure Title"/>
    <w:basedOn w:val="Caption"/>
    <w:next w:val="Subtitle"/>
    <w:rsid w:val="00A906F6"/>
    <w:pPr>
      <w:spacing w:before="120"/>
    </w:pPr>
  </w:style>
  <w:style w:type="paragraph" w:styleId="Subtitle">
    <w:name w:val="Subtitle"/>
    <w:basedOn w:val="Caption"/>
    <w:link w:val="SubtitleChar"/>
    <w:qFormat/>
    <w:rsid w:val="00A906F6"/>
    <w:pPr>
      <w:spacing w:before="0" w:line="200" w:lineRule="exact"/>
      <w:ind w:firstLine="0"/>
    </w:pPr>
    <w:rPr>
      <w:b w:val="0"/>
      <w:sz w:val="20"/>
    </w:rPr>
  </w:style>
  <w:style w:type="paragraph" w:customStyle="1" w:styleId="Finding">
    <w:name w:val="Finding"/>
    <w:basedOn w:val="BodyText"/>
    <w:rsid w:val="00A906F6"/>
    <w:pPr>
      <w:keepLines/>
      <w:spacing w:before="120" w:line="280" w:lineRule="atLeast"/>
    </w:pPr>
    <w:rPr>
      <w:rFonts w:ascii="Arial" w:hAnsi="Arial"/>
      <w:sz w:val="22"/>
    </w:rPr>
  </w:style>
  <w:style w:type="paragraph" w:customStyle="1" w:styleId="FindingBullet">
    <w:name w:val="Finding Bullet"/>
    <w:basedOn w:val="Finding"/>
    <w:rsid w:val="00A906F6"/>
    <w:pPr>
      <w:numPr>
        <w:numId w:val="3"/>
      </w:numPr>
      <w:spacing w:before="80"/>
    </w:pPr>
  </w:style>
  <w:style w:type="paragraph" w:customStyle="1" w:styleId="FindingNoTitle">
    <w:name w:val="Finding NoTitle"/>
    <w:basedOn w:val="Finding"/>
    <w:rsid w:val="00A906F6"/>
    <w:pPr>
      <w:spacing w:before="240"/>
    </w:pPr>
  </w:style>
  <w:style w:type="paragraph" w:customStyle="1" w:styleId="RecTitle">
    <w:name w:val="Rec Title"/>
    <w:basedOn w:val="BodyText"/>
    <w:next w:val="Rec"/>
    <w:qFormat/>
    <w:rsid w:val="00A906F6"/>
    <w:pPr>
      <w:keepNext/>
      <w:keepLines/>
      <w:spacing w:line="280" w:lineRule="atLeast"/>
    </w:pPr>
    <w:rPr>
      <w:rFonts w:ascii="Arial" w:hAnsi="Arial"/>
      <w:caps/>
      <w:sz w:val="18"/>
    </w:rPr>
  </w:style>
  <w:style w:type="paragraph" w:customStyle="1" w:styleId="FindingTitle">
    <w:name w:val="Finding Title"/>
    <w:basedOn w:val="RecTitle"/>
    <w:next w:val="Finding"/>
    <w:rsid w:val="00A906F6"/>
  </w:style>
  <w:style w:type="character" w:styleId="FootnoteReference">
    <w:name w:val="footnote reference"/>
    <w:basedOn w:val="DefaultParagraphFont"/>
    <w:semiHidden/>
    <w:rsid w:val="00A906F6"/>
    <w:rPr>
      <w:rFonts w:ascii="Times New Roman" w:hAnsi="Times New Roman"/>
      <w:position w:val="6"/>
      <w:sz w:val="20"/>
      <w:vertAlign w:val="baseline"/>
    </w:rPr>
  </w:style>
  <w:style w:type="paragraph" w:styleId="FootnoteText">
    <w:name w:val="footnote text"/>
    <w:basedOn w:val="BodyText"/>
    <w:rsid w:val="00A906F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906F6"/>
    <w:rPr>
      <w:i/>
    </w:rPr>
  </w:style>
  <w:style w:type="paragraph" w:customStyle="1" w:styleId="Jurisdictioncommentsbodytext">
    <w:name w:val="Jurisdiction comments body text"/>
    <w:rsid w:val="00A906F6"/>
    <w:pPr>
      <w:spacing w:after="140"/>
      <w:jc w:val="both"/>
    </w:pPr>
    <w:rPr>
      <w:rFonts w:ascii="Arial" w:hAnsi="Arial"/>
      <w:sz w:val="24"/>
      <w:lang w:eastAsia="en-US"/>
    </w:rPr>
  </w:style>
  <w:style w:type="paragraph" w:customStyle="1" w:styleId="Jurisdictioncommentsheading">
    <w:name w:val="Jurisdiction comments heading"/>
    <w:rsid w:val="00A906F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906F6"/>
    <w:pPr>
      <w:numPr>
        <w:numId w:val="4"/>
      </w:numPr>
      <w:spacing w:after="140"/>
      <w:jc w:val="both"/>
    </w:pPr>
    <w:rPr>
      <w:rFonts w:ascii="Arial" w:hAnsi="Arial"/>
      <w:sz w:val="24"/>
      <w:lang w:eastAsia="en-US"/>
    </w:rPr>
  </w:style>
  <w:style w:type="paragraph" w:styleId="ListBullet">
    <w:name w:val="List Bullet"/>
    <w:basedOn w:val="BodyText"/>
    <w:rsid w:val="00A906F6"/>
    <w:pPr>
      <w:numPr>
        <w:numId w:val="5"/>
      </w:numPr>
      <w:spacing w:before="120"/>
    </w:pPr>
  </w:style>
  <w:style w:type="paragraph" w:styleId="ListBullet2">
    <w:name w:val="List Bullet 2"/>
    <w:basedOn w:val="BodyText"/>
    <w:rsid w:val="00A906F6"/>
    <w:pPr>
      <w:numPr>
        <w:numId w:val="6"/>
      </w:numPr>
      <w:spacing w:before="120"/>
    </w:pPr>
  </w:style>
  <w:style w:type="paragraph" w:styleId="ListBullet3">
    <w:name w:val="List Bullet 3"/>
    <w:basedOn w:val="BodyText"/>
    <w:rsid w:val="00A906F6"/>
    <w:pPr>
      <w:numPr>
        <w:numId w:val="7"/>
      </w:numPr>
      <w:spacing w:before="120"/>
      <w:ind w:left="1020" w:hanging="340"/>
    </w:pPr>
  </w:style>
  <w:style w:type="paragraph" w:styleId="ListNumber">
    <w:name w:val="List Number"/>
    <w:basedOn w:val="BodyText"/>
    <w:rsid w:val="00A906F6"/>
    <w:pPr>
      <w:numPr>
        <w:numId w:val="12"/>
      </w:numPr>
      <w:spacing w:before="120"/>
    </w:pPr>
  </w:style>
  <w:style w:type="paragraph" w:styleId="ListNumber2">
    <w:name w:val="List Number 2"/>
    <w:basedOn w:val="ListNumber"/>
    <w:rsid w:val="00A906F6"/>
    <w:pPr>
      <w:numPr>
        <w:ilvl w:val="1"/>
      </w:numPr>
    </w:pPr>
  </w:style>
  <w:style w:type="paragraph" w:styleId="ListNumber3">
    <w:name w:val="List Number 3"/>
    <w:basedOn w:val="ListNumber2"/>
    <w:rsid w:val="00A906F6"/>
    <w:pPr>
      <w:numPr>
        <w:ilvl w:val="2"/>
      </w:numPr>
    </w:pPr>
  </w:style>
  <w:style w:type="character" w:customStyle="1" w:styleId="NoteLabel">
    <w:name w:val="Note Label"/>
    <w:basedOn w:val="DefaultParagraphFont"/>
    <w:rsid w:val="00A906F6"/>
    <w:rPr>
      <w:rFonts w:ascii="Arial" w:hAnsi="Arial"/>
      <w:b/>
      <w:position w:val="6"/>
      <w:sz w:val="18"/>
    </w:rPr>
  </w:style>
  <w:style w:type="paragraph" w:customStyle="1" w:styleId="PartDivider">
    <w:name w:val="Part Divider"/>
    <w:basedOn w:val="BodyText"/>
    <w:next w:val="BodyText"/>
    <w:semiHidden/>
    <w:rsid w:val="00A906F6"/>
    <w:pPr>
      <w:spacing w:before="0" w:line="40" w:lineRule="exact"/>
      <w:jc w:val="right"/>
    </w:pPr>
    <w:rPr>
      <w:smallCaps/>
      <w:sz w:val="16"/>
    </w:rPr>
  </w:style>
  <w:style w:type="paragraph" w:customStyle="1" w:styleId="PartNumber">
    <w:name w:val="Part Number"/>
    <w:basedOn w:val="BodyText"/>
    <w:next w:val="BodyText"/>
    <w:semiHidden/>
    <w:rsid w:val="00A906F6"/>
    <w:pPr>
      <w:spacing w:before="4000" w:line="320" w:lineRule="exact"/>
      <w:ind w:left="6634"/>
      <w:jc w:val="right"/>
    </w:pPr>
    <w:rPr>
      <w:smallCaps/>
      <w:spacing w:val="60"/>
      <w:sz w:val="32"/>
    </w:rPr>
  </w:style>
  <w:style w:type="paragraph" w:customStyle="1" w:styleId="PartTitle">
    <w:name w:val="Part Title"/>
    <w:basedOn w:val="BodyText"/>
    <w:semiHidden/>
    <w:rsid w:val="00A906F6"/>
    <w:pPr>
      <w:spacing w:before="160" w:after="1360" w:line="520" w:lineRule="exact"/>
      <w:ind w:right="2381"/>
      <w:jc w:val="right"/>
    </w:pPr>
    <w:rPr>
      <w:smallCaps/>
      <w:sz w:val="52"/>
    </w:rPr>
  </w:style>
  <w:style w:type="paragraph" w:styleId="Quote">
    <w:name w:val="Quote"/>
    <w:basedOn w:val="BodyText"/>
    <w:next w:val="BodyText"/>
    <w:qFormat/>
    <w:rsid w:val="00A906F6"/>
    <w:pPr>
      <w:spacing w:before="120" w:line="280" w:lineRule="exact"/>
      <w:ind w:left="340"/>
    </w:pPr>
    <w:rPr>
      <w:sz w:val="22"/>
    </w:rPr>
  </w:style>
  <w:style w:type="paragraph" w:customStyle="1" w:styleId="QuoteBullet">
    <w:name w:val="Quote Bullet"/>
    <w:basedOn w:val="Quote"/>
    <w:rsid w:val="00A906F6"/>
    <w:pPr>
      <w:numPr>
        <w:numId w:val="8"/>
      </w:numPr>
    </w:pPr>
  </w:style>
  <w:style w:type="paragraph" w:customStyle="1" w:styleId="Rec">
    <w:name w:val="Rec"/>
    <w:basedOn w:val="BodyText"/>
    <w:qFormat/>
    <w:rsid w:val="00A906F6"/>
    <w:pPr>
      <w:keepLines/>
      <w:spacing w:before="120" w:line="280" w:lineRule="atLeast"/>
    </w:pPr>
    <w:rPr>
      <w:rFonts w:ascii="Arial" w:hAnsi="Arial"/>
      <w:sz w:val="22"/>
    </w:rPr>
  </w:style>
  <w:style w:type="paragraph" w:customStyle="1" w:styleId="RecBullet">
    <w:name w:val="Rec Bullet"/>
    <w:basedOn w:val="Rec"/>
    <w:rsid w:val="00A906F6"/>
    <w:pPr>
      <w:numPr>
        <w:numId w:val="9"/>
      </w:numPr>
      <w:spacing w:before="80"/>
    </w:pPr>
  </w:style>
  <w:style w:type="paragraph" w:customStyle="1" w:styleId="RecB">
    <w:name w:val="RecB"/>
    <w:basedOn w:val="Normal"/>
    <w:rsid w:val="00A906F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906F6"/>
    <w:pPr>
      <w:numPr>
        <w:numId w:val="14"/>
      </w:numPr>
      <w:spacing w:before="80"/>
    </w:pPr>
  </w:style>
  <w:style w:type="paragraph" w:customStyle="1" w:styleId="RecBNoTitle">
    <w:name w:val="RecB NoTitle"/>
    <w:basedOn w:val="RecB"/>
    <w:rsid w:val="00A906F6"/>
    <w:pPr>
      <w:spacing w:before="240"/>
    </w:pPr>
  </w:style>
  <w:style w:type="paragraph" w:customStyle="1" w:styleId="Reference">
    <w:name w:val="Reference"/>
    <w:basedOn w:val="BodyText"/>
    <w:rsid w:val="00A906F6"/>
    <w:pPr>
      <w:spacing w:before="120"/>
      <w:ind w:left="340" w:hanging="340"/>
    </w:pPr>
  </w:style>
  <w:style w:type="paragraph" w:customStyle="1" w:styleId="SequenceInfo">
    <w:name w:val="Sequence Info"/>
    <w:basedOn w:val="BodyText"/>
    <w:semiHidden/>
    <w:rsid w:val="00A906F6"/>
    <w:rPr>
      <w:vanish/>
      <w:sz w:val="16"/>
    </w:rPr>
  </w:style>
  <w:style w:type="paragraph" w:customStyle="1" w:styleId="SideNote">
    <w:name w:val="Side Note"/>
    <w:basedOn w:val="BodyText"/>
    <w:next w:val="BodyText"/>
    <w:semiHidden/>
    <w:rsid w:val="00A906F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906F6"/>
    <w:pPr>
      <w:framePr w:wrap="around"/>
      <w:numPr>
        <w:numId w:val="10"/>
      </w:numPr>
      <w:tabs>
        <w:tab w:val="left" w:pos="227"/>
      </w:tabs>
    </w:pPr>
  </w:style>
  <w:style w:type="paragraph" w:customStyle="1" w:styleId="SideNoteGraphic">
    <w:name w:val="Side Note Graphic"/>
    <w:basedOn w:val="SideNote"/>
    <w:next w:val="BodyText"/>
    <w:semiHidden/>
    <w:rsid w:val="00A906F6"/>
    <w:pPr>
      <w:framePr w:wrap="around"/>
    </w:pPr>
  </w:style>
  <w:style w:type="paragraph" w:customStyle="1" w:styleId="TableBodyText">
    <w:name w:val="Table Body Text"/>
    <w:basedOn w:val="BodyText"/>
    <w:rsid w:val="00A906F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906F6"/>
    <w:pPr>
      <w:numPr>
        <w:numId w:val="11"/>
      </w:numPr>
      <w:jc w:val="left"/>
    </w:pPr>
  </w:style>
  <w:style w:type="paragraph" w:customStyle="1" w:styleId="TableColumnHeading">
    <w:name w:val="Table Column Heading"/>
    <w:basedOn w:val="TableBodyText"/>
    <w:rsid w:val="00A906F6"/>
    <w:pPr>
      <w:spacing w:before="80" w:after="80"/>
    </w:pPr>
    <w:rPr>
      <w:i/>
    </w:rPr>
  </w:style>
  <w:style w:type="paragraph" w:styleId="TOC2">
    <w:name w:val="toc 2"/>
    <w:basedOn w:val="TOC1"/>
    <w:rsid w:val="00A906F6"/>
    <w:pPr>
      <w:ind w:left="1134" w:hanging="624"/>
    </w:pPr>
    <w:rPr>
      <w:b w:val="0"/>
    </w:rPr>
  </w:style>
  <w:style w:type="paragraph" w:styleId="TOC3">
    <w:name w:val="toc 3"/>
    <w:basedOn w:val="TOC2"/>
    <w:rsid w:val="00A906F6"/>
    <w:pPr>
      <w:spacing w:before="60"/>
      <w:ind w:left="1190" w:hanging="680"/>
    </w:pPr>
  </w:style>
  <w:style w:type="paragraph" w:styleId="TableofFigures">
    <w:name w:val="table of figures"/>
    <w:basedOn w:val="TOC3"/>
    <w:next w:val="BodyText"/>
    <w:rsid w:val="00A906F6"/>
    <w:pPr>
      <w:ind w:left="737" w:hanging="737"/>
    </w:pPr>
  </w:style>
  <w:style w:type="paragraph" w:customStyle="1" w:styleId="TableTitle">
    <w:name w:val="Table Title"/>
    <w:basedOn w:val="Caption"/>
    <w:next w:val="Subtitle"/>
    <w:qFormat/>
    <w:rsid w:val="00A906F6"/>
    <w:pPr>
      <w:spacing w:before="120"/>
    </w:pPr>
  </w:style>
  <w:style w:type="paragraph" w:customStyle="1" w:styleId="TableUnitsRow">
    <w:name w:val="Table Units Row"/>
    <w:basedOn w:val="TableBodyText"/>
    <w:rsid w:val="00A906F6"/>
    <w:pPr>
      <w:spacing w:before="40"/>
    </w:pPr>
  </w:style>
  <w:style w:type="paragraph" w:styleId="TOC1">
    <w:name w:val="toc 1"/>
    <w:basedOn w:val="Normal"/>
    <w:next w:val="TOC2"/>
    <w:link w:val="TOC1Char"/>
    <w:rsid w:val="00A906F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906F6"/>
    <w:pPr>
      <w:ind w:left="1191" w:firstLine="0"/>
    </w:pPr>
  </w:style>
  <w:style w:type="paragraph" w:styleId="BalloonText">
    <w:name w:val="Balloon Text"/>
    <w:basedOn w:val="Normal"/>
    <w:link w:val="BalloonTextChar"/>
    <w:rsid w:val="00A906F6"/>
    <w:rPr>
      <w:rFonts w:ascii="Tahoma" w:hAnsi="Tahoma" w:cs="Tahoma"/>
      <w:sz w:val="16"/>
      <w:szCs w:val="16"/>
    </w:rPr>
  </w:style>
  <w:style w:type="table" w:styleId="TableGrid">
    <w:name w:val="Table Grid"/>
    <w:basedOn w:val="TableNormal"/>
    <w:rsid w:val="00A906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986A8B"/>
    <w:pPr>
      <w:shd w:val="clear" w:color="auto" w:fill="000080"/>
    </w:pPr>
    <w:rPr>
      <w:rFonts w:ascii="Tahoma" w:hAnsi="Tahoma" w:cs="Tahoma"/>
      <w:sz w:val="20"/>
      <w:szCs w:val="20"/>
    </w:rPr>
  </w:style>
  <w:style w:type="numbering" w:customStyle="1" w:styleId="Style1">
    <w:name w:val="Style1"/>
    <w:rsid w:val="00986A8B"/>
    <w:pPr>
      <w:numPr>
        <w:numId w:val="15"/>
      </w:numPr>
    </w:pPr>
  </w:style>
  <w:style w:type="paragraph" w:styleId="CommentSubject">
    <w:name w:val="annotation subject"/>
    <w:basedOn w:val="CommentText"/>
    <w:next w:val="CommentText"/>
    <w:semiHidden/>
    <w:rsid w:val="00986A8B"/>
    <w:pPr>
      <w:spacing w:before="0" w:line="240" w:lineRule="auto"/>
      <w:ind w:left="0" w:firstLine="0"/>
    </w:pPr>
    <w:rPr>
      <w:b/>
      <w:bCs/>
      <w:szCs w:val="20"/>
    </w:rPr>
  </w:style>
  <w:style w:type="character" w:styleId="Emphasis">
    <w:name w:val="Emphasis"/>
    <w:basedOn w:val="DefaultParagraphFont"/>
    <w:rsid w:val="00A906F6"/>
    <w:rPr>
      <w:i/>
      <w:iCs/>
    </w:rPr>
  </w:style>
  <w:style w:type="character" w:customStyle="1" w:styleId="amcdonald">
    <w:name w:val="amcdonald"/>
    <w:semiHidden/>
    <w:rsid w:val="00F73BFB"/>
    <w:rPr>
      <w:rFonts w:ascii="Arial" w:hAnsi="Arial" w:cs="Arial"/>
      <w:color w:val="000080"/>
      <w:sz w:val="20"/>
      <w:szCs w:val="20"/>
    </w:rPr>
  </w:style>
  <w:style w:type="character" w:styleId="Hyperlink">
    <w:name w:val="Hyperlink"/>
    <w:basedOn w:val="DefaultParagraphFont"/>
    <w:uiPriority w:val="99"/>
    <w:unhideWhenUsed/>
    <w:rsid w:val="009165C9"/>
    <w:rPr>
      <w:color w:val="78A22F" w:themeColor="hyperlink"/>
      <w:u w:val="single"/>
    </w:rPr>
  </w:style>
  <w:style w:type="character" w:customStyle="1" w:styleId="SubtitleChar">
    <w:name w:val="Subtitle Char"/>
    <w:basedOn w:val="DefaultParagraphFont"/>
    <w:link w:val="Subtitle"/>
    <w:rsid w:val="00A906F6"/>
    <w:rPr>
      <w:rFonts w:ascii="Arial" w:hAnsi="Arial"/>
      <w:szCs w:val="24"/>
    </w:rPr>
  </w:style>
  <w:style w:type="character" w:customStyle="1" w:styleId="BodyTextChar">
    <w:name w:val="Body Text Char"/>
    <w:basedOn w:val="DefaultParagraphFont"/>
    <w:link w:val="BodyText"/>
    <w:rsid w:val="00A906F6"/>
    <w:rPr>
      <w:sz w:val="24"/>
    </w:rPr>
  </w:style>
  <w:style w:type="paragraph" w:customStyle="1" w:styleId="BoxSpaceAbove">
    <w:name w:val="Box Space Above"/>
    <w:basedOn w:val="BodyText"/>
    <w:rsid w:val="00A906F6"/>
    <w:pPr>
      <w:keepNext/>
      <w:spacing w:before="360" w:line="80" w:lineRule="exact"/>
      <w:jc w:val="left"/>
    </w:pPr>
  </w:style>
  <w:style w:type="paragraph" w:customStyle="1" w:styleId="RecBBullet2">
    <w:name w:val="RecB Bullet 2"/>
    <w:basedOn w:val="ListBullet2"/>
    <w:semiHidden/>
    <w:rsid w:val="00A906F6"/>
    <w:pPr>
      <w:pBdr>
        <w:left w:val="single" w:sz="24" w:space="29" w:color="C0C0C0"/>
      </w:pBdr>
    </w:pPr>
    <w:rPr>
      <w:b/>
      <w:i/>
    </w:rPr>
  </w:style>
  <w:style w:type="character" w:customStyle="1" w:styleId="BalloonTextChar">
    <w:name w:val="Balloon Text Char"/>
    <w:basedOn w:val="DefaultParagraphFont"/>
    <w:link w:val="BalloonText"/>
    <w:rsid w:val="00A906F6"/>
    <w:rPr>
      <w:rFonts w:ascii="Tahoma" w:hAnsi="Tahoma" w:cs="Tahoma"/>
      <w:sz w:val="16"/>
      <w:szCs w:val="16"/>
    </w:rPr>
  </w:style>
  <w:style w:type="paragraph" w:customStyle="1" w:styleId="BoxListBullet3">
    <w:name w:val="Box List Bullet 3"/>
    <w:basedOn w:val="ListBullet3"/>
    <w:rsid w:val="00A906F6"/>
    <w:pPr>
      <w:numPr>
        <w:numId w:val="18"/>
      </w:numPr>
      <w:tabs>
        <w:tab w:val="left" w:pos="907"/>
      </w:tabs>
      <w:spacing w:before="60" w:line="260" w:lineRule="atLeast"/>
      <w:ind w:left="907" w:hanging="340"/>
    </w:pPr>
    <w:rPr>
      <w:rFonts w:ascii="Arial" w:hAnsi="Arial"/>
      <w:sz w:val="20"/>
    </w:rPr>
  </w:style>
  <w:style w:type="paragraph" w:customStyle="1" w:styleId="BoxQuoteBullet">
    <w:name w:val="Box Quote Bullet"/>
    <w:basedOn w:val="BoxQuote"/>
    <w:next w:val="Box"/>
    <w:rsid w:val="00A906F6"/>
    <w:pPr>
      <w:numPr>
        <w:numId w:val="16"/>
      </w:numPr>
      <w:ind w:left="568" w:hanging="284"/>
    </w:pPr>
  </w:style>
  <w:style w:type="paragraph" w:customStyle="1" w:styleId="InformationRequestBullet">
    <w:name w:val="Information Request Bullet"/>
    <w:basedOn w:val="ListBullet"/>
    <w:next w:val="BodyText"/>
    <w:rsid w:val="00A906F6"/>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A906F6"/>
    <w:pPr>
      <w:keepNext w:val="0"/>
      <w:spacing w:before="60" w:after="60" w:line="80" w:lineRule="exact"/>
    </w:pPr>
    <w:rPr>
      <w:sz w:val="14"/>
    </w:rPr>
  </w:style>
  <w:style w:type="character" w:customStyle="1" w:styleId="Heading5Char">
    <w:name w:val="Heading 5 Char"/>
    <w:basedOn w:val="DefaultParagraphFont"/>
    <w:link w:val="Heading5"/>
    <w:rsid w:val="00A906F6"/>
    <w:rPr>
      <w:rFonts w:ascii="Arial" w:hAnsi="Arial"/>
      <w:i/>
      <w:sz w:val="22"/>
    </w:rPr>
  </w:style>
  <w:style w:type="character" w:styleId="PlaceholderText">
    <w:name w:val="Placeholder Text"/>
    <w:basedOn w:val="DefaultParagraphFont"/>
    <w:uiPriority w:val="99"/>
    <w:semiHidden/>
    <w:rsid w:val="00DC3959"/>
    <w:rPr>
      <w:color w:val="808080"/>
    </w:rPr>
  </w:style>
  <w:style w:type="paragraph" w:styleId="NormalWeb">
    <w:name w:val="Normal (Web)"/>
    <w:basedOn w:val="Normal"/>
    <w:uiPriority w:val="99"/>
    <w:unhideWhenUsed/>
    <w:rsid w:val="00730133"/>
    <w:pPr>
      <w:spacing w:before="100" w:beforeAutospacing="1" w:after="100" w:afterAutospacing="1"/>
    </w:pPr>
  </w:style>
  <w:style w:type="paragraph" w:customStyle="1" w:styleId="Default">
    <w:name w:val="Default"/>
    <w:rsid w:val="003D5E49"/>
    <w:pPr>
      <w:autoSpaceDE w:val="0"/>
      <w:autoSpaceDN w:val="0"/>
      <w:adjustRightInd w:val="0"/>
    </w:pPr>
    <w:rPr>
      <w:color w:val="000000"/>
      <w:sz w:val="24"/>
      <w:szCs w:val="24"/>
    </w:rPr>
  </w:style>
  <w:style w:type="character" w:customStyle="1" w:styleId="BoxListBulletChar">
    <w:name w:val="Box List Bullet Char"/>
    <w:basedOn w:val="DefaultParagraphFont"/>
    <w:link w:val="BoxListBullet"/>
    <w:rsid w:val="0077386C"/>
    <w:rPr>
      <w:rFonts w:ascii="Arial" w:hAnsi="Arial"/>
    </w:rPr>
  </w:style>
  <w:style w:type="character" w:styleId="FollowedHyperlink">
    <w:name w:val="FollowedHyperlink"/>
    <w:basedOn w:val="DefaultParagraphFont"/>
    <w:rsid w:val="00897587"/>
    <w:rPr>
      <w:color w:val="387DD2" w:themeColor="followedHyperlink"/>
      <w:u w:val="single"/>
    </w:rPr>
  </w:style>
  <w:style w:type="paragraph" w:customStyle="1" w:styleId="TableBullet2">
    <w:name w:val="Table Bullet 2"/>
    <w:basedOn w:val="TableBullet"/>
    <w:rsid w:val="00980E2D"/>
    <w:pPr>
      <w:numPr>
        <w:numId w:val="19"/>
      </w:numPr>
      <w:spacing w:after="60"/>
      <w:ind w:left="709"/>
    </w:pPr>
  </w:style>
  <w:style w:type="character" w:customStyle="1" w:styleId="Heading3Char">
    <w:name w:val="Heading 3 Char"/>
    <w:basedOn w:val="DefaultParagraphFont"/>
    <w:link w:val="Heading3"/>
    <w:rsid w:val="004F5C77"/>
    <w:rPr>
      <w:rFonts w:ascii="Arial" w:hAnsi="Arial"/>
      <w:b/>
      <w:sz w:val="26"/>
    </w:rPr>
  </w:style>
  <w:style w:type="paragraph" w:styleId="ListParagraph">
    <w:name w:val="List Paragraph"/>
    <w:basedOn w:val="Normal"/>
    <w:uiPriority w:val="34"/>
    <w:qFormat/>
    <w:rsid w:val="00E512DE"/>
    <w:pPr>
      <w:ind w:left="720"/>
    </w:pPr>
  </w:style>
  <w:style w:type="paragraph" w:customStyle="1" w:styleId="KeyPointsListBullet">
    <w:name w:val="Key Points List Bullet"/>
    <w:basedOn w:val="Normal"/>
    <w:qFormat/>
    <w:rsid w:val="00A906F6"/>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906F6"/>
    <w:pPr>
      <w:numPr>
        <w:numId w:val="21"/>
      </w:numPr>
      <w:ind w:left="568" w:hanging="284"/>
    </w:pPr>
  </w:style>
  <w:style w:type="paragraph" w:customStyle="1" w:styleId="InformationRequestTitle">
    <w:name w:val="Information Request Title"/>
    <w:basedOn w:val="FindingTitle"/>
    <w:next w:val="InformationRequest"/>
    <w:rsid w:val="00A906F6"/>
    <w:rPr>
      <w:i/>
    </w:rPr>
  </w:style>
  <w:style w:type="paragraph" w:customStyle="1" w:styleId="Space">
    <w:name w:val="Space"/>
    <w:basedOn w:val="Normal"/>
    <w:rsid w:val="00A906F6"/>
    <w:pPr>
      <w:keepNext/>
      <w:spacing w:line="120" w:lineRule="exact"/>
      <w:jc w:val="both"/>
    </w:pPr>
    <w:rPr>
      <w:rFonts w:ascii="Arial" w:hAnsi="Arial"/>
      <w:sz w:val="20"/>
      <w:szCs w:val="20"/>
    </w:rPr>
  </w:style>
  <w:style w:type="paragraph" w:customStyle="1" w:styleId="Heading1nochapterno">
    <w:name w:val="Heading 1 (no chapter no.)"/>
    <w:basedOn w:val="Heading1"/>
    <w:rsid w:val="00A906F6"/>
    <w:pPr>
      <w:spacing w:before="0"/>
      <w:ind w:left="0" w:firstLine="0"/>
    </w:pPr>
  </w:style>
  <w:style w:type="paragraph" w:customStyle="1" w:styleId="Heading2nosectionno">
    <w:name w:val="Heading 2 (no section no.)"/>
    <w:basedOn w:val="Heading2"/>
    <w:rsid w:val="00A906F6"/>
    <w:pPr>
      <w:ind w:left="0" w:firstLine="0"/>
    </w:pPr>
  </w:style>
  <w:style w:type="paragraph" w:customStyle="1" w:styleId="Figurespace">
    <w:name w:val="Figure space"/>
    <w:basedOn w:val="Box"/>
    <w:rsid w:val="00A906F6"/>
    <w:pPr>
      <w:spacing w:before="0" w:line="120" w:lineRule="exact"/>
    </w:pPr>
  </w:style>
  <w:style w:type="paragraph" w:customStyle="1" w:styleId="FooterDraftReport">
    <w:name w:val="FooterDraftReport"/>
    <w:basedOn w:val="Footer"/>
    <w:link w:val="FooterDraftReportChar"/>
    <w:rsid w:val="00A906F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906F6"/>
    <w:rPr>
      <w:rFonts w:ascii="Arial" w:hAnsi="Arial"/>
      <w:caps/>
      <w:spacing w:val="-4"/>
      <w:sz w:val="16"/>
    </w:rPr>
  </w:style>
  <w:style w:type="character" w:customStyle="1" w:styleId="FooterDraftReportChar">
    <w:name w:val="FooterDraftReport Char"/>
    <w:basedOn w:val="FooterChar"/>
    <w:link w:val="FooterDraftReport"/>
    <w:rsid w:val="00A906F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906F6"/>
    <w:rPr>
      <w:rFonts w:ascii="Arial" w:hAnsi="Arial"/>
      <w:b/>
      <w:sz w:val="26"/>
      <w:szCs w:val="26"/>
      <w:lang w:eastAsia="en-US"/>
    </w:rPr>
  </w:style>
  <w:style w:type="character" w:customStyle="1" w:styleId="BoxChar">
    <w:name w:val="Box Char"/>
    <w:basedOn w:val="BodyTextChar"/>
    <w:link w:val="Box"/>
    <w:rsid w:val="00935D78"/>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List Bullet"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906F6"/>
    <w:rPr>
      <w:sz w:val="24"/>
      <w:szCs w:val="24"/>
    </w:rPr>
  </w:style>
  <w:style w:type="paragraph" w:styleId="Heading1">
    <w:name w:val="heading 1"/>
    <w:basedOn w:val="BodyText"/>
    <w:next w:val="BodyText"/>
    <w:rsid w:val="00A906F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906F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906F6"/>
    <w:pPr>
      <w:spacing w:before="560" w:line="320" w:lineRule="exact"/>
      <w:ind w:left="0" w:firstLine="0"/>
      <w:outlineLvl w:val="2"/>
    </w:pPr>
    <w:rPr>
      <w:sz w:val="26"/>
    </w:rPr>
  </w:style>
  <w:style w:type="paragraph" w:styleId="Heading4">
    <w:name w:val="heading 4"/>
    <w:basedOn w:val="Heading3"/>
    <w:next w:val="BodyText"/>
    <w:qFormat/>
    <w:rsid w:val="00A906F6"/>
    <w:pPr>
      <w:spacing w:before="480"/>
      <w:outlineLvl w:val="3"/>
    </w:pPr>
    <w:rPr>
      <w:b w:val="0"/>
      <w:sz w:val="24"/>
    </w:rPr>
  </w:style>
  <w:style w:type="paragraph" w:styleId="Heading5">
    <w:name w:val="heading 5"/>
    <w:basedOn w:val="Heading4"/>
    <w:next w:val="BodyText"/>
    <w:link w:val="Heading5Char"/>
    <w:qFormat/>
    <w:rsid w:val="00A906F6"/>
    <w:pPr>
      <w:outlineLvl w:val="4"/>
    </w:pPr>
    <w:rPr>
      <w:i/>
      <w:sz w:val="22"/>
    </w:rPr>
  </w:style>
  <w:style w:type="paragraph" w:styleId="Heading6">
    <w:name w:val="heading 6"/>
    <w:basedOn w:val="BodyText"/>
    <w:next w:val="BodyText"/>
    <w:rsid w:val="00A906F6"/>
    <w:pPr>
      <w:spacing w:after="60"/>
      <w:jc w:val="left"/>
      <w:outlineLvl w:val="5"/>
    </w:pPr>
    <w:rPr>
      <w:i/>
      <w:sz w:val="22"/>
    </w:rPr>
  </w:style>
  <w:style w:type="paragraph" w:styleId="Heading7">
    <w:name w:val="heading 7"/>
    <w:basedOn w:val="BodyText"/>
    <w:next w:val="BodyText"/>
    <w:rsid w:val="00A906F6"/>
    <w:pPr>
      <w:spacing w:after="60" w:line="240" w:lineRule="auto"/>
      <w:jc w:val="left"/>
      <w:outlineLvl w:val="6"/>
    </w:pPr>
    <w:rPr>
      <w:rFonts w:ascii="Arial" w:hAnsi="Arial"/>
      <w:sz w:val="20"/>
    </w:rPr>
  </w:style>
  <w:style w:type="paragraph" w:styleId="Heading8">
    <w:name w:val="heading 8"/>
    <w:basedOn w:val="BodyText"/>
    <w:next w:val="BodyText"/>
    <w:rsid w:val="00A906F6"/>
    <w:pPr>
      <w:spacing w:after="60" w:line="240" w:lineRule="auto"/>
      <w:jc w:val="left"/>
      <w:outlineLvl w:val="7"/>
    </w:pPr>
    <w:rPr>
      <w:rFonts w:ascii="Arial" w:hAnsi="Arial"/>
      <w:i/>
      <w:sz w:val="20"/>
    </w:rPr>
  </w:style>
  <w:style w:type="paragraph" w:styleId="Heading9">
    <w:name w:val="heading 9"/>
    <w:basedOn w:val="BodyText"/>
    <w:next w:val="BodyText"/>
    <w:rsid w:val="00A906F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906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6F6"/>
  </w:style>
  <w:style w:type="paragraph" w:styleId="BodyText">
    <w:name w:val="Body Text"/>
    <w:link w:val="BodyTextChar"/>
    <w:qFormat/>
    <w:rsid w:val="00A906F6"/>
    <w:pPr>
      <w:spacing w:before="240" w:line="300" w:lineRule="atLeast"/>
      <w:jc w:val="both"/>
    </w:pPr>
    <w:rPr>
      <w:sz w:val="24"/>
    </w:rPr>
  </w:style>
  <w:style w:type="paragraph" w:styleId="Footer">
    <w:name w:val="footer"/>
    <w:basedOn w:val="BodyText"/>
    <w:link w:val="FooterChar"/>
    <w:rsid w:val="00A906F6"/>
    <w:pPr>
      <w:spacing w:before="80" w:line="200" w:lineRule="exact"/>
      <w:ind w:right="6"/>
      <w:jc w:val="left"/>
    </w:pPr>
    <w:rPr>
      <w:rFonts w:ascii="Arial" w:hAnsi="Arial"/>
      <w:caps/>
      <w:spacing w:val="-4"/>
      <w:sz w:val="16"/>
    </w:rPr>
  </w:style>
  <w:style w:type="paragraph" w:customStyle="1" w:styleId="FooterEnd">
    <w:name w:val="Footer End"/>
    <w:basedOn w:val="Footer"/>
    <w:rsid w:val="00A906F6"/>
    <w:pPr>
      <w:spacing w:before="0" w:line="20" w:lineRule="exact"/>
    </w:pPr>
  </w:style>
  <w:style w:type="paragraph" w:styleId="Header">
    <w:name w:val="header"/>
    <w:basedOn w:val="BodyText"/>
    <w:rsid w:val="00A906F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906F6"/>
    <w:pPr>
      <w:spacing w:line="20" w:lineRule="exact"/>
    </w:pPr>
    <w:rPr>
      <w:sz w:val="16"/>
    </w:rPr>
  </w:style>
  <w:style w:type="paragraph" w:customStyle="1" w:styleId="HeaderEven">
    <w:name w:val="Header Even"/>
    <w:basedOn w:val="Header"/>
    <w:semiHidden/>
    <w:rsid w:val="00A906F6"/>
  </w:style>
  <w:style w:type="paragraph" w:customStyle="1" w:styleId="HeaderOdd">
    <w:name w:val="Header Odd"/>
    <w:basedOn w:val="Header"/>
    <w:semiHidden/>
    <w:rsid w:val="00A906F6"/>
  </w:style>
  <w:style w:type="character" w:styleId="PageNumber">
    <w:name w:val="page number"/>
    <w:basedOn w:val="DefaultParagraphFont"/>
    <w:rsid w:val="00A906F6"/>
    <w:rPr>
      <w:rFonts w:ascii="Arial" w:hAnsi="Arial"/>
      <w:b/>
      <w:sz w:val="16"/>
    </w:rPr>
  </w:style>
  <w:style w:type="paragraph" w:customStyle="1" w:styleId="Abbreviation">
    <w:name w:val="Abbreviation"/>
    <w:basedOn w:val="BodyText"/>
    <w:rsid w:val="00A906F6"/>
    <w:pPr>
      <w:spacing w:before="120"/>
      <w:ind w:left="2381" w:hanging="2381"/>
      <w:jc w:val="left"/>
    </w:pPr>
  </w:style>
  <w:style w:type="paragraph" w:customStyle="1" w:styleId="Box">
    <w:name w:val="Box"/>
    <w:basedOn w:val="BodyText"/>
    <w:link w:val="BoxChar"/>
    <w:qFormat/>
    <w:rsid w:val="00A906F6"/>
    <w:pPr>
      <w:keepNext/>
      <w:spacing w:before="120" w:line="260" w:lineRule="atLeast"/>
    </w:pPr>
    <w:rPr>
      <w:rFonts w:ascii="Arial" w:hAnsi="Arial"/>
      <w:sz w:val="20"/>
    </w:rPr>
  </w:style>
  <w:style w:type="paragraph" w:customStyle="1" w:styleId="BoxContinued">
    <w:name w:val="Box Continued"/>
    <w:basedOn w:val="BodyText"/>
    <w:next w:val="BodyText"/>
    <w:semiHidden/>
    <w:rsid w:val="00A906F6"/>
    <w:pPr>
      <w:spacing w:before="180" w:line="220" w:lineRule="exact"/>
      <w:jc w:val="right"/>
    </w:pPr>
    <w:rPr>
      <w:rFonts w:ascii="Arial" w:hAnsi="Arial"/>
      <w:sz w:val="18"/>
    </w:rPr>
  </w:style>
  <w:style w:type="paragraph" w:customStyle="1" w:styleId="BoxHeading1">
    <w:name w:val="Box Heading 1"/>
    <w:basedOn w:val="BodyText"/>
    <w:next w:val="Box"/>
    <w:rsid w:val="00A906F6"/>
    <w:pPr>
      <w:keepNext/>
      <w:spacing w:before="200" w:line="280" w:lineRule="atLeast"/>
    </w:pPr>
    <w:rPr>
      <w:rFonts w:ascii="Arial" w:hAnsi="Arial"/>
      <w:b/>
      <w:sz w:val="22"/>
    </w:rPr>
  </w:style>
  <w:style w:type="paragraph" w:customStyle="1" w:styleId="BoxHeading2">
    <w:name w:val="Box Heading 2"/>
    <w:basedOn w:val="BoxHeading1"/>
    <w:next w:val="Normal"/>
    <w:rsid w:val="00A906F6"/>
    <w:rPr>
      <w:b w:val="0"/>
      <w:i/>
    </w:rPr>
  </w:style>
  <w:style w:type="paragraph" w:customStyle="1" w:styleId="BoxListBullet">
    <w:name w:val="Box List Bullet"/>
    <w:basedOn w:val="BodyText"/>
    <w:link w:val="BoxListBulletChar"/>
    <w:rsid w:val="00A906F6"/>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906F6"/>
    <w:pPr>
      <w:numPr>
        <w:numId w:val="2"/>
      </w:numPr>
      <w:ind w:left="568" w:hanging="284"/>
    </w:pPr>
  </w:style>
  <w:style w:type="paragraph" w:customStyle="1" w:styleId="BoxListNumber">
    <w:name w:val="Box List Number"/>
    <w:basedOn w:val="BodyText"/>
    <w:rsid w:val="00A906F6"/>
    <w:pPr>
      <w:keepNext/>
      <w:numPr>
        <w:numId w:val="13"/>
      </w:numPr>
      <w:spacing w:before="100" w:line="260" w:lineRule="atLeast"/>
    </w:pPr>
    <w:rPr>
      <w:rFonts w:ascii="Arial" w:hAnsi="Arial"/>
      <w:sz w:val="20"/>
    </w:rPr>
  </w:style>
  <w:style w:type="paragraph" w:customStyle="1" w:styleId="BoxListNumber2">
    <w:name w:val="Box List Number 2"/>
    <w:basedOn w:val="BoxListNumber"/>
    <w:rsid w:val="00A906F6"/>
    <w:pPr>
      <w:numPr>
        <w:ilvl w:val="1"/>
      </w:numPr>
      <w:ind w:left="681" w:hanging="397"/>
    </w:pPr>
  </w:style>
  <w:style w:type="paragraph" w:customStyle="1" w:styleId="BoxQuote">
    <w:name w:val="Box Quote"/>
    <w:basedOn w:val="BodyText"/>
    <w:next w:val="Box"/>
    <w:qFormat/>
    <w:rsid w:val="00A906F6"/>
    <w:pPr>
      <w:keepNext/>
      <w:spacing w:before="60" w:line="240" w:lineRule="exact"/>
      <w:ind w:left="284"/>
    </w:pPr>
    <w:rPr>
      <w:rFonts w:ascii="Arial" w:hAnsi="Arial"/>
      <w:sz w:val="18"/>
    </w:rPr>
  </w:style>
  <w:style w:type="paragraph" w:customStyle="1" w:styleId="Note">
    <w:name w:val="Note"/>
    <w:basedOn w:val="BodyText"/>
    <w:next w:val="BodyText"/>
    <w:rsid w:val="00A906F6"/>
    <w:pPr>
      <w:keepLines/>
      <w:spacing w:before="80" w:line="220" w:lineRule="exact"/>
    </w:pPr>
    <w:rPr>
      <w:rFonts w:ascii="Arial" w:hAnsi="Arial"/>
      <w:sz w:val="18"/>
    </w:rPr>
  </w:style>
  <w:style w:type="paragraph" w:customStyle="1" w:styleId="Source">
    <w:name w:val="Source"/>
    <w:basedOn w:val="Normal"/>
    <w:next w:val="BodyText"/>
    <w:rsid w:val="00A906F6"/>
    <w:pPr>
      <w:keepLines/>
      <w:spacing w:before="80" w:line="220" w:lineRule="exact"/>
      <w:jc w:val="both"/>
    </w:pPr>
    <w:rPr>
      <w:rFonts w:ascii="Arial" w:hAnsi="Arial"/>
      <w:sz w:val="18"/>
      <w:szCs w:val="20"/>
    </w:rPr>
  </w:style>
  <w:style w:type="paragraph" w:customStyle="1" w:styleId="BoxSource">
    <w:name w:val="Box Source"/>
    <w:basedOn w:val="Source"/>
    <w:next w:val="BodyText"/>
    <w:rsid w:val="00A906F6"/>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906F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A906F6"/>
    <w:pPr>
      <w:spacing w:before="120" w:after="0"/>
    </w:pPr>
  </w:style>
  <w:style w:type="paragraph" w:customStyle="1" w:styleId="BoxSubtitle">
    <w:name w:val="Box Subtitle"/>
    <w:basedOn w:val="BoxTitle"/>
    <w:next w:val="Normal"/>
    <w:rsid w:val="00A906F6"/>
    <w:pPr>
      <w:spacing w:after="80" w:line="200" w:lineRule="exact"/>
      <w:ind w:firstLine="0"/>
    </w:pPr>
    <w:rPr>
      <w:b w:val="0"/>
      <w:sz w:val="20"/>
    </w:rPr>
  </w:style>
  <w:style w:type="paragraph" w:customStyle="1" w:styleId="Chapter">
    <w:name w:val="Chapter"/>
    <w:basedOn w:val="Heading1"/>
    <w:next w:val="BodyText"/>
    <w:semiHidden/>
    <w:rsid w:val="00A906F6"/>
    <w:pPr>
      <w:ind w:left="0" w:firstLine="0"/>
      <w:outlineLvl w:val="9"/>
    </w:pPr>
  </w:style>
  <w:style w:type="paragraph" w:customStyle="1" w:styleId="ChapterSummary">
    <w:name w:val="Chapter Summary"/>
    <w:basedOn w:val="BodyText"/>
    <w:rsid w:val="00A906F6"/>
    <w:pPr>
      <w:spacing w:line="280" w:lineRule="atLeast"/>
      <w:ind w:left="907"/>
    </w:pPr>
    <w:rPr>
      <w:rFonts w:ascii="Arial" w:hAnsi="Arial"/>
      <w:b/>
      <w:sz w:val="20"/>
    </w:rPr>
  </w:style>
  <w:style w:type="character" w:styleId="CommentReference">
    <w:name w:val="annotation reference"/>
    <w:basedOn w:val="DefaultParagraphFont"/>
    <w:semiHidden/>
    <w:rsid w:val="00A906F6"/>
    <w:rPr>
      <w:b/>
      <w:vanish/>
      <w:color w:val="FF00FF"/>
      <w:sz w:val="20"/>
    </w:rPr>
  </w:style>
  <w:style w:type="paragraph" w:styleId="CommentText">
    <w:name w:val="annotation text"/>
    <w:basedOn w:val="Normal"/>
    <w:semiHidden/>
    <w:rsid w:val="00A906F6"/>
    <w:pPr>
      <w:spacing w:before="120" w:line="240" w:lineRule="atLeast"/>
      <w:ind w:left="567" w:hanging="567"/>
    </w:pPr>
    <w:rPr>
      <w:sz w:val="20"/>
    </w:rPr>
  </w:style>
  <w:style w:type="paragraph" w:customStyle="1" w:styleId="Continued">
    <w:name w:val="Continued"/>
    <w:basedOn w:val="BoxContinued"/>
    <w:next w:val="BodyText"/>
    <w:rsid w:val="00A906F6"/>
  </w:style>
  <w:style w:type="character" w:customStyle="1" w:styleId="DocumentInfo">
    <w:name w:val="Document Info"/>
    <w:basedOn w:val="DefaultParagraphFont"/>
    <w:semiHidden/>
    <w:rsid w:val="00A906F6"/>
    <w:rPr>
      <w:rFonts w:ascii="Arial" w:hAnsi="Arial"/>
      <w:sz w:val="14"/>
    </w:rPr>
  </w:style>
  <w:style w:type="character" w:customStyle="1" w:styleId="DraftingNote">
    <w:name w:val="Drafting Note"/>
    <w:basedOn w:val="DefaultParagraphFont"/>
    <w:rsid w:val="00A906F6"/>
    <w:rPr>
      <w:b/>
      <w:color w:val="FF0000"/>
      <w:sz w:val="24"/>
      <w:u w:val="dotted"/>
    </w:rPr>
  </w:style>
  <w:style w:type="paragraph" w:customStyle="1" w:styleId="Figure">
    <w:name w:val="Figure"/>
    <w:basedOn w:val="BodyText"/>
    <w:rsid w:val="00A906F6"/>
    <w:pPr>
      <w:keepNext/>
      <w:spacing w:before="120" w:after="120" w:line="240" w:lineRule="atLeast"/>
      <w:jc w:val="center"/>
    </w:pPr>
  </w:style>
  <w:style w:type="paragraph" w:customStyle="1" w:styleId="FigureTitle">
    <w:name w:val="Figure Title"/>
    <w:basedOn w:val="Caption"/>
    <w:next w:val="Subtitle"/>
    <w:rsid w:val="00A906F6"/>
    <w:pPr>
      <w:spacing w:before="120"/>
    </w:pPr>
  </w:style>
  <w:style w:type="paragraph" w:styleId="Subtitle">
    <w:name w:val="Subtitle"/>
    <w:basedOn w:val="Caption"/>
    <w:link w:val="SubtitleChar"/>
    <w:qFormat/>
    <w:rsid w:val="00A906F6"/>
    <w:pPr>
      <w:spacing w:before="0" w:line="200" w:lineRule="exact"/>
      <w:ind w:firstLine="0"/>
    </w:pPr>
    <w:rPr>
      <w:b w:val="0"/>
      <w:sz w:val="20"/>
    </w:rPr>
  </w:style>
  <w:style w:type="paragraph" w:customStyle="1" w:styleId="Finding">
    <w:name w:val="Finding"/>
    <w:basedOn w:val="BodyText"/>
    <w:rsid w:val="00A906F6"/>
    <w:pPr>
      <w:keepLines/>
      <w:spacing w:before="120" w:line="280" w:lineRule="atLeast"/>
    </w:pPr>
    <w:rPr>
      <w:rFonts w:ascii="Arial" w:hAnsi="Arial"/>
      <w:sz w:val="22"/>
    </w:rPr>
  </w:style>
  <w:style w:type="paragraph" w:customStyle="1" w:styleId="FindingBullet">
    <w:name w:val="Finding Bullet"/>
    <w:basedOn w:val="Finding"/>
    <w:rsid w:val="00A906F6"/>
    <w:pPr>
      <w:numPr>
        <w:numId w:val="3"/>
      </w:numPr>
      <w:spacing w:before="80"/>
    </w:pPr>
  </w:style>
  <w:style w:type="paragraph" w:customStyle="1" w:styleId="FindingNoTitle">
    <w:name w:val="Finding NoTitle"/>
    <w:basedOn w:val="Finding"/>
    <w:rsid w:val="00A906F6"/>
    <w:pPr>
      <w:spacing w:before="240"/>
    </w:pPr>
  </w:style>
  <w:style w:type="paragraph" w:customStyle="1" w:styleId="RecTitle">
    <w:name w:val="Rec Title"/>
    <w:basedOn w:val="BodyText"/>
    <w:next w:val="Rec"/>
    <w:qFormat/>
    <w:rsid w:val="00A906F6"/>
    <w:pPr>
      <w:keepNext/>
      <w:keepLines/>
      <w:spacing w:line="280" w:lineRule="atLeast"/>
    </w:pPr>
    <w:rPr>
      <w:rFonts w:ascii="Arial" w:hAnsi="Arial"/>
      <w:caps/>
      <w:sz w:val="18"/>
    </w:rPr>
  </w:style>
  <w:style w:type="paragraph" w:customStyle="1" w:styleId="FindingTitle">
    <w:name w:val="Finding Title"/>
    <w:basedOn w:val="RecTitle"/>
    <w:next w:val="Finding"/>
    <w:rsid w:val="00A906F6"/>
  </w:style>
  <w:style w:type="character" w:styleId="FootnoteReference">
    <w:name w:val="footnote reference"/>
    <w:basedOn w:val="DefaultParagraphFont"/>
    <w:semiHidden/>
    <w:rsid w:val="00A906F6"/>
    <w:rPr>
      <w:rFonts w:ascii="Times New Roman" w:hAnsi="Times New Roman"/>
      <w:position w:val="6"/>
      <w:sz w:val="20"/>
      <w:vertAlign w:val="baseline"/>
    </w:rPr>
  </w:style>
  <w:style w:type="paragraph" w:styleId="FootnoteText">
    <w:name w:val="footnote text"/>
    <w:basedOn w:val="BodyText"/>
    <w:rsid w:val="00A906F6"/>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906F6"/>
    <w:rPr>
      <w:i/>
    </w:rPr>
  </w:style>
  <w:style w:type="paragraph" w:customStyle="1" w:styleId="Jurisdictioncommentsbodytext">
    <w:name w:val="Jurisdiction comments body text"/>
    <w:rsid w:val="00A906F6"/>
    <w:pPr>
      <w:spacing w:after="140"/>
      <w:jc w:val="both"/>
    </w:pPr>
    <w:rPr>
      <w:rFonts w:ascii="Arial" w:hAnsi="Arial"/>
      <w:sz w:val="24"/>
      <w:lang w:eastAsia="en-US"/>
    </w:rPr>
  </w:style>
  <w:style w:type="paragraph" w:customStyle="1" w:styleId="Jurisdictioncommentsheading">
    <w:name w:val="Jurisdiction comments heading"/>
    <w:rsid w:val="00A906F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906F6"/>
    <w:pPr>
      <w:numPr>
        <w:numId w:val="4"/>
      </w:numPr>
      <w:spacing w:after="140"/>
      <w:jc w:val="both"/>
    </w:pPr>
    <w:rPr>
      <w:rFonts w:ascii="Arial" w:hAnsi="Arial"/>
      <w:sz w:val="24"/>
      <w:lang w:eastAsia="en-US"/>
    </w:rPr>
  </w:style>
  <w:style w:type="paragraph" w:styleId="ListBullet">
    <w:name w:val="List Bullet"/>
    <w:basedOn w:val="BodyText"/>
    <w:rsid w:val="00A906F6"/>
    <w:pPr>
      <w:numPr>
        <w:numId w:val="5"/>
      </w:numPr>
      <w:spacing w:before="120"/>
    </w:pPr>
  </w:style>
  <w:style w:type="paragraph" w:styleId="ListBullet2">
    <w:name w:val="List Bullet 2"/>
    <w:basedOn w:val="BodyText"/>
    <w:rsid w:val="00A906F6"/>
    <w:pPr>
      <w:numPr>
        <w:numId w:val="6"/>
      </w:numPr>
      <w:spacing w:before="120"/>
    </w:pPr>
  </w:style>
  <w:style w:type="paragraph" w:styleId="ListBullet3">
    <w:name w:val="List Bullet 3"/>
    <w:basedOn w:val="BodyText"/>
    <w:rsid w:val="00A906F6"/>
    <w:pPr>
      <w:numPr>
        <w:numId w:val="7"/>
      </w:numPr>
      <w:spacing w:before="120"/>
      <w:ind w:left="1020" w:hanging="340"/>
    </w:pPr>
  </w:style>
  <w:style w:type="paragraph" w:styleId="ListNumber">
    <w:name w:val="List Number"/>
    <w:basedOn w:val="BodyText"/>
    <w:rsid w:val="00A906F6"/>
    <w:pPr>
      <w:numPr>
        <w:numId w:val="12"/>
      </w:numPr>
      <w:spacing w:before="120"/>
    </w:pPr>
  </w:style>
  <w:style w:type="paragraph" w:styleId="ListNumber2">
    <w:name w:val="List Number 2"/>
    <w:basedOn w:val="ListNumber"/>
    <w:rsid w:val="00A906F6"/>
    <w:pPr>
      <w:numPr>
        <w:ilvl w:val="1"/>
      </w:numPr>
    </w:pPr>
  </w:style>
  <w:style w:type="paragraph" w:styleId="ListNumber3">
    <w:name w:val="List Number 3"/>
    <w:basedOn w:val="ListNumber2"/>
    <w:rsid w:val="00A906F6"/>
    <w:pPr>
      <w:numPr>
        <w:ilvl w:val="2"/>
      </w:numPr>
    </w:pPr>
  </w:style>
  <w:style w:type="character" w:customStyle="1" w:styleId="NoteLabel">
    <w:name w:val="Note Label"/>
    <w:basedOn w:val="DefaultParagraphFont"/>
    <w:rsid w:val="00A906F6"/>
    <w:rPr>
      <w:rFonts w:ascii="Arial" w:hAnsi="Arial"/>
      <w:b/>
      <w:position w:val="6"/>
      <w:sz w:val="18"/>
    </w:rPr>
  </w:style>
  <w:style w:type="paragraph" w:customStyle="1" w:styleId="PartDivider">
    <w:name w:val="Part Divider"/>
    <w:basedOn w:val="BodyText"/>
    <w:next w:val="BodyText"/>
    <w:semiHidden/>
    <w:rsid w:val="00A906F6"/>
    <w:pPr>
      <w:spacing w:before="0" w:line="40" w:lineRule="exact"/>
      <w:jc w:val="right"/>
    </w:pPr>
    <w:rPr>
      <w:smallCaps/>
      <w:sz w:val="16"/>
    </w:rPr>
  </w:style>
  <w:style w:type="paragraph" w:customStyle="1" w:styleId="PartNumber">
    <w:name w:val="Part Number"/>
    <w:basedOn w:val="BodyText"/>
    <w:next w:val="BodyText"/>
    <w:semiHidden/>
    <w:rsid w:val="00A906F6"/>
    <w:pPr>
      <w:spacing w:before="4000" w:line="320" w:lineRule="exact"/>
      <w:ind w:left="6634"/>
      <w:jc w:val="right"/>
    </w:pPr>
    <w:rPr>
      <w:smallCaps/>
      <w:spacing w:val="60"/>
      <w:sz w:val="32"/>
    </w:rPr>
  </w:style>
  <w:style w:type="paragraph" w:customStyle="1" w:styleId="PartTitle">
    <w:name w:val="Part Title"/>
    <w:basedOn w:val="BodyText"/>
    <w:semiHidden/>
    <w:rsid w:val="00A906F6"/>
    <w:pPr>
      <w:spacing w:before="160" w:after="1360" w:line="520" w:lineRule="exact"/>
      <w:ind w:right="2381"/>
      <w:jc w:val="right"/>
    </w:pPr>
    <w:rPr>
      <w:smallCaps/>
      <w:sz w:val="52"/>
    </w:rPr>
  </w:style>
  <w:style w:type="paragraph" w:styleId="Quote">
    <w:name w:val="Quote"/>
    <w:basedOn w:val="BodyText"/>
    <w:next w:val="BodyText"/>
    <w:qFormat/>
    <w:rsid w:val="00A906F6"/>
    <w:pPr>
      <w:spacing w:before="120" w:line="280" w:lineRule="exact"/>
      <w:ind w:left="340"/>
    </w:pPr>
    <w:rPr>
      <w:sz w:val="22"/>
    </w:rPr>
  </w:style>
  <w:style w:type="paragraph" w:customStyle="1" w:styleId="QuoteBullet">
    <w:name w:val="Quote Bullet"/>
    <w:basedOn w:val="Quote"/>
    <w:rsid w:val="00A906F6"/>
    <w:pPr>
      <w:numPr>
        <w:numId w:val="8"/>
      </w:numPr>
    </w:pPr>
  </w:style>
  <w:style w:type="paragraph" w:customStyle="1" w:styleId="Rec">
    <w:name w:val="Rec"/>
    <w:basedOn w:val="BodyText"/>
    <w:qFormat/>
    <w:rsid w:val="00A906F6"/>
    <w:pPr>
      <w:keepLines/>
      <w:spacing w:before="120" w:line="280" w:lineRule="atLeast"/>
    </w:pPr>
    <w:rPr>
      <w:rFonts w:ascii="Arial" w:hAnsi="Arial"/>
      <w:sz w:val="22"/>
    </w:rPr>
  </w:style>
  <w:style w:type="paragraph" w:customStyle="1" w:styleId="RecBullet">
    <w:name w:val="Rec Bullet"/>
    <w:basedOn w:val="Rec"/>
    <w:rsid w:val="00A906F6"/>
    <w:pPr>
      <w:numPr>
        <w:numId w:val="9"/>
      </w:numPr>
      <w:spacing w:before="80"/>
    </w:pPr>
  </w:style>
  <w:style w:type="paragraph" w:customStyle="1" w:styleId="RecB">
    <w:name w:val="RecB"/>
    <w:basedOn w:val="Normal"/>
    <w:rsid w:val="00A906F6"/>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906F6"/>
    <w:pPr>
      <w:numPr>
        <w:numId w:val="14"/>
      </w:numPr>
      <w:spacing w:before="80"/>
    </w:pPr>
  </w:style>
  <w:style w:type="paragraph" w:customStyle="1" w:styleId="RecBNoTitle">
    <w:name w:val="RecB NoTitle"/>
    <w:basedOn w:val="RecB"/>
    <w:rsid w:val="00A906F6"/>
    <w:pPr>
      <w:spacing w:before="240"/>
    </w:pPr>
  </w:style>
  <w:style w:type="paragraph" w:customStyle="1" w:styleId="Reference">
    <w:name w:val="Reference"/>
    <w:basedOn w:val="BodyText"/>
    <w:rsid w:val="00A906F6"/>
    <w:pPr>
      <w:spacing w:before="120"/>
      <w:ind w:left="340" w:hanging="340"/>
    </w:pPr>
  </w:style>
  <w:style w:type="paragraph" w:customStyle="1" w:styleId="SequenceInfo">
    <w:name w:val="Sequence Info"/>
    <w:basedOn w:val="BodyText"/>
    <w:semiHidden/>
    <w:rsid w:val="00A906F6"/>
    <w:rPr>
      <w:vanish/>
      <w:sz w:val="16"/>
    </w:rPr>
  </w:style>
  <w:style w:type="paragraph" w:customStyle="1" w:styleId="SideNote">
    <w:name w:val="Side Note"/>
    <w:basedOn w:val="BodyText"/>
    <w:next w:val="BodyText"/>
    <w:semiHidden/>
    <w:rsid w:val="00A906F6"/>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906F6"/>
    <w:pPr>
      <w:framePr w:wrap="around"/>
      <w:numPr>
        <w:numId w:val="10"/>
      </w:numPr>
      <w:tabs>
        <w:tab w:val="left" w:pos="227"/>
      </w:tabs>
    </w:pPr>
  </w:style>
  <w:style w:type="paragraph" w:customStyle="1" w:styleId="SideNoteGraphic">
    <w:name w:val="Side Note Graphic"/>
    <w:basedOn w:val="SideNote"/>
    <w:next w:val="BodyText"/>
    <w:semiHidden/>
    <w:rsid w:val="00A906F6"/>
    <w:pPr>
      <w:framePr w:wrap="around"/>
    </w:pPr>
  </w:style>
  <w:style w:type="paragraph" w:customStyle="1" w:styleId="TableBodyText">
    <w:name w:val="Table Body Text"/>
    <w:basedOn w:val="BodyText"/>
    <w:rsid w:val="00A906F6"/>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906F6"/>
    <w:pPr>
      <w:numPr>
        <w:numId w:val="11"/>
      </w:numPr>
      <w:jc w:val="left"/>
    </w:pPr>
  </w:style>
  <w:style w:type="paragraph" w:customStyle="1" w:styleId="TableColumnHeading">
    <w:name w:val="Table Column Heading"/>
    <w:basedOn w:val="TableBodyText"/>
    <w:rsid w:val="00A906F6"/>
    <w:pPr>
      <w:spacing w:before="80" w:after="80"/>
    </w:pPr>
    <w:rPr>
      <w:i/>
    </w:rPr>
  </w:style>
  <w:style w:type="paragraph" w:styleId="TOC2">
    <w:name w:val="toc 2"/>
    <w:basedOn w:val="TOC1"/>
    <w:rsid w:val="00A906F6"/>
    <w:pPr>
      <w:ind w:left="1134" w:hanging="624"/>
    </w:pPr>
    <w:rPr>
      <w:b w:val="0"/>
    </w:rPr>
  </w:style>
  <w:style w:type="paragraph" w:styleId="TOC3">
    <w:name w:val="toc 3"/>
    <w:basedOn w:val="TOC2"/>
    <w:rsid w:val="00A906F6"/>
    <w:pPr>
      <w:spacing w:before="60"/>
      <w:ind w:left="1190" w:hanging="680"/>
    </w:pPr>
  </w:style>
  <w:style w:type="paragraph" w:styleId="TableofFigures">
    <w:name w:val="table of figures"/>
    <w:basedOn w:val="TOC3"/>
    <w:next w:val="BodyText"/>
    <w:rsid w:val="00A906F6"/>
    <w:pPr>
      <w:ind w:left="737" w:hanging="737"/>
    </w:pPr>
  </w:style>
  <w:style w:type="paragraph" w:customStyle="1" w:styleId="TableTitle">
    <w:name w:val="Table Title"/>
    <w:basedOn w:val="Caption"/>
    <w:next w:val="Subtitle"/>
    <w:qFormat/>
    <w:rsid w:val="00A906F6"/>
    <w:pPr>
      <w:spacing w:before="120"/>
    </w:pPr>
  </w:style>
  <w:style w:type="paragraph" w:customStyle="1" w:styleId="TableUnitsRow">
    <w:name w:val="Table Units Row"/>
    <w:basedOn w:val="TableBodyText"/>
    <w:rsid w:val="00A906F6"/>
    <w:pPr>
      <w:spacing w:before="40"/>
    </w:pPr>
  </w:style>
  <w:style w:type="paragraph" w:styleId="TOC1">
    <w:name w:val="toc 1"/>
    <w:basedOn w:val="Normal"/>
    <w:next w:val="TOC2"/>
    <w:link w:val="TOC1Char"/>
    <w:rsid w:val="00A906F6"/>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906F6"/>
    <w:pPr>
      <w:ind w:left="1191" w:firstLine="0"/>
    </w:pPr>
  </w:style>
  <w:style w:type="paragraph" w:styleId="BalloonText">
    <w:name w:val="Balloon Text"/>
    <w:basedOn w:val="Normal"/>
    <w:link w:val="BalloonTextChar"/>
    <w:rsid w:val="00A906F6"/>
    <w:rPr>
      <w:rFonts w:ascii="Tahoma" w:hAnsi="Tahoma" w:cs="Tahoma"/>
      <w:sz w:val="16"/>
      <w:szCs w:val="16"/>
    </w:rPr>
  </w:style>
  <w:style w:type="table" w:styleId="TableGrid">
    <w:name w:val="Table Grid"/>
    <w:basedOn w:val="TableNormal"/>
    <w:rsid w:val="00A906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986A8B"/>
    <w:pPr>
      <w:shd w:val="clear" w:color="auto" w:fill="000080"/>
    </w:pPr>
    <w:rPr>
      <w:rFonts w:ascii="Tahoma" w:hAnsi="Tahoma" w:cs="Tahoma"/>
      <w:sz w:val="20"/>
      <w:szCs w:val="20"/>
    </w:rPr>
  </w:style>
  <w:style w:type="numbering" w:customStyle="1" w:styleId="Style1">
    <w:name w:val="Style1"/>
    <w:rsid w:val="00986A8B"/>
    <w:pPr>
      <w:numPr>
        <w:numId w:val="15"/>
      </w:numPr>
    </w:pPr>
  </w:style>
  <w:style w:type="paragraph" w:styleId="CommentSubject">
    <w:name w:val="annotation subject"/>
    <w:basedOn w:val="CommentText"/>
    <w:next w:val="CommentText"/>
    <w:semiHidden/>
    <w:rsid w:val="00986A8B"/>
    <w:pPr>
      <w:spacing w:before="0" w:line="240" w:lineRule="auto"/>
      <w:ind w:left="0" w:firstLine="0"/>
    </w:pPr>
    <w:rPr>
      <w:b/>
      <w:bCs/>
      <w:szCs w:val="20"/>
    </w:rPr>
  </w:style>
  <w:style w:type="character" w:styleId="Emphasis">
    <w:name w:val="Emphasis"/>
    <w:basedOn w:val="DefaultParagraphFont"/>
    <w:rsid w:val="00A906F6"/>
    <w:rPr>
      <w:i/>
      <w:iCs/>
    </w:rPr>
  </w:style>
  <w:style w:type="character" w:customStyle="1" w:styleId="amcdonald">
    <w:name w:val="amcdonald"/>
    <w:semiHidden/>
    <w:rsid w:val="00F73BFB"/>
    <w:rPr>
      <w:rFonts w:ascii="Arial" w:hAnsi="Arial" w:cs="Arial"/>
      <w:color w:val="000080"/>
      <w:sz w:val="20"/>
      <w:szCs w:val="20"/>
    </w:rPr>
  </w:style>
  <w:style w:type="character" w:styleId="Hyperlink">
    <w:name w:val="Hyperlink"/>
    <w:basedOn w:val="DefaultParagraphFont"/>
    <w:uiPriority w:val="99"/>
    <w:unhideWhenUsed/>
    <w:rsid w:val="009165C9"/>
    <w:rPr>
      <w:color w:val="78A22F" w:themeColor="hyperlink"/>
      <w:u w:val="single"/>
    </w:rPr>
  </w:style>
  <w:style w:type="character" w:customStyle="1" w:styleId="SubtitleChar">
    <w:name w:val="Subtitle Char"/>
    <w:basedOn w:val="DefaultParagraphFont"/>
    <w:link w:val="Subtitle"/>
    <w:rsid w:val="00A906F6"/>
    <w:rPr>
      <w:rFonts w:ascii="Arial" w:hAnsi="Arial"/>
      <w:szCs w:val="24"/>
    </w:rPr>
  </w:style>
  <w:style w:type="character" w:customStyle="1" w:styleId="BodyTextChar">
    <w:name w:val="Body Text Char"/>
    <w:basedOn w:val="DefaultParagraphFont"/>
    <w:link w:val="BodyText"/>
    <w:rsid w:val="00A906F6"/>
    <w:rPr>
      <w:sz w:val="24"/>
    </w:rPr>
  </w:style>
  <w:style w:type="paragraph" w:customStyle="1" w:styleId="BoxSpaceAbove">
    <w:name w:val="Box Space Above"/>
    <w:basedOn w:val="BodyText"/>
    <w:rsid w:val="00A906F6"/>
    <w:pPr>
      <w:keepNext/>
      <w:spacing w:before="360" w:line="80" w:lineRule="exact"/>
      <w:jc w:val="left"/>
    </w:pPr>
  </w:style>
  <w:style w:type="paragraph" w:customStyle="1" w:styleId="RecBBullet2">
    <w:name w:val="RecB Bullet 2"/>
    <w:basedOn w:val="ListBullet2"/>
    <w:semiHidden/>
    <w:rsid w:val="00A906F6"/>
    <w:pPr>
      <w:pBdr>
        <w:left w:val="single" w:sz="24" w:space="29" w:color="C0C0C0"/>
      </w:pBdr>
    </w:pPr>
    <w:rPr>
      <w:b/>
      <w:i/>
    </w:rPr>
  </w:style>
  <w:style w:type="character" w:customStyle="1" w:styleId="BalloonTextChar">
    <w:name w:val="Balloon Text Char"/>
    <w:basedOn w:val="DefaultParagraphFont"/>
    <w:link w:val="BalloonText"/>
    <w:rsid w:val="00A906F6"/>
    <w:rPr>
      <w:rFonts w:ascii="Tahoma" w:hAnsi="Tahoma" w:cs="Tahoma"/>
      <w:sz w:val="16"/>
      <w:szCs w:val="16"/>
    </w:rPr>
  </w:style>
  <w:style w:type="paragraph" w:customStyle="1" w:styleId="BoxListBullet3">
    <w:name w:val="Box List Bullet 3"/>
    <w:basedOn w:val="ListBullet3"/>
    <w:rsid w:val="00A906F6"/>
    <w:pPr>
      <w:numPr>
        <w:numId w:val="18"/>
      </w:numPr>
      <w:tabs>
        <w:tab w:val="left" w:pos="907"/>
      </w:tabs>
      <w:spacing w:before="60" w:line="260" w:lineRule="atLeast"/>
      <w:ind w:left="907" w:hanging="340"/>
    </w:pPr>
    <w:rPr>
      <w:rFonts w:ascii="Arial" w:hAnsi="Arial"/>
      <w:sz w:val="20"/>
    </w:rPr>
  </w:style>
  <w:style w:type="paragraph" w:customStyle="1" w:styleId="BoxQuoteBullet">
    <w:name w:val="Box Quote Bullet"/>
    <w:basedOn w:val="BoxQuote"/>
    <w:next w:val="Box"/>
    <w:rsid w:val="00A906F6"/>
    <w:pPr>
      <w:numPr>
        <w:numId w:val="16"/>
      </w:numPr>
      <w:ind w:left="568" w:hanging="284"/>
    </w:pPr>
  </w:style>
  <w:style w:type="paragraph" w:customStyle="1" w:styleId="InformationRequestBullet">
    <w:name w:val="Information Request Bullet"/>
    <w:basedOn w:val="ListBullet"/>
    <w:next w:val="BodyText"/>
    <w:rsid w:val="00A906F6"/>
    <w:pPr>
      <w:numPr>
        <w:numId w:val="17"/>
      </w:numPr>
      <w:spacing w:before="80" w:line="280" w:lineRule="atLeast"/>
      <w:ind w:left="357" w:hanging="357"/>
    </w:pPr>
    <w:rPr>
      <w:rFonts w:ascii="Arial" w:hAnsi="Arial"/>
      <w:i/>
      <w:sz w:val="22"/>
    </w:rPr>
  </w:style>
  <w:style w:type="paragraph" w:customStyle="1" w:styleId="BoxSpaceBelow">
    <w:name w:val="Box Space Below"/>
    <w:basedOn w:val="Box"/>
    <w:rsid w:val="00A906F6"/>
    <w:pPr>
      <w:keepNext w:val="0"/>
      <w:spacing w:before="60" w:after="60" w:line="80" w:lineRule="exact"/>
    </w:pPr>
    <w:rPr>
      <w:sz w:val="14"/>
    </w:rPr>
  </w:style>
  <w:style w:type="character" w:customStyle="1" w:styleId="Heading5Char">
    <w:name w:val="Heading 5 Char"/>
    <w:basedOn w:val="DefaultParagraphFont"/>
    <w:link w:val="Heading5"/>
    <w:rsid w:val="00A906F6"/>
    <w:rPr>
      <w:rFonts w:ascii="Arial" w:hAnsi="Arial"/>
      <w:i/>
      <w:sz w:val="22"/>
    </w:rPr>
  </w:style>
  <w:style w:type="character" w:styleId="PlaceholderText">
    <w:name w:val="Placeholder Text"/>
    <w:basedOn w:val="DefaultParagraphFont"/>
    <w:uiPriority w:val="99"/>
    <w:semiHidden/>
    <w:rsid w:val="00DC3959"/>
    <w:rPr>
      <w:color w:val="808080"/>
    </w:rPr>
  </w:style>
  <w:style w:type="paragraph" w:styleId="NormalWeb">
    <w:name w:val="Normal (Web)"/>
    <w:basedOn w:val="Normal"/>
    <w:uiPriority w:val="99"/>
    <w:unhideWhenUsed/>
    <w:rsid w:val="00730133"/>
    <w:pPr>
      <w:spacing w:before="100" w:beforeAutospacing="1" w:after="100" w:afterAutospacing="1"/>
    </w:pPr>
  </w:style>
  <w:style w:type="paragraph" w:customStyle="1" w:styleId="Default">
    <w:name w:val="Default"/>
    <w:rsid w:val="003D5E49"/>
    <w:pPr>
      <w:autoSpaceDE w:val="0"/>
      <w:autoSpaceDN w:val="0"/>
      <w:adjustRightInd w:val="0"/>
    </w:pPr>
    <w:rPr>
      <w:color w:val="000000"/>
      <w:sz w:val="24"/>
      <w:szCs w:val="24"/>
    </w:rPr>
  </w:style>
  <w:style w:type="character" w:customStyle="1" w:styleId="BoxListBulletChar">
    <w:name w:val="Box List Bullet Char"/>
    <w:basedOn w:val="DefaultParagraphFont"/>
    <w:link w:val="BoxListBullet"/>
    <w:rsid w:val="0077386C"/>
    <w:rPr>
      <w:rFonts w:ascii="Arial" w:hAnsi="Arial"/>
    </w:rPr>
  </w:style>
  <w:style w:type="character" w:styleId="FollowedHyperlink">
    <w:name w:val="FollowedHyperlink"/>
    <w:basedOn w:val="DefaultParagraphFont"/>
    <w:rsid w:val="00897587"/>
    <w:rPr>
      <w:color w:val="387DD2" w:themeColor="followedHyperlink"/>
      <w:u w:val="single"/>
    </w:rPr>
  </w:style>
  <w:style w:type="paragraph" w:customStyle="1" w:styleId="TableBullet2">
    <w:name w:val="Table Bullet 2"/>
    <w:basedOn w:val="TableBullet"/>
    <w:rsid w:val="00980E2D"/>
    <w:pPr>
      <w:numPr>
        <w:numId w:val="19"/>
      </w:numPr>
      <w:spacing w:after="60"/>
      <w:ind w:left="709"/>
    </w:pPr>
  </w:style>
  <w:style w:type="character" w:customStyle="1" w:styleId="Heading3Char">
    <w:name w:val="Heading 3 Char"/>
    <w:basedOn w:val="DefaultParagraphFont"/>
    <w:link w:val="Heading3"/>
    <w:rsid w:val="004F5C77"/>
    <w:rPr>
      <w:rFonts w:ascii="Arial" w:hAnsi="Arial"/>
      <w:b/>
      <w:sz w:val="26"/>
    </w:rPr>
  </w:style>
  <w:style w:type="paragraph" w:styleId="ListParagraph">
    <w:name w:val="List Paragraph"/>
    <w:basedOn w:val="Normal"/>
    <w:uiPriority w:val="34"/>
    <w:qFormat/>
    <w:rsid w:val="00E512DE"/>
    <w:pPr>
      <w:ind w:left="720"/>
    </w:pPr>
  </w:style>
  <w:style w:type="paragraph" w:customStyle="1" w:styleId="KeyPointsListBullet">
    <w:name w:val="Key Points List Bullet"/>
    <w:basedOn w:val="Normal"/>
    <w:qFormat/>
    <w:rsid w:val="00A906F6"/>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906F6"/>
    <w:pPr>
      <w:numPr>
        <w:numId w:val="21"/>
      </w:numPr>
      <w:ind w:left="568" w:hanging="284"/>
    </w:pPr>
  </w:style>
  <w:style w:type="paragraph" w:customStyle="1" w:styleId="InformationRequestTitle">
    <w:name w:val="Information Request Title"/>
    <w:basedOn w:val="FindingTitle"/>
    <w:next w:val="InformationRequest"/>
    <w:rsid w:val="00A906F6"/>
    <w:rPr>
      <w:i/>
    </w:rPr>
  </w:style>
  <w:style w:type="paragraph" w:customStyle="1" w:styleId="Space">
    <w:name w:val="Space"/>
    <w:basedOn w:val="Normal"/>
    <w:rsid w:val="00A906F6"/>
    <w:pPr>
      <w:keepNext/>
      <w:spacing w:line="120" w:lineRule="exact"/>
      <w:jc w:val="both"/>
    </w:pPr>
    <w:rPr>
      <w:rFonts w:ascii="Arial" w:hAnsi="Arial"/>
      <w:sz w:val="20"/>
      <w:szCs w:val="20"/>
    </w:rPr>
  </w:style>
  <w:style w:type="paragraph" w:customStyle="1" w:styleId="Heading1nochapterno">
    <w:name w:val="Heading 1 (no chapter no.)"/>
    <w:basedOn w:val="Heading1"/>
    <w:rsid w:val="00A906F6"/>
    <w:pPr>
      <w:spacing w:before="0"/>
      <w:ind w:left="0" w:firstLine="0"/>
    </w:pPr>
  </w:style>
  <w:style w:type="paragraph" w:customStyle="1" w:styleId="Heading2nosectionno">
    <w:name w:val="Heading 2 (no section no.)"/>
    <w:basedOn w:val="Heading2"/>
    <w:rsid w:val="00A906F6"/>
    <w:pPr>
      <w:ind w:left="0" w:firstLine="0"/>
    </w:pPr>
  </w:style>
  <w:style w:type="paragraph" w:customStyle="1" w:styleId="Figurespace">
    <w:name w:val="Figure space"/>
    <w:basedOn w:val="Box"/>
    <w:rsid w:val="00A906F6"/>
    <w:pPr>
      <w:spacing w:before="0" w:line="120" w:lineRule="exact"/>
    </w:pPr>
  </w:style>
  <w:style w:type="paragraph" w:customStyle="1" w:styleId="FooterDraftReport">
    <w:name w:val="FooterDraftReport"/>
    <w:basedOn w:val="Footer"/>
    <w:link w:val="FooterDraftReportChar"/>
    <w:rsid w:val="00A906F6"/>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906F6"/>
    <w:rPr>
      <w:rFonts w:ascii="Arial" w:hAnsi="Arial"/>
      <w:caps/>
      <w:spacing w:val="-4"/>
      <w:sz w:val="16"/>
    </w:rPr>
  </w:style>
  <w:style w:type="character" w:customStyle="1" w:styleId="FooterDraftReportChar">
    <w:name w:val="FooterDraftReport Char"/>
    <w:basedOn w:val="FooterChar"/>
    <w:link w:val="FooterDraftReport"/>
    <w:rsid w:val="00A906F6"/>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906F6"/>
    <w:rPr>
      <w:rFonts w:ascii="Arial" w:hAnsi="Arial"/>
      <w:b/>
      <w:sz w:val="26"/>
      <w:szCs w:val="26"/>
      <w:lang w:eastAsia="en-US"/>
    </w:rPr>
  </w:style>
  <w:style w:type="character" w:customStyle="1" w:styleId="BoxChar">
    <w:name w:val="Box Char"/>
    <w:basedOn w:val="BodyTextChar"/>
    <w:link w:val="Box"/>
    <w:rsid w:val="00935D78"/>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6621">
      <w:bodyDiv w:val="1"/>
      <w:marLeft w:val="0"/>
      <w:marRight w:val="0"/>
      <w:marTop w:val="0"/>
      <w:marBottom w:val="0"/>
      <w:divBdr>
        <w:top w:val="none" w:sz="0" w:space="0" w:color="auto"/>
        <w:left w:val="none" w:sz="0" w:space="0" w:color="auto"/>
        <w:bottom w:val="none" w:sz="0" w:space="0" w:color="auto"/>
        <w:right w:val="none" w:sz="0" w:space="0" w:color="auto"/>
      </w:divBdr>
    </w:div>
    <w:div w:id="23219022">
      <w:bodyDiv w:val="1"/>
      <w:marLeft w:val="0"/>
      <w:marRight w:val="0"/>
      <w:marTop w:val="0"/>
      <w:marBottom w:val="0"/>
      <w:divBdr>
        <w:top w:val="none" w:sz="0" w:space="0" w:color="auto"/>
        <w:left w:val="none" w:sz="0" w:space="0" w:color="auto"/>
        <w:bottom w:val="none" w:sz="0" w:space="0" w:color="auto"/>
        <w:right w:val="none" w:sz="0" w:space="0" w:color="auto"/>
      </w:divBdr>
    </w:div>
    <w:div w:id="23675845">
      <w:bodyDiv w:val="1"/>
      <w:marLeft w:val="0"/>
      <w:marRight w:val="0"/>
      <w:marTop w:val="0"/>
      <w:marBottom w:val="0"/>
      <w:divBdr>
        <w:top w:val="none" w:sz="0" w:space="0" w:color="auto"/>
        <w:left w:val="none" w:sz="0" w:space="0" w:color="auto"/>
        <w:bottom w:val="none" w:sz="0" w:space="0" w:color="auto"/>
        <w:right w:val="none" w:sz="0" w:space="0" w:color="auto"/>
      </w:divBdr>
    </w:div>
    <w:div w:id="65303906">
      <w:bodyDiv w:val="1"/>
      <w:marLeft w:val="0"/>
      <w:marRight w:val="0"/>
      <w:marTop w:val="0"/>
      <w:marBottom w:val="0"/>
      <w:divBdr>
        <w:top w:val="none" w:sz="0" w:space="0" w:color="auto"/>
        <w:left w:val="none" w:sz="0" w:space="0" w:color="auto"/>
        <w:bottom w:val="none" w:sz="0" w:space="0" w:color="auto"/>
        <w:right w:val="none" w:sz="0" w:space="0" w:color="auto"/>
      </w:divBdr>
    </w:div>
    <w:div w:id="66001355">
      <w:bodyDiv w:val="1"/>
      <w:marLeft w:val="0"/>
      <w:marRight w:val="0"/>
      <w:marTop w:val="0"/>
      <w:marBottom w:val="0"/>
      <w:divBdr>
        <w:top w:val="none" w:sz="0" w:space="0" w:color="auto"/>
        <w:left w:val="none" w:sz="0" w:space="0" w:color="auto"/>
        <w:bottom w:val="none" w:sz="0" w:space="0" w:color="auto"/>
        <w:right w:val="none" w:sz="0" w:space="0" w:color="auto"/>
      </w:divBdr>
    </w:div>
    <w:div w:id="70736544">
      <w:bodyDiv w:val="1"/>
      <w:marLeft w:val="0"/>
      <w:marRight w:val="0"/>
      <w:marTop w:val="0"/>
      <w:marBottom w:val="0"/>
      <w:divBdr>
        <w:top w:val="none" w:sz="0" w:space="0" w:color="auto"/>
        <w:left w:val="none" w:sz="0" w:space="0" w:color="auto"/>
        <w:bottom w:val="none" w:sz="0" w:space="0" w:color="auto"/>
        <w:right w:val="none" w:sz="0" w:space="0" w:color="auto"/>
      </w:divBdr>
    </w:div>
    <w:div w:id="87234242">
      <w:bodyDiv w:val="1"/>
      <w:marLeft w:val="0"/>
      <w:marRight w:val="0"/>
      <w:marTop w:val="0"/>
      <w:marBottom w:val="0"/>
      <w:divBdr>
        <w:top w:val="none" w:sz="0" w:space="0" w:color="auto"/>
        <w:left w:val="none" w:sz="0" w:space="0" w:color="auto"/>
        <w:bottom w:val="none" w:sz="0" w:space="0" w:color="auto"/>
        <w:right w:val="none" w:sz="0" w:space="0" w:color="auto"/>
      </w:divBdr>
    </w:div>
    <w:div w:id="91902595">
      <w:bodyDiv w:val="1"/>
      <w:marLeft w:val="0"/>
      <w:marRight w:val="0"/>
      <w:marTop w:val="0"/>
      <w:marBottom w:val="0"/>
      <w:divBdr>
        <w:top w:val="none" w:sz="0" w:space="0" w:color="auto"/>
        <w:left w:val="none" w:sz="0" w:space="0" w:color="auto"/>
        <w:bottom w:val="none" w:sz="0" w:space="0" w:color="auto"/>
        <w:right w:val="none" w:sz="0" w:space="0" w:color="auto"/>
      </w:divBdr>
    </w:div>
    <w:div w:id="93789657">
      <w:bodyDiv w:val="1"/>
      <w:marLeft w:val="0"/>
      <w:marRight w:val="0"/>
      <w:marTop w:val="0"/>
      <w:marBottom w:val="0"/>
      <w:divBdr>
        <w:top w:val="none" w:sz="0" w:space="0" w:color="auto"/>
        <w:left w:val="none" w:sz="0" w:space="0" w:color="auto"/>
        <w:bottom w:val="none" w:sz="0" w:space="0" w:color="auto"/>
        <w:right w:val="none" w:sz="0" w:space="0" w:color="auto"/>
      </w:divBdr>
    </w:div>
    <w:div w:id="111752742">
      <w:bodyDiv w:val="1"/>
      <w:marLeft w:val="0"/>
      <w:marRight w:val="0"/>
      <w:marTop w:val="0"/>
      <w:marBottom w:val="0"/>
      <w:divBdr>
        <w:top w:val="none" w:sz="0" w:space="0" w:color="auto"/>
        <w:left w:val="none" w:sz="0" w:space="0" w:color="auto"/>
        <w:bottom w:val="none" w:sz="0" w:space="0" w:color="auto"/>
        <w:right w:val="none" w:sz="0" w:space="0" w:color="auto"/>
      </w:divBdr>
    </w:div>
    <w:div w:id="116678815">
      <w:bodyDiv w:val="1"/>
      <w:marLeft w:val="0"/>
      <w:marRight w:val="0"/>
      <w:marTop w:val="0"/>
      <w:marBottom w:val="0"/>
      <w:divBdr>
        <w:top w:val="none" w:sz="0" w:space="0" w:color="auto"/>
        <w:left w:val="none" w:sz="0" w:space="0" w:color="auto"/>
        <w:bottom w:val="none" w:sz="0" w:space="0" w:color="auto"/>
        <w:right w:val="none" w:sz="0" w:space="0" w:color="auto"/>
      </w:divBdr>
    </w:div>
    <w:div w:id="155726538">
      <w:bodyDiv w:val="1"/>
      <w:marLeft w:val="0"/>
      <w:marRight w:val="0"/>
      <w:marTop w:val="0"/>
      <w:marBottom w:val="0"/>
      <w:divBdr>
        <w:top w:val="none" w:sz="0" w:space="0" w:color="auto"/>
        <w:left w:val="none" w:sz="0" w:space="0" w:color="auto"/>
        <w:bottom w:val="none" w:sz="0" w:space="0" w:color="auto"/>
        <w:right w:val="none" w:sz="0" w:space="0" w:color="auto"/>
      </w:divBdr>
    </w:div>
    <w:div w:id="162399046">
      <w:bodyDiv w:val="1"/>
      <w:marLeft w:val="0"/>
      <w:marRight w:val="0"/>
      <w:marTop w:val="0"/>
      <w:marBottom w:val="0"/>
      <w:divBdr>
        <w:top w:val="none" w:sz="0" w:space="0" w:color="auto"/>
        <w:left w:val="none" w:sz="0" w:space="0" w:color="auto"/>
        <w:bottom w:val="none" w:sz="0" w:space="0" w:color="auto"/>
        <w:right w:val="none" w:sz="0" w:space="0" w:color="auto"/>
      </w:divBdr>
    </w:div>
    <w:div w:id="170460214">
      <w:bodyDiv w:val="1"/>
      <w:marLeft w:val="0"/>
      <w:marRight w:val="0"/>
      <w:marTop w:val="0"/>
      <w:marBottom w:val="0"/>
      <w:divBdr>
        <w:top w:val="none" w:sz="0" w:space="0" w:color="auto"/>
        <w:left w:val="none" w:sz="0" w:space="0" w:color="auto"/>
        <w:bottom w:val="none" w:sz="0" w:space="0" w:color="auto"/>
        <w:right w:val="none" w:sz="0" w:space="0" w:color="auto"/>
      </w:divBdr>
    </w:div>
    <w:div w:id="183326145">
      <w:bodyDiv w:val="1"/>
      <w:marLeft w:val="0"/>
      <w:marRight w:val="0"/>
      <w:marTop w:val="0"/>
      <w:marBottom w:val="0"/>
      <w:divBdr>
        <w:top w:val="none" w:sz="0" w:space="0" w:color="auto"/>
        <w:left w:val="none" w:sz="0" w:space="0" w:color="auto"/>
        <w:bottom w:val="none" w:sz="0" w:space="0" w:color="auto"/>
        <w:right w:val="none" w:sz="0" w:space="0" w:color="auto"/>
      </w:divBdr>
    </w:div>
    <w:div w:id="189220238">
      <w:bodyDiv w:val="1"/>
      <w:marLeft w:val="0"/>
      <w:marRight w:val="0"/>
      <w:marTop w:val="0"/>
      <w:marBottom w:val="0"/>
      <w:divBdr>
        <w:top w:val="none" w:sz="0" w:space="0" w:color="auto"/>
        <w:left w:val="none" w:sz="0" w:space="0" w:color="auto"/>
        <w:bottom w:val="none" w:sz="0" w:space="0" w:color="auto"/>
        <w:right w:val="none" w:sz="0" w:space="0" w:color="auto"/>
      </w:divBdr>
    </w:div>
    <w:div w:id="200947675">
      <w:bodyDiv w:val="1"/>
      <w:marLeft w:val="0"/>
      <w:marRight w:val="0"/>
      <w:marTop w:val="0"/>
      <w:marBottom w:val="0"/>
      <w:divBdr>
        <w:top w:val="none" w:sz="0" w:space="0" w:color="auto"/>
        <w:left w:val="none" w:sz="0" w:space="0" w:color="auto"/>
        <w:bottom w:val="none" w:sz="0" w:space="0" w:color="auto"/>
        <w:right w:val="none" w:sz="0" w:space="0" w:color="auto"/>
      </w:divBdr>
    </w:div>
    <w:div w:id="218638611">
      <w:bodyDiv w:val="1"/>
      <w:marLeft w:val="0"/>
      <w:marRight w:val="0"/>
      <w:marTop w:val="0"/>
      <w:marBottom w:val="0"/>
      <w:divBdr>
        <w:top w:val="none" w:sz="0" w:space="0" w:color="auto"/>
        <w:left w:val="none" w:sz="0" w:space="0" w:color="auto"/>
        <w:bottom w:val="none" w:sz="0" w:space="0" w:color="auto"/>
        <w:right w:val="none" w:sz="0" w:space="0" w:color="auto"/>
      </w:divBdr>
    </w:div>
    <w:div w:id="218828401">
      <w:bodyDiv w:val="1"/>
      <w:marLeft w:val="0"/>
      <w:marRight w:val="0"/>
      <w:marTop w:val="0"/>
      <w:marBottom w:val="0"/>
      <w:divBdr>
        <w:top w:val="none" w:sz="0" w:space="0" w:color="auto"/>
        <w:left w:val="none" w:sz="0" w:space="0" w:color="auto"/>
        <w:bottom w:val="none" w:sz="0" w:space="0" w:color="auto"/>
        <w:right w:val="none" w:sz="0" w:space="0" w:color="auto"/>
      </w:divBdr>
    </w:div>
    <w:div w:id="244070832">
      <w:bodyDiv w:val="1"/>
      <w:marLeft w:val="0"/>
      <w:marRight w:val="0"/>
      <w:marTop w:val="0"/>
      <w:marBottom w:val="0"/>
      <w:divBdr>
        <w:top w:val="none" w:sz="0" w:space="0" w:color="auto"/>
        <w:left w:val="none" w:sz="0" w:space="0" w:color="auto"/>
        <w:bottom w:val="none" w:sz="0" w:space="0" w:color="auto"/>
        <w:right w:val="none" w:sz="0" w:space="0" w:color="auto"/>
      </w:divBdr>
    </w:div>
    <w:div w:id="244653511">
      <w:bodyDiv w:val="1"/>
      <w:marLeft w:val="0"/>
      <w:marRight w:val="0"/>
      <w:marTop w:val="0"/>
      <w:marBottom w:val="0"/>
      <w:divBdr>
        <w:top w:val="none" w:sz="0" w:space="0" w:color="auto"/>
        <w:left w:val="none" w:sz="0" w:space="0" w:color="auto"/>
        <w:bottom w:val="none" w:sz="0" w:space="0" w:color="auto"/>
        <w:right w:val="none" w:sz="0" w:space="0" w:color="auto"/>
      </w:divBdr>
      <w:divsChild>
        <w:div w:id="1529642230">
          <w:marLeft w:val="0"/>
          <w:marRight w:val="0"/>
          <w:marTop w:val="0"/>
          <w:marBottom w:val="0"/>
          <w:divBdr>
            <w:top w:val="none" w:sz="0" w:space="0" w:color="auto"/>
            <w:left w:val="none" w:sz="0" w:space="0" w:color="auto"/>
            <w:bottom w:val="none" w:sz="0" w:space="0" w:color="auto"/>
            <w:right w:val="none" w:sz="0" w:space="0" w:color="auto"/>
          </w:divBdr>
          <w:divsChild>
            <w:div w:id="343945518">
              <w:marLeft w:val="0"/>
              <w:marRight w:val="0"/>
              <w:marTop w:val="0"/>
              <w:marBottom w:val="0"/>
              <w:divBdr>
                <w:top w:val="none" w:sz="0" w:space="0" w:color="auto"/>
                <w:left w:val="none" w:sz="0" w:space="0" w:color="auto"/>
                <w:bottom w:val="none" w:sz="0" w:space="0" w:color="auto"/>
                <w:right w:val="none" w:sz="0" w:space="0" w:color="auto"/>
              </w:divBdr>
              <w:divsChild>
                <w:div w:id="1639529066">
                  <w:marLeft w:val="0"/>
                  <w:marRight w:val="0"/>
                  <w:marTop w:val="0"/>
                  <w:marBottom w:val="0"/>
                  <w:divBdr>
                    <w:top w:val="none" w:sz="0" w:space="0" w:color="auto"/>
                    <w:left w:val="none" w:sz="0" w:space="0" w:color="auto"/>
                    <w:bottom w:val="none" w:sz="0" w:space="0" w:color="auto"/>
                    <w:right w:val="none" w:sz="0" w:space="0" w:color="auto"/>
                  </w:divBdr>
                  <w:divsChild>
                    <w:div w:id="1288586694">
                      <w:marLeft w:val="0"/>
                      <w:marRight w:val="0"/>
                      <w:marTop w:val="0"/>
                      <w:marBottom w:val="0"/>
                      <w:divBdr>
                        <w:top w:val="none" w:sz="0" w:space="0" w:color="auto"/>
                        <w:left w:val="none" w:sz="0" w:space="0" w:color="auto"/>
                        <w:bottom w:val="none" w:sz="0" w:space="0" w:color="auto"/>
                        <w:right w:val="none" w:sz="0" w:space="0" w:color="auto"/>
                      </w:divBdr>
                      <w:divsChild>
                        <w:div w:id="1956135959">
                          <w:marLeft w:val="0"/>
                          <w:marRight w:val="0"/>
                          <w:marTop w:val="0"/>
                          <w:marBottom w:val="0"/>
                          <w:divBdr>
                            <w:top w:val="none" w:sz="0" w:space="0" w:color="auto"/>
                            <w:left w:val="none" w:sz="0" w:space="0" w:color="auto"/>
                            <w:bottom w:val="none" w:sz="0" w:space="0" w:color="auto"/>
                            <w:right w:val="none" w:sz="0" w:space="0" w:color="auto"/>
                          </w:divBdr>
                          <w:divsChild>
                            <w:div w:id="1683362747">
                              <w:marLeft w:val="0"/>
                              <w:marRight w:val="0"/>
                              <w:marTop w:val="0"/>
                              <w:marBottom w:val="0"/>
                              <w:divBdr>
                                <w:top w:val="none" w:sz="0" w:space="0" w:color="auto"/>
                                <w:left w:val="none" w:sz="0" w:space="0" w:color="auto"/>
                                <w:bottom w:val="none" w:sz="0" w:space="0" w:color="auto"/>
                                <w:right w:val="none" w:sz="0" w:space="0" w:color="auto"/>
                              </w:divBdr>
                              <w:divsChild>
                                <w:div w:id="837424215">
                                  <w:marLeft w:val="0"/>
                                  <w:marRight w:val="0"/>
                                  <w:marTop w:val="0"/>
                                  <w:marBottom w:val="0"/>
                                  <w:divBdr>
                                    <w:top w:val="none" w:sz="0" w:space="0" w:color="auto"/>
                                    <w:left w:val="none" w:sz="0" w:space="0" w:color="auto"/>
                                    <w:bottom w:val="none" w:sz="0" w:space="0" w:color="auto"/>
                                    <w:right w:val="none" w:sz="0" w:space="0" w:color="auto"/>
                                  </w:divBdr>
                                  <w:divsChild>
                                    <w:div w:id="204175793">
                                      <w:marLeft w:val="0"/>
                                      <w:marRight w:val="0"/>
                                      <w:marTop w:val="0"/>
                                      <w:marBottom w:val="0"/>
                                      <w:divBdr>
                                        <w:top w:val="none" w:sz="0" w:space="0" w:color="auto"/>
                                        <w:left w:val="none" w:sz="0" w:space="0" w:color="auto"/>
                                        <w:bottom w:val="none" w:sz="0" w:space="0" w:color="auto"/>
                                        <w:right w:val="none" w:sz="0" w:space="0" w:color="auto"/>
                                      </w:divBdr>
                                      <w:divsChild>
                                        <w:div w:id="1681275238">
                                          <w:marLeft w:val="0"/>
                                          <w:marRight w:val="0"/>
                                          <w:marTop w:val="0"/>
                                          <w:marBottom w:val="0"/>
                                          <w:divBdr>
                                            <w:top w:val="none" w:sz="0" w:space="0" w:color="auto"/>
                                            <w:left w:val="none" w:sz="0" w:space="0" w:color="auto"/>
                                            <w:bottom w:val="none" w:sz="0" w:space="0" w:color="auto"/>
                                            <w:right w:val="none" w:sz="0" w:space="0" w:color="auto"/>
                                          </w:divBdr>
                                          <w:divsChild>
                                            <w:div w:id="1594246415">
                                              <w:marLeft w:val="0"/>
                                              <w:marRight w:val="0"/>
                                              <w:marTop w:val="0"/>
                                              <w:marBottom w:val="0"/>
                                              <w:divBdr>
                                                <w:top w:val="none" w:sz="0" w:space="0" w:color="auto"/>
                                                <w:left w:val="none" w:sz="0" w:space="0" w:color="auto"/>
                                                <w:bottom w:val="none" w:sz="0" w:space="0" w:color="auto"/>
                                                <w:right w:val="none" w:sz="0" w:space="0" w:color="auto"/>
                                              </w:divBdr>
                                              <w:divsChild>
                                                <w:div w:id="781921856">
                                                  <w:marLeft w:val="0"/>
                                                  <w:marRight w:val="0"/>
                                                  <w:marTop w:val="0"/>
                                                  <w:marBottom w:val="0"/>
                                                  <w:divBdr>
                                                    <w:top w:val="none" w:sz="0" w:space="0" w:color="auto"/>
                                                    <w:left w:val="none" w:sz="0" w:space="0" w:color="auto"/>
                                                    <w:bottom w:val="none" w:sz="0" w:space="0" w:color="auto"/>
                                                    <w:right w:val="none" w:sz="0" w:space="0" w:color="auto"/>
                                                  </w:divBdr>
                                                  <w:divsChild>
                                                    <w:div w:id="1058894497">
                                                      <w:marLeft w:val="0"/>
                                                      <w:marRight w:val="0"/>
                                                      <w:marTop w:val="0"/>
                                                      <w:marBottom w:val="0"/>
                                                      <w:divBdr>
                                                        <w:top w:val="none" w:sz="0" w:space="0" w:color="auto"/>
                                                        <w:left w:val="none" w:sz="0" w:space="0" w:color="auto"/>
                                                        <w:bottom w:val="none" w:sz="0" w:space="0" w:color="auto"/>
                                                        <w:right w:val="none" w:sz="0" w:space="0" w:color="auto"/>
                                                      </w:divBdr>
                                                      <w:divsChild>
                                                        <w:div w:id="557863970">
                                                          <w:marLeft w:val="0"/>
                                                          <w:marRight w:val="0"/>
                                                          <w:marTop w:val="0"/>
                                                          <w:marBottom w:val="0"/>
                                                          <w:divBdr>
                                                            <w:top w:val="none" w:sz="0" w:space="0" w:color="auto"/>
                                                            <w:left w:val="none" w:sz="0" w:space="0" w:color="auto"/>
                                                            <w:bottom w:val="none" w:sz="0" w:space="0" w:color="auto"/>
                                                            <w:right w:val="none" w:sz="0" w:space="0" w:color="auto"/>
                                                          </w:divBdr>
                                                          <w:divsChild>
                                                            <w:div w:id="1693453193">
                                                              <w:marLeft w:val="0"/>
                                                              <w:marRight w:val="0"/>
                                                              <w:marTop w:val="0"/>
                                                              <w:marBottom w:val="0"/>
                                                              <w:divBdr>
                                                                <w:top w:val="none" w:sz="0" w:space="0" w:color="auto"/>
                                                                <w:left w:val="none" w:sz="0" w:space="0" w:color="auto"/>
                                                                <w:bottom w:val="none" w:sz="0" w:space="0" w:color="auto"/>
                                                                <w:right w:val="none" w:sz="0" w:space="0" w:color="auto"/>
                                                              </w:divBdr>
                                                              <w:divsChild>
                                                                <w:div w:id="1884169848">
                                                                  <w:marLeft w:val="0"/>
                                                                  <w:marRight w:val="0"/>
                                                                  <w:marTop w:val="0"/>
                                                                  <w:marBottom w:val="0"/>
                                                                  <w:divBdr>
                                                                    <w:top w:val="none" w:sz="0" w:space="0" w:color="auto"/>
                                                                    <w:left w:val="none" w:sz="0" w:space="0" w:color="auto"/>
                                                                    <w:bottom w:val="none" w:sz="0" w:space="0" w:color="auto"/>
                                                                    <w:right w:val="none" w:sz="0" w:space="0" w:color="auto"/>
                                                                  </w:divBdr>
                                                                  <w:divsChild>
                                                                    <w:div w:id="1189761680">
                                                                      <w:marLeft w:val="0"/>
                                                                      <w:marRight w:val="0"/>
                                                                      <w:marTop w:val="0"/>
                                                                      <w:marBottom w:val="0"/>
                                                                      <w:divBdr>
                                                                        <w:top w:val="none" w:sz="0" w:space="0" w:color="auto"/>
                                                                        <w:left w:val="none" w:sz="0" w:space="0" w:color="auto"/>
                                                                        <w:bottom w:val="none" w:sz="0" w:space="0" w:color="auto"/>
                                                                        <w:right w:val="none" w:sz="0" w:space="0" w:color="auto"/>
                                                                      </w:divBdr>
                                                                      <w:divsChild>
                                                                        <w:div w:id="1676036670">
                                                                          <w:marLeft w:val="0"/>
                                                                          <w:marRight w:val="0"/>
                                                                          <w:marTop w:val="0"/>
                                                                          <w:marBottom w:val="0"/>
                                                                          <w:divBdr>
                                                                            <w:top w:val="none" w:sz="0" w:space="0" w:color="auto"/>
                                                                            <w:left w:val="none" w:sz="0" w:space="0" w:color="auto"/>
                                                                            <w:bottom w:val="none" w:sz="0" w:space="0" w:color="auto"/>
                                                                            <w:right w:val="none" w:sz="0" w:space="0" w:color="auto"/>
                                                                          </w:divBdr>
                                                                          <w:divsChild>
                                                                            <w:div w:id="1791893652">
                                                                              <w:marLeft w:val="0"/>
                                                                              <w:marRight w:val="0"/>
                                                                              <w:marTop w:val="0"/>
                                                                              <w:marBottom w:val="0"/>
                                                                              <w:divBdr>
                                                                                <w:top w:val="none" w:sz="0" w:space="0" w:color="auto"/>
                                                                                <w:left w:val="none" w:sz="0" w:space="0" w:color="auto"/>
                                                                                <w:bottom w:val="none" w:sz="0" w:space="0" w:color="auto"/>
                                                                                <w:right w:val="none" w:sz="0" w:space="0" w:color="auto"/>
                                                                              </w:divBdr>
                                                                              <w:divsChild>
                                                                                <w:div w:id="2236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0239117">
      <w:bodyDiv w:val="1"/>
      <w:marLeft w:val="0"/>
      <w:marRight w:val="0"/>
      <w:marTop w:val="0"/>
      <w:marBottom w:val="0"/>
      <w:divBdr>
        <w:top w:val="none" w:sz="0" w:space="0" w:color="auto"/>
        <w:left w:val="none" w:sz="0" w:space="0" w:color="auto"/>
        <w:bottom w:val="none" w:sz="0" w:space="0" w:color="auto"/>
        <w:right w:val="none" w:sz="0" w:space="0" w:color="auto"/>
      </w:divBdr>
    </w:div>
    <w:div w:id="260602381">
      <w:bodyDiv w:val="1"/>
      <w:marLeft w:val="0"/>
      <w:marRight w:val="0"/>
      <w:marTop w:val="0"/>
      <w:marBottom w:val="0"/>
      <w:divBdr>
        <w:top w:val="none" w:sz="0" w:space="0" w:color="auto"/>
        <w:left w:val="none" w:sz="0" w:space="0" w:color="auto"/>
        <w:bottom w:val="none" w:sz="0" w:space="0" w:color="auto"/>
        <w:right w:val="none" w:sz="0" w:space="0" w:color="auto"/>
      </w:divBdr>
    </w:div>
    <w:div w:id="266280362">
      <w:bodyDiv w:val="1"/>
      <w:marLeft w:val="0"/>
      <w:marRight w:val="0"/>
      <w:marTop w:val="0"/>
      <w:marBottom w:val="0"/>
      <w:divBdr>
        <w:top w:val="none" w:sz="0" w:space="0" w:color="auto"/>
        <w:left w:val="none" w:sz="0" w:space="0" w:color="auto"/>
        <w:bottom w:val="none" w:sz="0" w:space="0" w:color="auto"/>
        <w:right w:val="none" w:sz="0" w:space="0" w:color="auto"/>
      </w:divBdr>
    </w:div>
    <w:div w:id="276520860">
      <w:bodyDiv w:val="1"/>
      <w:marLeft w:val="0"/>
      <w:marRight w:val="0"/>
      <w:marTop w:val="0"/>
      <w:marBottom w:val="0"/>
      <w:divBdr>
        <w:top w:val="none" w:sz="0" w:space="0" w:color="auto"/>
        <w:left w:val="none" w:sz="0" w:space="0" w:color="auto"/>
        <w:bottom w:val="none" w:sz="0" w:space="0" w:color="auto"/>
        <w:right w:val="none" w:sz="0" w:space="0" w:color="auto"/>
      </w:divBdr>
    </w:div>
    <w:div w:id="290326691">
      <w:bodyDiv w:val="1"/>
      <w:marLeft w:val="0"/>
      <w:marRight w:val="0"/>
      <w:marTop w:val="0"/>
      <w:marBottom w:val="0"/>
      <w:divBdr>
        <w:top w:val="none" w:sz="0" w:space="0" w:color="auto"/>
        <w:left w:val="none" w:sz="0" w:space="0" w:color="auto"/>
        <w:bottom w:val="none" w:sz="0" w:space="0" w:color="auto"/>
        <w:right w:val="none" w:sz="0" w:space="0" w:color="auto"/>
      </w:divBdr>
    </w:div>
    <w:div w:id="290481767">
      <w:bodyDiv w:val="1"/>
      <w:marLeft w:val="0"/>
      <w:marRight w:val="0"/>
      <w:marTop w:val="0"/>
      <w:marBottom w:val="0"/>
      <w:divBdr>
        <w:top w:val="none" w:sz="0" w:space="0" w:color="auto"/>
        <w:left w:val="none" w:sz="0" w:space="0" w:color="auto"/>
        <w:bottom w:val="none" w:sz="0" w:space="0" w:color="auto"/>
        <w:right w:val="none" w:sz="0" w:space="0" w:color="auto"/>
      </w:divBdr>
    </w:div>
    <w:div w:id="302126066">
      <w:bodyDiv w:val="1"/>
      <w:marLeft w:val="0"/>
      <w:marRight w:val="0"/>
      <w:marTop w:val="0"/>
      <w:marBottom w:val="0"/>
      <w:divBdr>
        <w:top w:val="none" w:sz="0" w:space="0" w:color="auto"/>
        <w:left w:val="none" w:sz="0" w:space="0" w:color="auto"/>
        <w:bottom w:val="none" w:sz="0" w:space="0" w:color="auto"/>
        <w:right w:val="none" w:sz="0" w:space="0" w:color="auto"/>
      </w:divBdr>
    </w:div>
    <w:div w:id="302514952">
      <w:bodyDiv w:val="1"/>
      <w:marLeft w:val="0"/>
      <w:marRight w:val="0"/>
      <w:marTop w:val="0"/>
      <w:marBottom w:val="0"/>
      <w:divBdr>
        <w:top w:val="none" w:sz="0" w:space="0" w:color="auto"/>
        <w:left w:val="none" w:sz="0" w:space="0" w:color="auto"/>
        <w:bottom w:val="none" w:sz="0" w:space="0" w:color="auto"/>
        <w:right w:val="none" w:sz="0" w:space="0" w:color="auto"/>
      </w:divBdr>
    </w:div>
    <w:div w:id="305744995">
      <w:bodyDiv w:val="1"/>
      <w:marLeft w:val="0"/>
      <w:marRight w:val="0"/>
      <w:marTop w:val="0"/>
      <w:marBottom w:val="0"/>
      <w:divBdr>
        <w:top w:val="none" w:sz="0" w:space="0" w:color="auto"/>
        <w:left w:val="none" w:sz="0" w:space="0" w:color="auto"/>
        <w:bottom w:val="none" w:sz="0" w:space="0" w:color="auto"/>
        <w:right w:val="none" w:sz="0" w:space="0" w:color="auto"/>
      </w:divBdr>
    </w:div>
    <w:div w:id="336276303">
      <w:bodyDiv w:val="1"/>
      <w:marLeft w:val="0"/>
      <w:marRight w:val="0"/>
      <w:marTop w:val="0"/>
      <w:marBottom w:val="0"/>
      <w:divBdr>
        <w:top w:val="none" w:sz="0" w:space="0" w:color="auto"/>
        <w:left w:val="none" w:sz="0" w:space="0" w:color="auto"/>
        <w:bottom w:val="none" w:sz="0" w:space="0" w:color="auto"/>
        <w:right w:val="none" w:sz="0" w:space="0" w:color="auto"/>
      </w:divBdr>
    </w:div>
    <w:div w:id="336467167">
      <w:bodyDiv w:val="1"/>
      <w:marLeft w:val="0"/>
      <w:marRight w:val="0"/>
      <w:marTop w:val="0"/>
      <w:marBottom w:val="0"/>
      <w:divBdr>
        <w:top w:val="none" w:sz="0" w:space="0" w:color="auto"/>
        <w:left w:val="none" w:sz="0" w:space="0" w:color="auto"/>
        <w:bottom w:val="none" w:sz="0" w:space="0" w:color="auto"/>
        <w:right w:val="none" w:sz="0" w:space="0" w:color="auto"/>
      </w:divBdr>
      <w:divsChild>
        <w:div w:id="617176208">
          <w:marLeft w:val="0"/>
          <w:marRight w:val="0"/>
          <w:marTop w:val="0"/>
          <w:marBottom w:val="0"/>
          <w:divBdr>
            <w:top w:val="none" w:sz="0" w:space="0" w:color="auto"/>
            <w:left w:val="none" w:sz="0" w:space="0" w:color="auto"/>
            <w:bottom w:val="none" w:sz="0" w:space="0" w:color="auto"/>
            <w:right w:val="none" w:sz="0" w:space="0" w:color="auto"/>
          </w:divBdr>
          <w:divsChild>
            <w:div w:id="568030734">
              <w:marLeft w:val="0"/>
              <w:marRight w:val="0"/>
              <w:marTop w:val="0"/>
              <w:marBottom w:val="0"/>
              <w:divBdr>
                <w:top w:val="none" w:sz="0" w:space="0" w:color="auto"/>
                <w:left w:val="none" w:sz="0" w:space="0" w:color="auto"/>
                <w:bottom w:val="none" w:sz="0" w:space="0" w:color="auto"/>
                <w:right w:val="none" w:sz="0" w:space="0" w:color="auto"/>
              </w:divBdr>
              <w:divsChild>
                <w:div w:id="473446882">
                  <w:marLeft w:val="0"/>
                  <w:marRight w:val="0"/>
                  <w:marTop w:val="0"/>
                  <w:marBottom w:val="0"/>
                  <w:divBdr>
                    <w:top w:val="none" w:sz="0" w:space="0" w:color="auto"/>
                    <w:left w:val="none" w:sz="0" w:space="0" w:color="auto"/>
                    <w:bottom w:val="none" w:sz="0" w:space="0" w:color="auto"/>
                    <w:right w:val="none" w:sz="0" w:space="0" w:color="auto"/>
                  </w:divBdr>
                  <w:divsChild>
                    <w:div w:id="742416868">
                      <w:marLeft w:val="0"/>
                      <w:marRight w:val="0"/>
                      <w:marTop w:val="0"/>
                      <w:marBottom w:val="0"/>
                      <w:divBdr>
                        <w:top w:val="none" w:sz="0" w:space="0" w:color="auto"/>
                        <w:left w:val="none" w:sz="0" w:space="0" w:color="auto"/>
                        <w:bottom w:val="none" w:sz="0" w:space="0" w:color="auto"/>
                        <w:right w:val="none" w:sz="0" w:space="0" w:color="auto"/>
                      </w:divBdr>
                      <w:divsChild>
                        <w:div w:id="366219069">
                          <w:marLeft w:val="0"/>
                          <w:marRight w:val="0"/>
                          <w:marTop w:val="0"/>
                          <w:marBottom w:val="0"/>
                          <w:divBdr>
                            <w:top w:val="none" w:sz="0" w:space="0" w:color="auto"/>
                            <w:left w:val="none" w:sz="0" w:space="0" w:color="auto"/>
                            <w:bottom w:val="none" w:sz="0" w:space="0" w:color="auto"/>
                            <w:right w:val="none" w:sz="0" w:space="0" w:color="auto"/>
                          </w:divBdr>
                          <w:divsChild>
                            <w:div w:id="1806775527">
                              <w:marLeft w:val="0"/>
                              <w:marRight w:val="0"/>
                              <w:marTop w:val="0"/>
                              <w:marBottom w:val="0"/>
                              <w:divBdr>
                                <w:top w:val="none" w:sz="0" w:space="0" w:color="auto"/>
                                <w:left w:val="none" w:sz="0" w:space="0" w:color="auto"/>
                                <w:bottom w:val="none" w:sz="0" w:space="0" w:color="auto"/>
                                <w:right w:val="none" w:sz="0" w:space="0" w:color="auto"/>
                              </w:divBdr>
                              <w:divsChild>
                                <w:div w:id="1046102297">
                                  <w:marLeft w:val="0"/>
                                  <w:marRight w:val="0"/>
                                  <w:marTop w:val="0"/>
                                  <w:marBottom w:val="0"/>
                                  <w:divBdr>
                                    <w:top w:val="none" w:sz="0" w:space="0" w:color="auto"/>
                                    <w:left w:val="none" w:sz="0" w:space="0" w:color="auto"/>
                                    <w:bottom w:val="none" w:sz="0" w:space="0" w:color="auto"/>
                                    <w:right w:val="none" w:sz="0" w:space="0" w:color="auto"/>
                                  </w:divBdr>
                                  <w:divsChild>
                                    <w:div w:id="219901838">
                                      <w:marLeft w:val="0"/>
                                      <w:marRight w:val="0"/>
                                      <w:marTop w:val="0"/>
                                      <w:marBottom w:val="0"/>
                                      <w:divBdr>
                                        <w:top w:val="none" w:sz="0" w:space="0" w:color="auto"/>
                                        <w:left w:val="none" w:sz="0" w:space="0" w:color="auto"/>
                                        <w:bottom w:val="none" w:sz="0" w:space="0" w:color="auto"/>
                                        <w:right w:val="none" w:sz="0" w:space="0" w:color="auto"/>
                                      </w:divBdr>
                                      <w:divsChild>
                                        <w:div w:id="1479112576">
                                          <w:marLeft w:val="0"/>
                                          <w:marRight w:val="0"/>
                                          <w:marTop w:val="0"/>
                                          <w:marBottom w:val="0"/>
                                          <w:divBdr>
                                            <w:top w:val="none" w:sz="0" w:space="0" w:color="auto"/>
                                            <w:left w:val="none" w:sz="0" w:space="0" w:color="auto"/>
                                            <w:bottom w:val="none" w:sz="0" w:space="0" w:color="auto"/>
                                            <w:right w:val="none" w:sz="0" w:space="0" w:color="auto"/>
                                          </w:divBdr>
                                          <w:divsChild>
                                            <w:div w:id="1353341233">
                                              <w:marLeft w:val="0"/>
                                              <w:marRight w:val="0"/>
                                              <w:marTop w:val="0"/>
                                              <w:marBottom w:val="0"/>
                                              <w:divBdr>
                                                <w:top w:val="none" w:sz="0" w:space="0" w:color="auto"/>
                                                <w:left w:val="none" w:sz="0" w:space="0" w:color="auto"/>
                                                <w:bottom w:val="none" w:sz="0" w:space="0" w:color="auto"/>
                                                <w:right w:val="none" w:sz="0" w:space="0" w:color="auto"/>
                                              </w:divBdr>
                                              <w:divsChild>
                                                <w:div w:id="75316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6759507">
      <w:bodyDiv w:val="1"/>
      <w:marLeft w:val="0"/>
      <w:marRight w:val="0"/>
      <w:marTop w:val="0"/>
      <w:marBottom w:val="0"/>
      <w:divBdr>
        <w:top w:val="none" w:sz="0" w:space="0" w:color="auto"/>
        <w:left w:val="none" w:sz="0" w:space="0" w:color="auto"/>
        <w:bottom w:val="none" w:sz="0" w:space="0" w:color="auto"/>
        <w:right w:val="none" w:sz="0" w:space="0" w:color="auto"/>
      </w:divBdr>
    </w:div>
    <w:div w:id="350642699">
      <w:bodyDiv w:val="1"/>
      <w:marLeft w:val="0"/>
      <w:marRight w:val="0"/>
      <w:marTop w:val="0"/>
      <w:marBottom w:val="0"/>
      <w:divBdr>
        <w:top w:val="none" w:sz="0" w:space="0" w:color="auto"/>
        <w:left w:val="none" w:sz="0" w:space="0" w:color="auto"/>
        <w:bottom w:val="none" w:sz="0" w:space="0" w:color="auto"/>
        <w:right w:val="none" w:sz="0" w:space="0" w:color="auto"/>
      </w:divBdr>
    </w:div>
    <w:div w:id="351035420">
      <w:bodyDiv w:val="1"/>
      <w:marLeft w:val="0"/>
      <w:marRight w:val="0"/>
      <w:marTop w:val="0"/>
      <w:marBottom w:val="0"/>
      <w:divBdr>
        <w:top w:val="none" w:sz="0" w:space="0" w:color="auto"/>
        <w:left w:val="none" w:sz="0" w:space="0" w:color="auto"/>
        <w:bottom w:val="none" w:sz="0" w:space="0" w:color="auto"/>
        <w:right w:val="none" w:sz="0" w:space="0" w:color="auto"/>
      </w:divBdr>
    </w:div>
    <w:div w:id="362436535">
      <w:bodyDiv w:val="1"/>
      <w:marLeft w:val="0"/>
      <w:marRight w:val="0"/>
      <w:marTop w:val="0"/>
      <w:marBottom w:val="0"/>
      <w:divBdr>
        <w:top w:val="none" w:sz="0" w:space="0" w:color="auto"/>
        <w:left w:val="none" w:sz="0" w:space="0" w:color="auto"/>
        <w:bottom w:val="none" w:sz="0" w:space="0" w:color="auto"/>
        <w:right w:val="none" w:sz="0" w:space="0" w:color="auto"/>
      </w:divBdr>
    </w:div>
    <w:div w:id="365643256">
      <w:bodyDiv w:val="1"/>
      <w:marLeft w:val="0"/>
      <w:marRight w:val="0"/>
      <w:marTop w:val="0"/>
      <w:marBottom w:val="0"/>
      <w:divBdr>
        <w:top w:val="none" w:sz="0" w:space="0" w:color="auto"/>
        <w:left w:val="none" w:sz="0" w:space="0" w:color="auto"/>
        <w:bottom w:val="none" w:sz="0" w:space="0" w:color="auto"/>
        <w:right w:val="none" w:sz="0" w:space="0" w:color="auto"/>
      </w:divBdr>
    </w:div>
    <w:div w:id="386883474">
      <w:bodyDiv w:val="1"/>
      <w:marLeft w:val="0"/>
      <w:marRight w:val="0"/>
      <w:marTop w:val="0"/>
      <w:marBottom w:val="0"/>
      <w:divBdr>
        <w:top w:val="none" w:sz="0" w:space="0" w:color="auto"/>
        <w:left w:val="none" w:sz="0" w:space="0" w:color="auto"/>
        <w:bottom w:val="none" w:sz="0" w:space="0" w:color="auto"/>
        <w:right w:val="none" w:sz="0" w:space="0" w:color="auto"/>
      </w:divBdr>
    </w:div>
    <w:div w:id="396785679">
      <w:bodyDiv w:val="1"/>
      <w:marLeft w:val="0"/>
      <w:marRight w:val="0"/>
      <w:marTop w:val="0"/>
      <w:marBottom w:val="0"/>
      <w:divBdr>
        <w:top w:val="none" w:sz="0" w:space="0" w:color="auto"/>
        <w:left w:val="none" w:sz="0" w:space="0" w:color="auto"/>
        <w:bottom w:val="none" w:sz="0" w:space="0" w:color="auto"/>
        <w:right w:val="none" w:sz="0" w:space="0" w:color="auto"/>
      </w:divBdr>
    </w:div>
    <w:div w:id="406389011">
      <w:bodyDiv w:val="1"/>
      <w:marLeft w:val="0"/>
      <w:marRight w:val="0"/>
      <w:marTop w:val="0"/>
      <w:marBottom w:val="0"/>
      <w:divBdr>
        <w:top w:val="none" w:sz="0" w:space="0" w:color="auto"/>
        <w:left w:val="none" w:sz="0" w:space="0" w:color="auto"/>
        <w:bottom w:val="none" w:sz="0" w:space="0" w:color="auto"/>
        <w:right w:val="none" w:sz="0" w:space="0" w:color="auto"/>
      </w:divBdr>
    </w:div>
    <w:div w:id="423184248">
      <w:bodyDiv w:val="1"/>
      <w:marLeft w:val="0"/>
      <w:marRight w:val="0"/>
      <w:marTop w:val="0"/>
      <w:marBottom w:val="0"/>
      <w:divBdr>
        <w:top w:val="none" w:sz="0" w:space="0" w:color="auto"/>
        <w:left w:val="none" w:sz="0" w:space="0" w:color="auto"/>
        <w:bottom w:val="none" w:sz="0" w:space="0" w:color="auto"/>
        <w:right w:val="none" w:sz="0" w:space="0" w:color="auto"/>
      </w:divBdr>
      <w:divsChild>
        <w:div w:id="2120055110">
          <w:marLeft w:val="0"/>
          <w:marRight w:val="0"/>
          <w:marTop w:val="0"/>
          <w:marBottom w:val="0"/>
          <w:divBdr>
            <w:top w:val="none" w:sz="0" w:space="0" w:color="auto"/>
            <w:left w:val="none" w:sz="0" w:space="0" w:color="auto"/>
            <w:bottom w:val="none" w:sz="0" w:space="0" w:color="auto"/>
            <w:right w:val="none" w:sz="0" w:space="0" w:color="auto"/>
          </w:divBdr>
          <w:divsChild>
            <w:div w:id="1683243219">
              <w:marLeft w:val="0"/>
              <w:marRight w:val="0"/>
              <w:marTop w:val="0"/>
              <w:marBottom w:val="0"/>
              <w:divBdr>
                <w:top w:val="none" w:sz="0" w:space="0" w:color="auto"/>
                <w:left w:val="none" w:sz="0" w:space="0" w:color="auto"/>
                <w:bottom w:val="none" w:sz="0" w:space="0" w:color="auto"/>
                <w:right w:val="none" w:sz="0" w:space="0" w:color="auto"/>
              </w:divBdr>
              <w:divsChild>
                <w:div w:id="1209608698">
                  <w:marLeft w:val="0"/>
                  <w:marRight w:val="0"/>
                  <w:marTop w:val="0"/>
                  <w:marBottom w:val="0"/>
                  <w:divBdr>
                    <w:top w:val="none" w:sz="0" w:space="0" w:color="auto"/>
                    <w:left w:val="none" w:sz="0" w:space="0" w:color="auto"/>
                    <w:bottom w:val="none" w:sz="0" w:space="0" w:color="auto"/>
                    <w:right w:val="none" w:sz="0" w:space="0" w:color="auto"/>
                  </w:divBdr>
                  <w:divsChild>
                    <w:div w:id="2028632751">
                      <w:marLeft w:val="2325"/>
                      <w:marRight w:val="0"/>
                      <w:marTop w:val="0"/>
                      <w:marBottom w:val="0"/>
                      <w:divBdr>
                        <w:top w:val="none" w:sz="0" w:space="0" w:color="auto"/>
                        <w:left w:val="none" w:sz="0" w:space="0" w:color="auto"/>
                        <w:bottom w:val="none" w:sz="0" w:space="0" w:color="auto"/>
                        <w:right w:val="none" w:sz="0" w:space="0" w:color="auto"/>
                      </w:divBdr>
                      <w:divsChild>
                        <w:div w:id="735982028">
                          <w:marLeft w:val="0"/>
                          <w:marRight w:val="0"/>
                          <w:marTop w:val="0"/>
                          <w:marBottom w:val="0"/>
                          <w:divBdr>
                            <w:top w:val="none" w:sz="0" w:space="0" w:color="auto"/>
                            <w:left w:val="none" w:sz="0" w:space="0" w:color="auto"/>
                            <w:bottom w:val="none" w:sz="0" w:space="0" w:color="auto"/>
                            <w:right w:val="none" w:sz="0" w:space="0" w:color="auto"/>
                          </w:divBdr>
                          <w:divsChild>
                            <w:div w:id="1712684766">
                              <w:marLeft w:val="0"/>
                              <w:marRight w:val="0"/>
                              <w:marTop w:val="0"/>
                              <w:marBottom w:val="0"/>
                              <w:divBdr>
                                <w:top w:val="none" w:sz="0" w:space="0" w:color="auto"/>
                                <w:left w:val="none" w:sz="0" w:space="0" w:color="auto"/>
                                <w:bottom w:val="none" w:sz="0" w:space="0" w:color="auto"/>
                                <w:right w:val="none" w:sz="0" w:space="0" w:color="auto"/>
                              </w:divBdr>
                              <w:divsChild>
                                <w:div w:id="1672945842">
                                  <w:marLeft w:val="0"/>
                                  <w:marRight w:val="0"/>
                                  <w:marTop w:val="0"/>
                                  <w:marBottom w:val="0"/>
                                  <w:divBdr>
                                    <w:top w:val="none" w:sz="0" w:space="0" w:color="auto"/>
                                    <w:left w:val="none" w:sz="0" w:space="0" w:color="auto"/>
                                    <w:bottom w:val="none" w:sz="0" w:space="0" w:color="auto"/>
                                    <w:right w:val="none" w:sz="0" w:space="0" w:color="auto"/>
                                  </w:divBdr>
                                  <w:divsChild>
                                    <w:div w:id="1270238850">
                                      <w:marLeft w:val="0"/>
                                      <w:marRight w:val="0"/>
                                      <w:marTop w:val="0"/>
                                      <w:marBottom w:val="0"/>
                                      <w:divBdr>
                                        <w:top w:val="none" w:sz="0" w:space="0" w:color="auto"/>
                                        <w:left w:val="none" w:sz="0" w:space="0" w:color="auto"/>
                                        <w:bottom w:val="none" w:sz="0" w:space="0" w:color="auto"/>
                                        <w:right w:val="none" w:sz="0" w:space="0" w:color="auto"/>
                                      </w:divBdr>
                                      <w:divsChild>
                                        <w:div w:id="481317842">
                                          <w:marLeft w:val="0"/>
                                          <w:marRight w:val="0"/>
                                          <w:marTop w:val="0"/>
                                          <w:marBottom w:val="0"/>
                                          <w:divBdr>
                                            <w:top w:val="none" w:sz="0" w:space="0" w:color="auto"/>
                                            <w:left w:val="none" w:sz="0" w:space="0" w:color="auto"/>
                                            <w:bottom w:val="none" w:sz="0" w:space="0" w:color="auto"/>
                                            <w:right w:val="none" w:sz="0" w:space="0" w:color="auto"/>
                                          </w:divBdr>
                                          <w:divsChild>
                                            <w:div w:id="145425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5124171">
      <w:bodyDiv w:val="1"/>
      <w:marLeft w:val="0"/>
      <w:marRight w:val="0"/>
      <w:marTop w:val="0"/>
      <w:marBottom w:val="0"/>
      <w:divBdr>
        <w:top w:val="none" w:sz="0" w:space="0" w:color="auto"/>
        <w:left w:val="none" w:sz="0" w:space="0" w:color="auto"/>
        <w:bottom w:val="none" w:sz="0" w:space="0" w:color="auto"/>
        <w:right w:val="none" w:sz="0" w:space="0" w:color="auto"/>
      </w:divBdr>
    </w:div>
    <w:div w:id="464086628">
      <w:bodyDiv w:val="1"/>
      <w:marLeft w:val="0"/>
      <w:marRight w:val="0"/>
      <w:marTop w:val="0"/>
      <w:marBottom w:val="0"/>
      <w:divBdr>
        <w:top w:val="none" w:sz="0" w:space="0" w:color="auto"/>
        <w:left w:val="none" w:sz="0" w:space="0" w:color="auto"/>
        <w:bottom w:val="none" w:sz="0" w:space="0" w:color="auto"/>
        <w:right w:val="none" w:sz="0" w:space="0" w:color="auto"/>
      </w:divBdr>
    </w:div>
    <w:div w:id="486173452">
      <w:bodyDiv w:val="1"/>
      <w:marLeft w:val="0"/>
      <w:marRight w:val="0"/>
      <w:marTop w:val="0"/>
      <w:marBottom w:val="0"/>
      <w:divBdr>
        <w:top w:val="none" w:sz="0" w:space="0" w:color="auto"/>
        <w:left w:val="none" w:sz="0" w:space="0" w:color="auto"/>
        <w:bottom w:val="none" w:sz="0" w:space="0" w:color="auto"/>
        <w:right w:val="none" w:sz="0" w:space="0" w:color="auto"/>
      </w:divBdr>
    </w:div>
    <w:div w:id="488713078">
      <w:bodyDiv w:val="1"/>
      <w:marLeft w:val="0"/>
      <w:marRight w:val="0"/>
      <w:marTop w:val="0"/>
      <w:marBottom w:val="0"/>
      <w:divBdr>
        <w:top w:val="none" w:sz="0" w:space="0" w:color="auto"/>
        <w:left w:val="none" w:sz="0" w:space="0" w:color="auto"/>
        <w:bottom w:val="none" w:sz="0" w:space="0" w:color="auto"/>
        <w:right w:val="none" w:sz="0" w:space="0" w:color="auto"/>
      </w:divBdr>
    </w:div>
    <w:div w:id="499546171">
      <w:bodyDiv w:val="1"/>
      <w:marLeft w:val="0"/>
      <w:marRight w:val="0"/>
      <w:marTop w:val="0"/>
      <w:marBottom w:val="0"/>
      <w:divBdr>
        <w:top w:val="none" w:sz="0" w:space="0" w:color="auto"/>
        <w:left w:val="none" w:sz="0" w:space="0" w:color="auto"/>
        <w:bottom w:val="none" w:sz="0" w:space="0" w:color="auto"/>
        <w:right w:val="none" w:sz="0" w:space="0" w:color="auto"/>
      </w:divBdr>
    </w:div>
    <w:div w:id="511385046">
      <w:bodyDiv w:val="1"/>
      <w:marLeft w:val="0"/>
      <w:marRight w:val="0"/>
      <w:marTop w:val="0"/>
      <w:marBottom w:val="0"/>
      <w:divBdr>
        <w:top w:val="none" w:sz="0" w:space="0" w:color="auto"/>
        <w:left w:val="none" w:sz="0" w:space="0" w:color="auto"/>
        <w:bottom w:val="none" w:sz="0" w:space="0" w:color="auto"/>
        <w:right w:val="none" w:sz="0" w:space="0" w:color="auto"/>
      </w:divBdr>
    </w:div>
    <w:div w:id="521895165">
      <w:bodyDiv w:val="1"/>
      <w:marLeft w:val="0"/>
      <w:marRight w:val="0"/>
      <w:marTop w:val="0"/>
      <w:marBottom w:val="0"/>
      <w:divBdr>
        <w:top w:val="none" w:sz="0" w:space="0" w:color="auto"/>
        <w:left w:val="none" w:sz="0" w:space="0" w:color="auto"/>
        <w:bottom w:val="none" w:sz="0" w:space="0" w:color="auto"/>
        <w:right w:val="none" w:sz="0" w:space="0" w:color="auto"/>
      </w:divBdr>
    </w:div>
    <w:div w:id="544945261">
      <w:bodyDiv w:val="1"/>
      <w:marLeft w:val="0"/>
      <w:marRight w:val="0"/>
      <w:marTop w:val="0"/>
      <w:marBottom w:val="0"/>
      <w:divBdr>
        <w:top w:val="none" w:sz="0" w:space="0" w:color="auto"/>
        <w:left w:val="none" w:sz="0" w:space="0" w:color="auto"/>
        <w:bottom w:val="none" w:sz="0" w:space="0" w:color="auto"/>
        <w:right w:val="none" w:sz="0" w:space="0" w:color="auto"/>
      </w:divBdr>
    </w:div>
    <w:div w:id="570315693">
      <w:bodyDiv w:val="1"/>
      <w:marLeft w:val="0"/>
      <w:marRight w:val="0"/>
      <w:marTop w:val="0"/>
      <w:marBottom w:val="0"/>
      <w:divBdr>
        <w:top w:val="none" w:sz="0" w:space="0" w:color="auto"/>
        <w:left w:val="none" w:sz="0" w:space="0" w:color="auto"/>
        <w:bottom w:val="none" w:sz="0" w:space="0" w:color="auto"/>
        <w:right w:val="none" w:sz="0" w:space="0" w:color="auto"/>
      </w:divBdr>
    </w:div>
    <w:div w:id="585575906">
      <w:bodyDiv w:val="1"/>
      <w:marLeft w:val="0"/>
      <w:marRight w:val="0"/>
      <w:marTop w:val="0"/>
      <w:marBottom w:val="0"/>
      <w:divBdr>
        <w:top w:val="none" w:sz="0" w:space="0" w:color="auto"/>
        <w:left w:val="none" w:sz="0" w:space="0" w:color="auto"/>
        <w:bottom w:val="none" w:sz="0" w:space="0" w:color="auto"/>
        <w:right w:val="none" w:sz="0" w:space="0" w:color="auto"/>
      </w:divBdr>
    </w:div>
    <w:div w:id="588084041">
      <w:bodyDiv w:val="1"/>
      <w:marLeft w:val="0"/>
      <w:marRight w:val="0"/>
      <w:marTop w:val="0"/>
      <w:marBottom w:val="0"/>
      <w:divBdr>
        <w:top w:val="none" w:sz="0" w:space="0" w:color="auto"/>
        <w:left w:val="none" w:sz="0" w:space="0" w:color="auto"/>
        <w:bottom w:val="none" w:sz="0" w:space="0" w:color="auto"/>
        <w:right w:val="none" w:sz="0" w:space="0" w:color="auto"/>
      </w:divBdr>
    </w:div>
    <w:div w:id="597717875">
      <w:bodyDiv w:val="1"/>
      <w:marLeft w:val="0"/>
      <w:marRight w:val="0"/>
      <w:marTop w:val="0"/>
      <w:marBottom w:val="0"/>
      <w:divBdr>
        <w:top w:val="none" w:sz="0" w:space="0" w:color="auto"/>
        <w:left w:val="none" w:sz="0" w:space="0" w:color="auto"/>
        <w:bottom w:val="none" w:sz="0" w:space="0" w:color="auto"/>
        <w:right w:val="none" w:sz="0" w:space="0" w:color="auto"/>
      </w:divBdr>
    </w:div>
    <w:div w:id="605161533">
      <w:bodyDiv w:val="1"/>
      <w:marLeft w:val="0"/>
      <w:marRight w:val="0"/>
      <w:marTop w:val="0"/>
      <w:marBottom w:val="0"/>
      <w:divBdr>
        <w:top w:val="none" w:sz="0" w:space="0" w:color="auto"/>
        <w:left w:val="none" w:sz="0" w:space="0" w:color="auto"/>
        <w:bottom w:val="none" w:sz="0" w:space="0" w:color="auto"/>
        <w:right w:val="none" w:sz="0" w:space="0" w:color="auto"/>
      </w:divBdr>
    </w:div>
    <w:div w:id="609893539">
      <w:bodyDiv w:val="1"/>
      <w:marLeft w:val="0"/>
      <w:marRight w:val="0"/>
      <w:marTop w:val="0"/>
      <w:marBottom w:val="0"/>
      <w:divBdr>
        <w:top w:val="none" w:sz="0" w:space="0" w:color="auto"/>
        <w:left w:val="none" w:sz="0" w:space="0" w:color="auto"/>
        <w:bottom w:val="none" w:sz="0" w:space="0" w:color="auto"/>
        <w:right w:val="none" w:sz="0" w:space="0" w:color="auto"/>
      </w:divBdr>
    </w:div>
    <w:div w:id="614487216">
      <w:bodyDiv w:val="1"/>
      <w:marLeft w:val="0"/>
      <w:marRight w:val="0"/>
      <w:marTop w:val="0"/>
      <w:marBottom w:val="0"/>
      <w:divBdr>
        <w:top w:val="none" w:sz="0" w:space="0" w:color="auto"/>
        <w:left w:val="none" w:sz="0" w:space="0" w:color="auto"/>
        <w:bottom w:val="none" w:sz="0" w:space="0" w:color="auto"/>
        <w:right w:val="none" w:sz="0" w:space="0" w:color="auto"/>
      </w:divBdr>
    </w:div>
    <w:div w:id="638389063">
      <w:bodyDiv w:val="1"/>
      <w:marLeft w:val="0"/>
      <w:marRight w:val="0"/>
      <w:marTop w:val="0"/>
      <w:marBottom w:val="0"/>
      <w:divBdr>
        <w:top w:val="none" w:sz="0" w:space="0" w:color="auto"/>
        <w:left w:val="none" w:sz="0" w:space="0" w:color="auto"/>
        <w:bottom w:val="none" w:sz="0" w:space="0" w:color="auto"/>
        <w:right w:val="none" w:sz="0" w:space="0" w:color="auto"/>
      </w:divBdr>
    </w:div>
    <w:div w:id="638875964">
      <w:bodyDiv w:val="1"/>
      <w:marLeft w:val="0"/>
      <w:marRight w:val="0"/>
      <w:marTop w:val="0"/>
      <w:marBottom w:val="0"/>
      <w:divBdr>
        <w:top w:val="none" w:sz="0" w:space="0" w:color="auto"/>
        <w:left w:val="none" w:sz="0" w:space="0" w:color="auto"/>
        <w:bottom w:val="none" w:sz="0" w:space="0" w:color="auto"/>
        <w:right w:val="none" w:sz="0" w:space="0" w:color="auto"/>
      </w:divBdr>
    </w:div>
    <w:div w:id="641540817">
      <w:bodyDiv w:val="1"/>
      <w:marLeft w:val="0"/>
      <w:marRight w:val="0"/>
      <w:marTop w:val="0"/>
      <w:marBottom w:val="0"/>
      <w:divBdr>
        <w:top w:val="none" w:sz="0" w:space="0" w:color="auto"/>
        <w:left w:val="none" w:sz="0" w:space="0" w:color="auto"/>
        <w:bottom w:val="none" w:sz="0" w:space="0" w:color="auto"/>
        <w:right w:val="none" w:sz="0" w:space="0" w:color="auto"/>
      </w:divBdr>
    </w:div>
    <w:div w:id="652878617">
      <w:bodyDiv w:val="1"/>
      <w:marLeft w:val="0"/>
      <w:marRight w:val="0"/>
      <w:marTop w:val="0"/>
      <w:marBottom w:val="0"/>
      <w:divBdr>
        <w:top w:val="none" w:sz="0" w:space="0" w:color="auto"/>
        <w:left w:val="none" w:sz="0" w:space="0" w:color="auto"/>
        <w:bottom w:val="none" w:sz="0" w:space="0" w:color="auto"/>
        <w:right w:val="none" w:sz="0" w:space="0" w:color="auto"/>
      </w:divBdr>
    </w:div>
    <w:div w:id="657155979">
      <w:bodyDiv w:val="1"/>
      <w:marLeft w:val="0"/>
      <w:marRight w:val="0"/>
      <w:marTop w:val="0"/>
      <w:marBottom w:val="0"/>
      <w:divBdr>
        <w:top w:val="none" w:sz="0" w:space="0" w:color="auto"/>
        <w:left w:val="none" w:sz="0" w:space="0" w:color="auto"/>
        <w:bottom w:val="none" w:sz="0" w:space="0" w:color="auto"/>
        <w:right w:val="none" w:sz="0" w:space="0" w:color="auto"/>
      </w:divBdr>
    </w:div>
    <w:div w:id="680469413">
      <w:bodyDiv w:val="1"/>
      <w:marLeft w:val="0"/>
      <w:marRight w:val="0"/>
      <w:marTop w:val="0"/>
      <w:marBottom w:val="0"/>
      <w:divBdr>
        <w:top w:val="none" w:sz="0" w:space="0" w:color="auto"/>
        <w:left w:val="none" w:sz="0" w:space="0" w:color="auto"/>
        <w:bottom w:val="none" w:sz="0" w:space="0" w:color="auto"/>
        <w:right w:val="none" w:sz="0" w:space="0" w:color="auto"/>
      </w:divBdr>
    </w:div>
    <w:div w:id="684984670">
      <w:bodyDiv w:val="1"/>
      <w:marLeft w:val="0"/>
      <w:marRight w:val="0"/>
      <w:marTop w:val="0"/>
      <w:marBottom w:val="0"/>
      <w:divBdr>
        <w:top w:val="none" w:sz="0" w:space="0" w:color="auto"/>
        <w:left w:val="none" w:sz="0" w:space="0" w:color="auto"/>
        <w:bottom w:val="none" w:sz="0" w:space="0" w:color="auto"/>
        <w:right w:val="none" w:sz="0" w:space="0" w:color="auto"/>
      </w:divBdr>
    </w:div>
    <w:div w:id="714736870">
      <w:bodyDiv w:val="1"/>
      <w:marLeft w:val="0"/>
      <w:marRight w:val="0"/>
      <w:marTop w:val="0"/>
      <w:marBottom w:val="0"/>
      <w:divBdr>
        <w:top w:val="none" w:sz="0" w:space="0" w:color="auto"/>
        <w:left w:val="none" w:sz="0" w:space="0" w:color="auto"/>
        <w:bottom w:val="none" w:sz="0" w:space="0" w:color="auto"/>
        <w:right w:val="none" w:sz="0" w:space="0" w:color="auto"/>
      </w:divBdr>
    </w:div>
    <w:div w:id="721633336">
      <w:bodyDiv w:val="1"/>
      <w:marLeft w:val="0"/>
      <w:marRight w:val="0"/>
      <w:marTop w:val="0"/>
      <w:marBottom w:val="0"/>
      <w:divBdr>
        <w:top w:val="none" w:sz="0" w:space="0" w:color="auto"/>
        <w:left w:val="none" w:sz="0" w:space="0" w:color="auto"/>
        <w:bottom w:val="none" w:sz="0" w:space="0" w:color="auto"/>
        <w:right w:val="none" w:sz="0" w:space="0" w:color="auto"/>
      </w:divBdr>
    </w:div>
    <w:div w:id="768236891">
      <w:bodyDiv w:val="1"/>
      <w:marLeft w:val="0"/>
      <w:marRight w:val="0"/>
      <w:marTop w:val="0"/>
      <w:marBottom w:val="0"/>
      <w:divBdr>
        <w:top w:val="none" w:sz="0" w:space="0" w:color="auto"/>
        <w:left w:val="none" w:sz="0" w:space="0" w:color="auto"/>
        <w:bottom w:val="none" w:sz="0" w:space="0" w:color="auto"/>
        <w:right w:val="none" w:sz="0" w:space="0" w:color="auto"/>
      </w:divBdr>
    </w:div>
    <w:div w:id="769425018">
      <w:bodyDiv w:val="1"/>
      <w:marLeft w:val="0"/>
      <w:marRight w:val="0"/>
      <w:marTop w:val="0"/>
      <w:marBottom w:val="0"/>
      <w:divBdr>
        <w:top w:val="none" w:sz="0" w:space="0" w:color="auto"/>
        <w:left w:val="none" w:sz="0" w:space="0" w:color="auto"/>
        <w:bottom w:val="none" w:sz="0" w:space="0" w:color="auto"/>
        <w:right w:val="none" w:sz="0" w:space="0" w:color="auto"/>
      </w:divBdr>
    </w:div>
    <w:div w:id="805702670">
      <w:bodyDiv w:val="1"/>
      <w:marLeft w:val="0"/>
      <w:marRight w:val="0"/>
      <w:marTop w:val="0"/>
      <w:marBottom w:val="0"/>
      <w:divBdr>
        <w:top w:val="none" w:sz="0" w:space="0" w:color="auto"/>
        <w:left w:val="none" w:sz="0" w:space="0" w:color="auto"/>
        <w:bottom w:val="none" w:sz="0" w:space="0" w:color="auto"/>
        <w:right w:val="none" w:sz="0" w:space="0" w:color="auto"/>
      </w:divBdr>
      <w:divsChild>
        <w:div w:id="1002780373">
          <w:marLeft w:val="0"/>
          <w:marRight w:val="0"/>
          <w:marTop w:val="0"/>
          <w:marBottom w:val="0"/>
          <w:divBdr>
            <w:top w:val="none" w:sz="0" w:space="0" w:color="auto"/>
            <w:left w:val="none" w:sz="0" w:space="0" w:color="auto"/>
            <w:bottom w:val="none" w:sz="0" w:space="0" w:color="auto"/>
            <w:right w:val="none" w:sz="0" w:space="0" w:color="auto"/>
          </w:divBdr>
          <w:divsChild>
            <w:div w:id="899556940">
              <w:marLeft w:val="0"/>
              <w:marRight w:val="0"/>
              <w:marTop w:val="0"/>
              <w:marBottom w:val="0"/>
              <w:divBdr>
                <w:top w:val="none" w:sz="0" w:space="0" w:color="auto"/>
                <w:left w:val="none" w:sz="0" w:space="0" w:color="auto"/>
                <w:bottom w:val="none" w:sz="0" w:space="0" w:color="auto"/>
                <w:right w:val="none" w:sz="0" w:space="0" w:color="auto"/>
              </w:divBdr>
              <w:divsChild>
                <w:div w:id="1838569593">
                  <w:marLeft w:val="15"/>
                  <w:marRight w:val="15"/>
                  <w:marTop w:val="0"/>
                  <w:marBottom w:val="0"/>
                  <w:divBdr>
                    <w:top w:val="single" w:sz="6" w:space="0" w:color="FFFFFF"/>
                    <w:left w:val="single" w:sz="6" w:space="0" w:color="FFFFFF"/>
                    <w:bottom w:val="single" w:sz="6" w:space="11" w:color="FFFFFF"/>
                    <w:right w:val="single" w:sz="6" w:space="0" w:color="FFFFFF"/>
                  </w:divBdr>
                  <w:divsChild>
                    <w:div w:id="613828522">
                      <w:marLeft w:val="300"/>
                      <w:marRight w:val="300"/>
                      <w:marTop w:val="300"/>
                      <w:marBottom w:val="0"/>
                      <w:divBdr>
                        <w:top w:val="none" w:sz="0" w:space="0" w:color="auto"/>
                        <w:left w:val="none" w:sz="0" w:space="0" w:color="auto"/>
                        <w:bottom w:val="none" w:sz="0" w:space="0" w:color="auto"/>
                        <w:right w:val="none" w:sz="0" w:space="0" w:color="auto"/>
                      </w:divBdr>
                      <w:divsChild>
                        <w:div w:id="573509367">
                          <w:marLeft w:val="0"/>
                          <w:marRight w:val="0"/>
                          <w:marTop w:val="0"/>
                          <w:marBottom w:val="15"/>
                          <w:divBdr>
                            <w:top w:val="single" w:sz="6" w:space="12" w:color="C8C8C8"/>
                            <w:left w:val="single" w:sz="6" w:space="15" w:color="C8C8C8"/>
                            <w:bottom w:val="single" w:sz="6" w:space="0" w:color="C8C8C8"/>
                            <w:right w:val="single" w:sz="6" w:space="15" w:color="C8C8C8"/>
                          </w:divBdr>
                        </w:div>
                      </w:divsChild>
                    </w:div>
                  </w:divsChild>
                </w:div>
              </w:divsChild>
            </w:div>
          </w:divsChild>
        </w:div>
      </w:divsChild>
    </w:div>
    <w:div w:id="811020557">
      <w:bodyDiv w:val="1"/>
      <w:marLeft w:val="0"/>
      <w:marRight w:val="0"/>
      <w:marTop w:val="0"/>
      <w:marBottom w:val="0"/>
      <w:divBdr>
        <w:top w:val="none" w:sz="0" w:space="0" w:color="auto"/>
        <w:left w:val="none" w:sz="0" w:space="0" w:color="auto"/>
        <w:bottom w:val="none" w:sz="0" w:space="0" w:color="auto"/>
        <w:right w:val="none" w:sz="0" w:space="0" w:color="auto"/>
      </w:divBdr>
    </w:div>
    <w:div w:id="812523733">
      <w:bodyDiv w:val="1"/>
      <w:marLeft w:val="0"/>
      <w:marRight w:val="0"/>
      <w:marTop w:val="0"/>
      <w:marBottom w:val="0"/>
      <w:divBdr>
        <w:top w:val="none" w:sz="0" w:space="0" w:color="auto"/>
        <w:left w:val="none" w:sz="0" w:space="0" w:color="auto"/>
        <w:bottom w:val="none" w:sz="0" w:space="0" w:color="auto"/>
        <w:right w:val="none" w:sz="0" w:space="0" w:color="auto"/>
      </w:divBdr>
    </w:div>
    <w:div w:id="814296110">
      <w:bodyDiv w:val="1"/>
      <w:marLeft w:val="0"/>
      <w:marRight w:val="0"/>
      <w:marTop w:val="0"/>
      <w:marBottom w:val="0"/>
      <w:divBdr>
        <w:top w:val="none" w:sz="0" w:space="0" w:color="auto"/>
        <w:left w:val="none" w:sz="0" w:space="0" w:color="auto"/>
        <w:bottom w:val="none" w:sz="0" w:space="0" w:color="auto"/>
        <w:right w:val="none" w:sz="0" w:space="0" w:color="auto"/>
      </w:divBdr>
    </w:div>
    <w:div w:id="817841961">
      <w:bodyDiv w:val="1"/>
      <w:marLeft w:val="0"/>
      <w:marRight w:val="0"/>
      <w:marTop w:val="0"/>
      <w:marBottom w:val="0"/>
      <w:divBdr>
        <w:top w:val="none" w:sz="0" w:space="0" w:color="auto"/>
        <w:left w:val="none" w:sz="0" w:space="0" w:color="auto"/>
        <w:bottom w:val="none" w:sz="0" w:space="0" w:color="auto"/>
        <w:right w:val="none" w:sz="0" w:space="0" w:color="auto"/>
      </w:divBdr>
    </w:div>
    <w:div w:id="822355386">
      <w:bodyDiv w:val="1"/>
      <w:marLeft w:val="0"/>
      <w:marRight w:val="0"/>
      <w:marTop w:val="0"/>
      <w:marBottom w:val="0"/>
      <w:divBdr>
        <w:top w:val="none" w:sz="0" w:space="0" w:color="auto"/>
        <w:left w:val="none" w:sz="0" w:space="0" w:color="auto"/>
        <w:bottom w:val="none" w:sz="0" w:space="0" w:color="auto"/>
        <w:right w:val="none" w:sz="0" w:space="0" w:color="auto"/>
      </w:divBdr>
    </w:div>
    <w:div w:id="833034522">
      <w:bodyDiv w:val="1"/>
      <w:marLeft w:val="0"/>
      <w:marRight w:val="0"/>
      <w:marTop w:val="0"/>
      <w:marBottom w:val="0"/>
      <w:divBdr>
        <w:top w:val="none" w:sz="0" w:space="0" w:color="auto"/>
        <w:left w:val="none" w:sz="0" w:space="0" w:color="auto"/>
        <w:bottom w:val="none" w:sz="0" w:space="0" w:color="auto"/>
        <w:right w:val="none" w:sz="0" w:space="0" w:color="auto"/>
      </w:divBdr>
    </w:div>
    <w:div w:id="847603453">
      <w:bodyDiv w:val="1"/>
      <w:marLeft w:val="0"/>
      <w:marRight w:val="0"/>
      <w:marTop w:val="0"/>
      <w:marBottom w:val="0"/>
      <w:divBdr>
        <w:top w:val="none" w:sz="0" w:space="0" w:color="auto"/>
        <w:left w:val="none" w:sz="0" w:space="0" w:color="auto"/>
        <w:bottom w:val="none" w:sz="0" w:space="0" w:color="auto"/>
        <w:right w:val="none" w:sz="0" w:space="0" w:color="auto"/>
      </w:divBdr>
      <w:divsChild>
        <w:div w:id="1703437941">
          <w:marLeft w:val="0"/>
          <w:marRight w:val="0"/>
          <w:marTop w:val="0"/>
          <w:marBottom w:val="0"/>
          <w:divBdr>
            <w:top w:val="none" w:sz="0" w:space="0" w:color="auto"/>
            <w:left w:val="none" w:sz="0" w:space="0" w:color="auto"/>
            <w:bottom w:val="none" w:sz="0" w:space="0" w:color="auto"/>
            <w:right w:val="none" w:sz="0" w:space="0" w:color="auto"/>
          </w:divBdr>
          <w:divsChild>
            <w:div w:id="416363273">
              <w:marLeft w:val="0"/>
              <w:marRight w:val="0"/>
              <w:marTop w:val="0"/>
              <w:marBottom w:val="0"/>
              <w:divBdr>
                <w:top w:val="none" w:sz="0" w:space="0" w:color="auto"/>
                <w:left w:val="none" w:sz="0" w:space="0" w:color="auto"/>
                <w:bottom w:val="none" w:sz="0" w:space="0" w:color="auto"/>
                <w:right w:val="none" w:sz="0" w:space="0" w:color="auto"/>
              </w:divBdr>
              <w:divsChild>
                <w:div w:id="96872788">
                  <w:marLeft w:val="0"/>
                  <w:marRight w:val="0"/>
                  <w:marTop w:val="0"/>
                  <w:marBottom w:val="0"/>
                  <w:divBdr>
                    <w:top w:val="none" w:sz="0" w:space="0" w:color="auto"/>
                    <w:left w:val="none" w:sz="0" w:space="0" w:color="auto"/>
                    <w:bottom w:val="none" w:sz="0" w:space="0" w:color="auto"/>
                    <w:right w:val="none" w:sz="0" w:space="0" w:color="auto"/>
                  </w:divBdr>
                  <w:divsChild>
                    <w:div w:id="72806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495949">
      <w:bodyDiv w:val="1"/>
      <w:marLeft w:val="0"/>
      <w:marRight w:val="0"/>
      <w:marTop w:val="0"/>
      <w:marBottom w:val="0"/>
      <w:divBdr>
        <w:top w:val="none" w:sz="0" w:space="0" w:color="auto"/>
        <w:left w:val="none" w:sz="0" w:space="0" w:color="auto"/>
        <w:bottom w:val="none" w:sz="0" w:space="0" w:color="auto"/>
        <w:right w:val="none" w:sz="0" w:space="0" w:color="auto"/>
      </w:divBdr>
    </w:div>
    <w:div w:id="861473435">
      <w:bodyDiv w:val="1"/>
      <w:marLeft w:val="0"/>
      <w:marRight w:val="0"/>
      <w:marTop w:val="0"/>
      <w:marBottom w:val="0"/>
      <w:divBdr>
        <w:top w:val="none" w:sz="0" w:space="0" w:color="auto"/>
        <w:left w:val="none" w:sz="0" w:space="0" w:color="auto"/>
        <w:bottom w:val="none" w:sz="0" w:space="0" w:color="auto"/>
        <w:right w:val="none" w:sz="0" w:space="0" w:color="auto"/>
      </w:divBdr>
    </w:div>
    <w:div w:id="864758176">
      <w:bodyDiv w:val="1"/>
      <w:marLeft w:val="0"/>
      <w:marRight w:val="0"/>
      <w:marTop w:val="0"/>
      <w:marBottom w:val="0"/>
      <w:divBdr>
        <w:top w:val="none" w:sz="0" w:space="0" w:color="auto"/>
        <w:left w:val="none" w:sz="0" w:space="0" w:color="auto"/>
        <w:bottom w:val="none" w:sz="0" w:space="0" w:color="auto"/>
        <w:right w:val="none" w:sz="0" w:space="0" w:color="auto"/>
      </w:divBdr>
    </w:div>
    <w:div w:id="876815683">
      <w:bodyDiv w:val="1"/>
      <w:marLeft w:val="0"/>
      <w:marRight w:val="0"/>
      <w:marTop w:val="0"/>
      <w:marBottom w:val="0"/>
      <w:divBdr>
        <w:top w:val="none" w:sz="0" w:space="0" w:color="auto"/>
        <w:left w:val="none" w:sz="0" w:space="0" w:color="auto"/>
        <w:bottom w:val="none" w:sz="0" w:space="0" w:color="auto"/>
        <w:right w:val="none" w:sz="0" w:space="0" w:color="auto"/>
      </w:divBdr>
    </w:div>
    <w:div w:id="880939749">
      <w:bodyDiv w:val="1"/>
      <w:marLeft w:val="0"/>
      <w:marRight w:val="0"/>
      <w:marTop w:val="0"/>
      <w:marBottom w:val="0"/>
      <w:divBdr>
        <w:top w:val="none" w:sz="0" w:space="0" w:color="auto"/>
        <w:left w:val="none" w:sz="0" w:space="0" w:color="auto"/>
        <w:bottom w:val="none" w:sz="0" w:space="0" w:color="auto"/>
        <w:right w:val="none" w:sz="0" w:space="0" w:color="auto"/>
      </w:divBdr>
    </w:div>
    <w:div w:id="892501950">
      <w:bodyDiv w:val="1"/>
      <w:marLeft w:val="0"/>
      <w:marRight w:val="0"/>
      <w:marTop w:val="0"/>
      <w:marBottom w:val="0"/>
      <w:divBdr>
        <w:top w:val="none" w:sz="0" w:space="0" w:color="auto"/>
        <w:left w:val="none" w:sz="0" w:space="0" w:color="auto"/>
        <w:bottom w:val="none" w:sz="0" w:space="0" w:color="auto"/>
        <w:right w:val="none" w:sz="0" w:space="0" w:color="auto"/>
      </w:divBdr>
    </w:div>
    <w:div w:id="941842465">
      <w:bodyDiv w:val="1"/>
      <w:marLeft w:val="0"/>
      <w:marRight w:val="0"/>
      <w:marTop w:val="0"/>
      <w:marBottom w:val="0"/>
      <w:divBdr>
        <w:top w:val="none" w:sz="0" w:space="0" w:color="auto"/>
        <w:left w:val="none" w:sz="0" w:space="0" w:color="auto"/>
        <w:bottom w:val="none" w:sz="0" w:space="0" w:color="auto"/>
        <w:right w:val="none" w:sz="0" w:space="0" w:color="auto"/>
      </w:divBdr>
      <w:divsChild>
        <w:div w:id="100538061">
          <w:marLeft w:val="0"/>
          <w:marRight w:val="0"/>
          <w:marTop w:val="0"/>
          <w:marBottom w:val="0"/>
          <w:divBdr>
            <w:top w:val="none" w:sz="0" w:space="0" w:color="auto"/>
            <w:left w:val="none" w:sz="0" w:space="0" w:color="auto"/>
            <w:bottom w:val="none" w:sz="0" w:space="0" w:color="auto"/>
            <w:right w:val="none" w:sz="0" w:space="0" w:color="auto"/>
          </w:divBdr>
          <w:divsChild>
            <w:div w:id="1014576338">
              <w:marLeft w:val="0"/>
              <w:marRight w:val="0"/>
              <w:marTop w:val="0"/>
              <w:marBottom w:val="0"/>
              <w:divBdr>
                <w:top w:val="none" w:sz="0" w:space="0" w:color="auto"/>
                <w:left w:val="none" w:sz="0" w:space="0" w:color="auto"/>
                <w:bottom w:val="none" w:sz="0" w:space="0" w:color="auto"/>
                <w:right w:val="none" w:sz="0" w:space="0" w:color="auto"/>
              </w:divBdr>
              <w:divsChild>
                <w:div w:id="199167632">
                  <w:marLeft w:val="0"/>
                  <w:marRight w:val="0"/>
                  <w:marTop w:val="0"/>
                  <w:marBottom w:val="0"/>
                  <w:divBdr>
                    <w:top w:val="none" w:sz="0" w:space="0" w:color="auto"/>
                    <w:left w:val="none" w:sz="0" w:space="0" w:color="auto"/>
                    <w:bottom w:val="none" w:sz="0" w:space="0" w:color="auto"/>
                    <w:right w:val="none" w:sz="0" w:space="0" w:color="auto"/>
                  </w:divBdr>
                  <w:divsChild>
                    <w:div w:id="355545866">
                      <w:marLeft w:val="0"/>
                      <w:marRight w:val="0"/>
                      <w:marTop w:val="0"/>
                      <w:marBottom w:val="0"/>
                      <w:divBdr>
                        <w:top w:val="none" w:sz="0" w:space="0" w:color="auto"/>
                        <w:left w:val="none" w:sz="0" w:space="0" w:color="auto"/>
                        <w:bottom w:val="none" w:sz="0" w:space="0" w:color="auto"/>
                        <w:right w:val="none" w:sz="0" w:space="0" w:color="auto"/>
                      </w:divBdr>
                      <w:divsChild>
                        <w:div w:id="1023284446">
                          <w:marLeft w:val="0"/>
                          <w:marRight w:val="0"/>
                          <w:marTop w:val="0"/>
                          <w:marBottom w:val="0"/>
                          <w:divBdr>
                            <w:top w:val="none" w:sz="0" w:space="0" w:color="auto"/>
                            <w:left w:val="none" w:sz="0" w:space="0" w:color="auto"/>
                            <w:bottom w:val="none" w:sz="0" w:space="0" w:color="auto"/>
                            <w:right w:val="none" w:sz="0" w:space="0" w:color="auto"/>
                          </w:divBdr>
                          <w:divsChild>
                            <w:div w:id="42338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4215288">
      <w:bodyDiv w:val="1"/>
      <w:marLeft w:val="0"/>
      <w:marRight w:val="0"/>
      <w:marTop w:val="0"/>
      <w:marBottom w:val="0"/>
      <w:divBdr>
        <w:top w:val="none" w:sz="0" w:space="0" w:color="auto"/>
        <w:left w:val="none" w:sz="0" w:space="0" w:color="auto"/>
        <w:bottom w:val="none" w:sz="0" w:space="0" w:color="auto"/>
        <w:right w:val="none" w:sz="0" w:space="0" w:color="auto"/>
      </w:divBdr>
    </w:div>
    <w:div w:id="955797187">
      <w:bodyDiv w:val="1"/>
      <w:marLeft w:val="0"/>
      <w:marRight w:val="0"/>
      <w:marTop w:val="0"/>
      <w:marBottom w:val="0"/>
      <w:divBdr>
        <w:top w:val="none" w:sz="0" w:space="0" w:color="auto"/>
        <w:left w:val="none" w:sz="0" w:space="0" w:color="auto"/>
        <w:bottom w:val="none" w:sz="0" w:space="0" w:color="auto"/>
        <w:right w:val="none" w:sz="0" w:space="0" w:color="auto"/>
      </w:divBdr>
    </w:div>
    <w:div w:id="960575448">
      <w:bodyDiv w:val="1"/>
      <w:marLeft w:val="0"/>
      <w:marRight w:val="0"/>
      <w:marTop w:val="0"/>
      <w:marBottom w:val="0"/>
      <w:divBdr>
        <w:top w:val="none" w:sz="0" w:space="0" w:color="auto"/>
        <w:left w:val="none" w:sz="0" w:space="0" w:color="auto"/>
        <w:bottom w:val="none" w:sz="0" w:space="0" w:color="auto"/>
        <w:right w:val="none" w:sz="0" w:space="0" w:color="auto"/>
      </w:divBdr>
      <w:divsChild>
        <w:div w:id="1957447356">
          <w:marLeft w:val="0"/>
          <w:marRight w:val="0"/>
          <w:marTop w:val="0"/>
          <w:marBottom w:val="0"/>
          <w:divBdr>
            <w:top w:val="none" w:sz="0" w:space="0" w:color="auto"/>
            <w:left w:val="none" w:sz="0" w:space="0" w:color="auto"/>
            <w:bottom w:val="none" w:sz="0" w:space="0" w:color="auto"/>
            <w:right w:val="none" w:sz="0" w:space="0" w:color="auto"/>
          </w:divBdr>
          <w:divsChild>
            <w:div w:id="2046983830">
              <w:marLeft w:val="0"/>
              <w:marRight w:val="0"/>
              <w:marTop w:val="0"/>
              <w:marBottom w:val="0"/>
              <w:divBdr>
                <w:top w:val="none" w:sz="0" w:space="0" w:color="auto"/>
                <w:left w:val="none" w:sz="0" w:space="0" w:color="auto"/>
                <w:bottom w:val="none" w:sz="0" w:space="0" w:color="auto"/>
                <w:right w:val="none" w:sz="0" w:space="0" w:color="auto"/>
              </w:divBdr>
              <w:divsChild>
                <w:div w:id="82260285">
                  <w:marLeft w:val="0"/>
                  <w:marRight w:val="0"/>
                  <w:marTop w:val="0"/>
                  <w:marBottom w:val="0"/>
                  <w:divBdr>
                    <w:top w:val="none" w:sz="0" w:space="0" w:color="auto"/>
                    <w:left w:val="none" w:sz="0" w:space="0" w:color="auto"/>
                    <w:bottom w:val="none" w:sz="0" w:space="0" w:color="auto"/>
                    <w:right w:val="none" w:sz="0" w:space="0" w:color="auto"/>
                  </w:divBdr>
                  <w:divsChild>
                    <w:div w:id="686099173">
                      <w:marLeft w:val="0"/>
                      <w:marRight w:val="0"/>
                      <w:marTop w:val="0"/>
                      <w:marBottom w:val="0"/>
                      <w:divBdr>
                        <w:top w:val="none" w:sz="0" w:space="0" w:color="auto"/>
                        <w:left w:val="none" w:sz="0" w:space="0" w:color="auto"/>
                        <w:bottom w:val="none" w:sz="0" w:space="0" w:color="auto"/>
                        <w:right w:val="none" w:sz="0" w:space="0" w:color="auto"/>
                      </w:divBdr>
                      <w:divsChild>
                        <w:div w:id="1919170612">
                          <w:marLeft w:val="0"/>
                          <w:marRight w:val="0"/>
                          <w:marTop w:val="0"/>
                          <w:marBottom w:val="0"/>
                          <w:divBdr>
                            <w:top w:val="none" w:sz="0" w:space="0" w:color="auto"/>
                            <w:left w:val="none" w:sz="0" w:space="0" w:color="auto"/>
                            <w:bottom w:val="none" w:sz="0" w:space="0" w:color="auto"/>
                            <w:right w:val="none" w:sz="0" w:space="0" w:color="auto"/>
                          </w:divBdr>
                          <w:divsChild>
                            <w:div w:id="462232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508660">
      <w:bodyDiv w:val="1"/>
      <w:marLeft w:val="0"/>
      <w:marRight w:val="0"/>
      <w:marTop w:val="0"/>
      <w:marBottom w:val="0"/>
      <w:divBdr>
        <w:top w:val="none" w:sz="0" w:space="0" w:color="auto"/>
        <w:left w:val="none" w:sz="0" w:space="0" w:color="auto"/>
        <w:bottom w:val="none" w:sz="0" w:space="0" w:color="auto"/>
        <w:right w:val="none" w:sz="0" w:space="0" w:color="auto"/>
      </w:divBdr>
    </w:div>
    <w:div w:id="999386111">
      <w:bodyDiv w:val="1"/>
      <w:marLeft w:val="0"/>
      <w:marRight w:val="0"/>
      <w:marTop w:val="0"/>
      <w:marBottom w:val="0"/>
      <w:divBdr>
        <w:top w:val="none" w:sz="0" w:space="0" w:color="auto"/>
        <w:left w:val="none" w:sz="0" w:space="0" w:color="auto"/>
        <w:bottom w:val="none" w:sz="0" w:space="0" w:color="auto"/>
        <w:right w:val="none" w:sz="0" w:space="0" w:color="auto"/>
      </w:divBdr>
    </w:div>
    <w:div w:id="1001349840">
      <w:bodyDiv w:val="1"/>
      <w:marLeft w:val="0"/>
      <w:marRight w:val="0"/>
      <w:marTop w:val="0"/>
      <w:marBottom w:val="0"/>
      <w:divBdr>
        <w:top w:val="none" w:sz="0" w:space="0" w:color="auto"/>
        <w:left w:val="none" w:sz="0" w:space="0" w:color="auto"/>
        <w:bottom w:val="none" w:sz="0" w:space="0" w:color="auto"/>
        <w:right w:val="none" w:sz="0" w:space="0" w:color="auto"/>
      </w:divBdr>
    </w:div>
    <w:div w:id="1007057333">
      <w:bodyDiv w:val="1"/>
      <w:marLeft w:val="0"/>
      <w:marRight w:val="0"/>
      <w:marTop w:val="0"/>
      <w:marBottom w:val="0"/>
      <w:divBdr>
        <w:top w:val="none" w:sz="0" w:space="0" w:color="auto"/>
        <w:left w:val="none" w:sz="0" w:space="0" w:color="auto"/>
        <w:bottom w:val="none" w:sz="0" w:space="0" w:color="auto"/>
        <w:right w:val="none" w:sz="0" w:space="0" w:color="auto"/>
      </w:divBdr>
    </w:div>
    <w:div w:id="1014501617">
      <w:bodyDiv w:val="1"/>
      <w:marLeft w:val="0"/>
      <w:marRight w:val="0"/>
      <w:marTop w:val="0"/>
      <w:marBottom w:val="0"/>
      <w:divBdr>
        <w:top w:val="none" w:sz="0" w:space="0" w:color="auto"/>
        <w:left w:val="none" w:sz="0" w:space="0" w:color="auto"/>
        <w:bottom w:val="none" w:sz="0" w:space="0" w:color="auto"/>
        <w:right w:val="none" w:sz="0" w:space="0" w:color="auto"/>
      </w:divBdr>
    </w:div>
    <w:div w:id="1032651559">
      <w:bodyDiv w:val="1"/>
      <w:marLeft w:val="0"/>
      <w:marRight w:val="0"/>
      <w:marTop w:val="0"/>
      <w:marBottom w:val="0"/>
      <w:divBdr>
        <w:top w:val="none" w:sz="0" w:space="0" w:color="auto"/>
        <w:left w:val="none" w:sz="0" w:space="0" w:color="auto"/>
        <w:bottom w:val="none" w:sz="0" w:space="0" w:color="auto"/>
        <w:right w:val="none" w:sz="0" w:space="0" w:color="auto"/>
      </w:divBdr>
    </w:div>
    <w:div w:id="1043212796">
      <w:bodyDiv w:val="1"/>
      <w:marLeft w:val="0"/>
      <w:marRight w:val="0"/>
      <w:marTop w:val="0"/>
      <w:marBottom w:val="0"/>
      <w:divBdr>
        <w:top w:val="none" w:sz="0" w:space="0" w:color="auto"/>
        <w:left w:val="none" w:sz="0" w:space="0" w:color="auto"/>
        <w:bottom w:val="none" w:sz="0" w:space="0" w:color="auto"/>
        <w:right w:val="none" w:sz="0" w:space="0" w:color="auto"/>
      </w:divBdr>
    </w:div>
    <w:div w:id="1048798071">
      <w:bodyDiv w:val="1"/>
      <w:marLeft w:val="0"/>
      <w:marRight w:val="0"/>
      <w:marTop w:val="0"/>
      <w:marBottom w:val="0"/>
      <w:divBdr>
        <w:top w:val="none" w:sz="0" w:space="0" w:color="auto"/>
        <w:left w:val="none" w:sz="0" w:space="0" w:color="auto"/>
        <w:bottom w:val="none" w:sz="0" w:space="0" w:color="auto"/>
        <w:right w:val="none" w:sz="0" w:space="0" w:color="auto"/>
      </w:divBdr>
    </w:div>
    <w:div w:id="1054541256">
      <w:bodyDiv w:val="1"/>
      <w:marLeft w:val="0"/>
      <w:marRight w:val="0"/>
      <w:marTop w:val="0"/>
      <w:marBottom w:val="0"/>
      <w:divBdr>
        <w:top w:val="none" w:sz="0" w:space="0" w:color="auto"/>
        <w:left w:val="none" w:sz="0" w:space="0" w:color="auto"/>
        <w:bottom w:val="none" w:sz="0" w:space="0" w:color="auto"/>
        <w:right w:val="none" w:sz="0" w:space="0" w:color="auto"/>
      </w:divBdr>
    </w:div>
    <w:div w:id="1055812012">
      <w:bodyDiv w:val="1"/>
      <w:marLeft w:val="0"/>
      <w:marRight w:val="0"/>
      <w:marTop w:val="0"/>
      <w:marBottom w:val="0"/>
      <w:divBdr>
        <w:top w:val="none" w:sz="0" w:space="0" w:color="auto"/>
        <w:left w:val="none" w:sz="0" w:space="0" w:color="auto"/>
        <w:bottom w:val="none" w:sz="0" w:space="0" w:color="auto"/>
        <w:right w:val="none" w:sz="0" w:space="0" w:color="auto"/>
      </w:divBdr>
    </w:div>
    <w:div w:id="1056778004">
      <w:bodyDiv w:val="1"/>
      <w:marLeft w:val="0"/>
      <w:marRight w:val="0"/>
      <w:marTop w:val="0"/>
      <w:marBottom w:val="0"/>
      <w:divBdr>
        <w:top w:val="none" w:sz="0" w:space="0" w:color="auto"/>
        <w:left w:val="none" w:sz="0" w:space="0" w:color="auto"/>
        <w:bottom w:val="none" w:sz="0" w:space="0" w:color="auto"/>
        <w:right w:val="none" w:sz="0" w:space="0" w:color="auto"/>
      </w:divBdr>
    </w:div>
    <w:div w:id="1057169319">
      <w:bodyDiv w:val="1"/>
      <w:marLeft w:val="0"/>
      <w:marRight w:val="0"/>
      <w:marTop w:val="0"/>
      <w:marBottom w:val="0"/>
      <w:divBdr>
        <w:top w:val="none" w:sz="0" w:space="0" w:color="auto"/>
        <w:left w:val="none" w:sz="0" w:space="0" w:color="auto"/>
        <w:bottom w:val="none" w:sz="0" w:space="0" w:color="auto"/>
        <w:right w:val="none" w:sz="0" w:space="0" w:color="auto"/>
      </w:divBdr>
    </w:div>
    <w:div w:id="1060858683">
      <w:bodyDiv w:val="1"/>
      <w:marLeft w:val="0"/>
      <w:marRight w:val="0"/>
      <w:marTop w:val="0"/>
      <w:marBottom w:val="0"/>
      <w:divBdr>
        <w:top w:val="none" w:sz="0" w:space="0" w:color="auto"/>
        <w:left w:val="none" w:sz="0" w:space="0" w:color="auto"/>
        <w:bottom w:val="none" w:sz="0" w:space="0" w:color="auto"/>
        <w:right w:val="none" w:sz="0" w:space="0" w:color="auto"/>
      </w:divBdr>
    </w:div>
    <w:div w:id="1071198859">
      <w:bodyDiv w:val="1"/>
      <w:marLeft w:val="0"/>
      <w:marRight w:val="0"/>
      <w:marTop w:val="0"/>
      <w:marBottom w:val="0"/>
      <w:divBdr>
        <w:top w:val="none" w:sz="0" w:space="0" w:color="auto"/>
        <w:left w:val="none" w:sz="0" w:space="0" w:color="auto"/>
        <w:bottom w:val="none" w:sz="0" w:space="0" w:color="auto"/>
        <w:right w:val="none" w:sz="0" w:space="0" w:color="auto"/>
      </w:divBdr>
    </w:div>
    <w:div w:id="1086732608">
      <w:bodyDiv w:val="1"/>
      <w:marLeft w:val="0"/>
      <w:marRight w:val="0"/>
      <w:marTop w:val="0"/>
      <w:marBottom w:val="0"/>
      <w:divBdr>
        <w:top w:val="none" w:sz="0" w:space="0" w:color="auto"/>
        <w:left w:val="none" w:sz="0" w:space="0" w:color="auto"/>
        <w:bottom w:val="none" w:sz="0" w:space="0" w:color="auto"/>
        <w:right w:val="none" w:sz="0" w:space="0" w:color="auto"/>
      </w:divBdr>
    </w:div>
    <w:div w:id="1094011569">
      <w:bodyDiv w:val="1"/>
      <w:marLeft w:val="0"/>
      <w:marRight w:val="0"/>
      <w:marTop w:val="0"/>
      <w:marBottom w:val="0"/>
      <w:divBdr>
        <w:top w:val="none" w:sz="0" w:space="0" w:color="auto"/>
        <w:left w:val="none" w:sz="0" w:space="0" w:color="auto"/>
        <w:bottom w:val="none" w:sz="0" w:space="0" w:color="auto"/>
        <w:right w:val="none" w:sz="0" w:space="0" w:color="auto"/>
      </w:divBdr>
    </w:div>
    <w:div w:id="1102728653">
      <w:bodyDiv w:val="1"/>
      <w:marLeft w:val="0"/>
      <w:marRight w:val="0"/>
      <w:marTop w:val="0"/>
      <w:marBottom w:val="0"/>
      <w:divBdr>
        <w:top w:val="none" w:sz="0" w:space="0" w:color="auto"/>
        <w:left w:val="none" w:sz="0" w:space="0" w:color="auto"/>
        <w:bottom w:val="none" w:sz="0" w:space="0" w:color="auto"/>
        <w:right w:val="none" w:sz="0" w:space="0" w:color="auto"/>
      </w:divBdr>
    </w:div>
    <w:div w:id="1136801302">
      <w:bodyDiv w:val="1"/>
      <w:marLeft w:val="0"/>
      <w:marRight w:val="0"/>
      <w:marTop w:val="0"/>
      <w:marBottom w:val="0"/>
      <w:divBdr>
        <w:top w:val="none" w:sz="0" w:space="0" w:color="auto"/>
        <w:left w:val="none" w:sz="0" w:space="0" w:color="auto"/>
        <w:bottom w:val="none" w:sz="0" w:space="0" w:color="auto"/>
        <w:right w:val="none" w:sz="0" w:space="0" w:color="auto"/>
      </w:divBdr>
    </w:div>
    <w:div w:id="1149050749">
      <w:bodyDiv w:val="1"/>
      <w:marLeft w:val="0"/>
      <w:marRight w:val="0"/>
      <w:marTop w:val="0"/>
      <w:marBottom w:val="0"/>
      <w:divBdr>
        <w:top w:val="none" w:sz="0" w:space="0" w:color="auto"/>
        <w:left w:val="none" w:sz="0" w:space="0" w:color="auto"/>
        <w:bottom w:val="none" w:sz="0" w:space="0" w:color="auto"/>
        <w:right w:val="none" w:sz="0" w:space="0" w:color="auto"/>
      </w:divBdr>
    </w:div>
    <w:div w:id="1159420927">
      <w:bodyDiv w:val="1"/>
      <w:marLeft w:val="0"/>
      <w:marRight w:val="0"/>
      <w:marTop w:val="0"/>
      <w:marBottom w:val="0"/>
      <w:divBdr>
        <w:top w:val="none" w:sz="0" w:space="0" w:color="auto"/>
        <w:left w:val="none" w:sz="0" w:space="0" w:color="auto"/>
        <w:bottom w:val="none" w:sz="0" w:space="0" w:color="auto"/>
        <w:right w:val="none" w:sz="0" w:space="0" w:color="auto"/>
      </w:divBdr>
    </w:div>
    <w:div w:id="1166819731">
      <w:bodyDiv w:val="1"/>
      <w:marLeft w:val="0"/>
      <w:marRight w:val="0"/>
      <w:marTop w:val="0"/>
      <w:marBottom w:val="0"/>
      <w:divBdr>
        <w:top w:val="none" w:sz="0" w:space="0" w:color="auto"/>
        <w:left w:val="none" w:sz="0" w:space="0" w:color="auto"/>
        <w:bottom w:val="none" w:sz="0" w:space="0" w:color="auto"/>
        <w:right w:val="none" w:sz="0" w:space="0" w:color="auto"/>
      </w:divBdr>
    </w:div>
    <w:div w:id="1183592913">
      <w:bodyDiv w:val="1"/>
      <w:marLeft w:val="0"/>
      <w:marRight w:val="0"/>
      <w:marTop w:val="0"/>
      <w:marBottom w:val="0"/>
      <w:divBdr>
        <w:top w:val="none" w:sz="0" w:space="0" w:color="auto"/>
        <w:left w:val="none" w:sz="0" w:space="0" w:color="auto"/>
        <w:bottom w:val="none" w:sz="0" w:space="0" w:color="auto"/>
        <w:right w:val="none" w:sz="0" w:space="0" w:color="auto"/>
      </w:divBdr>
    </w:div>
    <w:div w:id="1193298276">
      <w:bodyDiv w:val="1"/>
      <w:marLeft w:val="0"/>
      <w:marRight w:val="0"/>
      <w:marTop w:val="0"/>
      <w:marBottom w:val="0"/>
      <w:divBdr>
        <w:top w:val="none" w:sz="0" w:space="0" w:color="auto"/>
        <w:left w:val="none" w:sz="0" w:space="0" w:color="auto"/>
        <w:bottom w:val="none" w:sz="0" w:space="0" w:color="auto"/>
        <w:right w:val="none" w:sz="0" w:space="0" w:color="auto"/>
      </w:divBdr>
    </w:div>
    <w:div w:id="1205754404">
      <w:bodyDiv w:val="1"/>
      <w:marLeft w:val="0"/>
      <w:marRight w:val="0"/>
      <w:marTop w:val="0"/>
      <w:marBottom w:val="0"/>
      <w:divBdr>
        <w:top w:val="none" w:sz="0" w:space="0" w:color="auto"/>
        <w:left w:val="none" w:sz="0" w:space="0" w:color="auto"/>
        <w:bottom w:val="none" w:sz="0" w:space="0" w:color="auto"/>
        <w:right w:val="none" w:sz="0" w:space="0" w:color="auto"/>
      </w:divBdr>
    </w:div>
    <w:div w:id="1209217795">
      <w:bodyDiv w:val="1"/>
      <w:marLeft w:val="0"/>
      <w:marRight w:val="0"/>
      <w:marTop w:val="0"/>
      <w:marBottom w:val="0"/>
      <w:divBdr>
        <w:top w:val="none" w:sz="0" w:space="0" w:color="auto"/>
        <w:left w:val="none" w:sz="0" w:space="0" w:color="auto"/>
        <w:bottom w:val="none" w:sz="0" w:space="0" w:color="auto"/>
        <w:right w:val="none" w:sz="0" w:space="0" w:color="auto"/>
      </w:divBdr>
    </w:div>
    <w:div w:id="1224680340">
      <w:bodyDiv w:val="1"/>
      <w:marLeft w:val="0"/>
      <w:marRight w:val="0"/>
      <w:marTop w:val="0"/>
      <w:marBottom w:val="0"/>
      <w:divBdr>
        <w:top w:val="none" w:sz="0" w:space="0" w:color="auto"/>
        <w:left w:val="none" w:sz="0" w:space="0" w:color="auto"/>
        <w:bottom w:val="none" w:sz="0" w:space="0" w:color="auto"/>
        <w:right w:val="none" w:sz="0" w:space="0" w:color="auto"/>
      </w:divBdr>
    </w:div>
    <w:div w:id="1241066319">
      <w:bodyDiv w:val="1"/>
      <w:marLeft w:val="0"/>
      <w:marRight w:val="0"/>
      <w:marTop w:val="0"/>
      <w:marBottom w:val="0"/>
      <w:divBdr>
        <w:top w:val="none" w:sz="0" w:space="0" w:color="auto"/>
        <w:left w:val="none" w:sz="0" w:space="0" w:color="auto"/>
        <w:bottom w:val="none" w:sz="0" w:space="0" w:color="auto"/>
        <w:right w:val="none" w:sz="0" w:space="0" w:color="auto"/>
      </w:divBdr>
    </w:div>
    <w:div w:id="1258173169">
      <w:bodyDiv w:val="1"/>
      <w:marLeft w:val="0"/>
      <w:marRight w:val="0"/>
      <w:marTop w:val="0"/>
      <w:marBottom w:val="0"/>
      <w:divBdr>
        <w:top w:val="none" w:sz="0" w:space="0" w:color="auto"/>
        <w:left w:val="none" w:sz="0" w:space="0" w:color="auto"/>
        <w:bottom w:val="none" w:sz="0" w:space="0" w:color="auto"/>
        <w:right w:val="none" w:sz="0" w:space="0" w:color="auto"/>
      </w:divBdr>
    </w:div>
    <w:div w:id="1261528697">
      <w:bodyDiv w:val="1"/>
      <w:marLeft w:val="0"/>
      <w:marRight w:val="0"/>
      <w:marTop w:val="0"/>
      <w:marBottom w:val="0"/>
      <w:divBdr>
        <w:top w:val="none" w:sz="0" w:space="0" w:color="auto"/>
        <w:left w:val="none" w:sz="0" w:space="0" w:color="auto"/>
        <w:bottom w:val="none" w:sz="0" w:space="0" w:color="auto"/>
        <w:right w:val="none" w:sz="0" w:space="0" w:color="auto"/>
      </w:divBdr>
    </w:div>
    <w:div w:id="1281650398">
      <w:bodyDiv w:val="1"/>
      <w:marLeft w:val="0"/>
      <w:marRight w:val="0"/>
      <w:marTop w:val="0"/>
      <w:marBottom w:val="0"/>
      <w:divBdr>
        <w:top w:val="none" w:sz="0" w:space="0" w:color="auto"/>
        <w:left w:val="none" w:sz="0" w:space="0" w:color="auto"/>
        <w:bottom w:val="none" w:sz="0" w:space="0" w:color="auto"/>
        <w:right w:val="none" w:sz="0" w:space="0" w:color="auto"/>
      </w:divBdr>
    </w:div>
    <w:div w:id="1292446120">
      <w:bodyDiv w:val="1"/>
      <w:marLeft w:val="0"/>
      <w:marRight w:val="0"/>
      <w:marTop w:val="0"/>
      <w:marBottom w:val="0"/>
      <w:divBdr>
        <w:top w:val="none" w:sz="0" w:space="0" w:color="auto"/>
        <w:left w:val="none" w:sz="0" w:space="0" w:color="auto"/>
        <w:bottom w:val="none" w:sz="0" w:space="0" w:color="auto"/>
        <w:right w:val="none" w:sz="0" w:space="0" w:color="auto"/>
      </w:divBdr>
      <w:divsChild>
        <w:div w:id="1543326360">
          <w:marLeft w:val="0"/>
          <w:marRight w:val="0"/>
          <w:marTop w:val="240"/>
          <w:marBottom w:val="480"/>
          <w:divBdr>
            <w:top w:val="none" w:sz="0" w:space="0" w:color="auto"/>
            <w:left w:val="none" w:sz="0" w:space="0" w:color="auto"/>
            <w:bottom w:val="none" w:sz="0" w:space="0" w:color="auto"/>
            <w:right w:val="none" w:sz="0" w:space="0" w:color="auto"/>
          </w:divBdr>
          <w:divsChild>
            <w:div w:id="1703169028">
              <w:marLeft w:val="0"/>
              <w:marRight w:val="0"/>
              <w:marTop w:val="0"/>
              <w:marBottom w:val="0"/>
              <w:divBdr>
                <w:top w:val="none" w:sz="0" w:space="0" w:color="auto"/>
                <w:left w:val="none" w:sz="0" w:space="0" w:color="auto"/>
                <w:bottom w:val="none" w:sz="0" w:space="0" w:color="auto"/>
                <w:right w:val="none" w:sz="0" w:space="0" w:color="auto"/>
              </w:divBdr>
              <w:divsChild>
                <w:div w:id="432475857">
                  <w:marLeft w:val="0"/>
                  <w:marRight w:val="0"/>
                  <w:marTop w:val="0"/>
                  <w:marBottom w:val="0"/>
                  <w:divBdr>
                    <w:top w:val="none" w:sz="0" w:space="0" w:color="auto"/>
                    <w:left w:val="none" w:sz="0" w:space="0" w:color="auto"/>
                    <w:bottom w:val="none" w:sz="0" w:space="0" w:color="auto"/>
                    <w:right w:val="none" w:sz="0" w:space="0" w:color="auto"/>
                  </w:divBdr>
                  <w:divsChild>
                    <w:div w:id="758405914">
                      <w:marLeft w:val="0"/>
                      <w:marRight w:val="0"/>
                      <w:marTop w:val="0"/>
                      <w:marBottom w:val="0"/>
                      <w:divBdr>
                        <w:top w:val="none" w:sz="0" w:space="0" w:color="auto"/>
                        <w:left w:val="none" w:sz="0" w:space="0" w:color="auto"/>
                        <w:bottom w:val="none" w:sz="0" w:space="0" w:color="auto"/>
                        <w:right w:val="none" w:sz="0" w:space="0" w:color="auto"/>
                      </w:divBdr>
                      <w:divsChild>
                        <w:div w:id="189030234">
                          <w:marLeft w:val="0"/>
                          <w:marRight w:val="0"/>
                          <w:marTop w:val="0"/>
                          <w:marBottom w:val="0"/>
                          <w:divBdr>
                            <w:top w:val="none" w:sz="0" w:space="0" w:color="auto"/>
                            <w:left w:val="none" w:sz="0" w:space="0" w:color="auto"/>
                            <w:bottom w:val="none" w:sz="0" w:space="0" w:color="auto"/>
                            <w:right w:val="none" w:sz="0" w:space="0" w:color="auto"/>
                          </w:divBdr>
                          <w:divsChild>
                            <w:div w:id="1482111220">
                              <w:marLeft w:val="0"/>
                              <w:marRight w:val="0"/>
                              <w:marTop w:val="0"/>
                              <w:marBottom w:val="0"/>
                              <w:divBdr>
                                <w:top w:val="none" w:sz="0" w:space="0" w:color="auto"/>
                                <w:left w:val="none" w:sz="0" w:space="0" w:color="auto"/>
                                <w:bottom w:val="none" w:sz="0" w:space="0" w:color="auto"/>
                                <w:right w:val="none" w:sz="0" w:space="0" w:color="auto"/>
                              </w:divBdr>
                              <w:divsChild>
                                <w:div w:id="46007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8365573">
      <w:bodyDiv w:val="1"/>
      <w:marLeft w:val="0"/>
      <w:marRight w:val="0"/>
      <w:marTop w:val="0"/>
      <w:marBottom w:val="0"/>
      <w:divBdr>
        <w:top w:val="none" w:sz="0" w:space="0" w:color="auto"/>
        <w:left w:val="none" w:sz="0" w:space="0" w:color="auto"/>
        <w:bottom w:val="none" w:sz="0" w:space="0" w:color="auto"/>
        <w:right w:val="none" w:sz="0" w:space="0" w:color="auto"/>
      </w:divBdr>
    </w:div>
    <w:div w:id="1344012702">
      <w:bodyDiv w:val="1"/>
      <w:marLeft w:val="0"/>
      <w:marRight w:val="0"/>
      <w:marTop w:val="0"/>
      <w:marBottom w:val="0"/>
      <w:divBdr>
        <w:top w:val="none" w:sz="0" w:space="0" w:color="auto"/>
        <w:left w:val="none" w:sz="0" w:space="0" w:color="auto"/>
        <w:bottom w:val="none" w:sz="0" w:space="0" w:color="auto"/>
        <w:right w:val="none" w:sz="0" w:space="0" w:color="auto"/>
      </w:divBdr>
    </w:div>
    <w:div w:id="1362121356">
      <w:bodyDiv w:val="1"/>
      <w:marLeft w:val="0"/>
      <w:marRight w:val="0"/>
      <w:marTop w:val="0"/>
      <w:marBottom w:val="0"/>
      <w:divBdr>
        <w:top w:val="none" w:sz="0" w:space="0" w:color="auto"/>
        <w:left w:val="none" w:sz="0" w:space="0" w:color="auto"/>
        <w:bottom w:val="none" w:sz="0" w:space="0" w:color="auto"/>
        <w:right w:val="none" w:sz="0" w:space="0" w:color="auto"/>
      </w:divBdr>
    </w:div>
    <w:div w:id="1370451611">
      <w:bodyDiv w:val="1"/>
      <w:marLeft w:val="0"/>
      <w:marRight w:val="0"/>
      <w:marTop w:val="0"/>
      <w:marBottom w:val="0"/>
      <w:divBdr>
        <w:top w:val="none" w:sz="0" w:space="0" w:color="auto"/>
        <w:left w:val="none" w:sz="0" w:space="0" w:color="auto"/>
        <w:bottom w:val="none" w:sz="0" w:space="0" w:color="auto"/>
        <w:right w:val="none" w:sz="0" w:space="0" w:color="auto"/>
      </w:divBdr>
      <w:divsChild>
        <w:div w:id="433134973">
          <w:marLeft w:val="0"/>
          <w:marRight w:val="0"/>
          <w:marTop w:val="0"/>
          <w:marBottom w:val="0"/>
          <w:divBdr>
            <w:top w:val="none" w:sz="0" w:space="0" w:color="auto"/>
            <w:left w:val="none" w:sz="0" w:space="0" w:color="auto"/>
            <w:bottom w:val="none" w:sz="0" w:space="0" w:color="auto"/>
            <w:right w:val="none" w:sz="0" w:space="0" w:color="auto"/>
          </w:divBdr>
          <w:divsChild>
            <w:div w:id="2134789897">
              <w:marLeft w:val="0"/>
              <w:marRight w:val="0"/>
              <w:marTop w:val="0"/>
              <w:marBottom w:val="0"/>
              <w:divBdr>
                <w:top w:val="none" w:sz="0" w:space="0" w:color="auto"/>
                <w:left w:val="none" w:sz="0" w:space="0" w:color="auto"/>
                <w:bottom w:val="none" w:sz="0" w:space="0" w:color="auto"/>
                <w:right w:val="none" w:sz="0" w:space="0" w:color="auto"/>
              </w:divBdr>
              <w:divsChild>
                <w:div w:id="1780756837">
                  <w:marLeft w:val="0"/>
                  <w:marRight w:val="0"/>
                  <w:marTop w:val="0"/>
                  <w:marBottom w:val="0"/>
                  <w:divBdr>
                    <w:top w:val="none" w:sz="0" w:space="0" w:color="auto"/>
                    <w:left w:val="none" w:sz="0" w:space="0" w:color="auto"/>
                    <w:bottom w:val="none" w:sz="0" w:space="0" w:color="auto"/>
                    <w:right w:val="none" w:sz="0" w:space="0" w:color="auto"/>
                  </w:divBdr>
                  <w:divsChild>
                    <w:div w:id="54264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210463">
      <w:bodyDiv w:val="1"/>
      <w:marLeft w:val="0"/>
      <w:marRight w:val="0"/>
      <w:marTop w:val="0"/>
      <w:marBottom w:val="0"/>
      <w:divBdr>
        <w:top w:val="none" w:sz="0" w:space="0" w:color="auto"/>
        <w:left w:val="none" w:sz="0" w:space="0" w:color="auto"/>
        <w:bottom w:val="none" w:sz="0" w:space="0" w:color="auto"/>
        <w:right w:val="none" w:sz="0" w:space="0" w:color="auto"/>
      </w:divBdr>
    </w:div>
    <w:div w:id="1396781968">
      <w:bodyDiv w:val="1"/>
      <w:marLeft w:val="0"/>
      <w:marRight w:val="0"/>
      <w:marTop w:val="0"/>
      <w:marBottom w:val="0"/>
      <w:divBdr>
        <w:top w:val="none" w:sz="0" w:space="0" w:color="auto"/>
        <w:left w:val="none" w:sz="0" w:space="0" w:color="auto"/>
        <w:bottom w:val="none" w:sz="0" w:space="0" w:color="auto"/>
        <w:right w:val="none" w:sz="0" w:space="0" w:color="auto"/>
      </w:divBdr>
    </w:div>
    <w:div w:id="1416122626">
      <w:bodyDiv w:val="1"/>
      <w:marLeft w:val="0"/>
      <w:marRight w:val="0"/>
      <w:marTop w:val="0"/>
      <w:marBottom w:val="0"/>
      <w:divBdr>
        <w:top w:val="none" w:sz="0" w:space="0" w:color="auto"/>
        <w:left w:val="none" w:sz="0" w:space="0" w:color="auto"/>
        <w:bottom w:val="none" w:sz="0" w:space="0" w:color="auto"/>
        <w:right w:val="none" w:sz="0" w:space="0" w:color="auto"/>
      </w:divBdr>
    </w:div>
    <w:div w:id="1426219632">
      <w:bodyDiv w:val="1"/>
      <w:marLeft w:val="0"/>
      <w:marRight w:val="0"/>
      <w:marTop w:val="0"/>
      <w:marBottom w:val="0"/>
      <w:divBdr>
        <w:top w:val="none" w:sz="0" w:space="0" w:color="auto"/>
        <w:left w:val="none" w:sz="0" w:space="0" w:color="auto"/>
        <w:bottom w:val="none" w:sz="0" w:space="0" w:color="auto"/>
        <w:right w:val="none" w:sz="0" w:space="0" w:color="auto"/>
      </w:divBdr>
    </w:div>
    <w:div w:id="1426920831">
      <w:bodyDiv w:val="1"/>
      <w:marLeft w:val="0"/>
      <w:marRight w:val="0"/>
      <w:marTop w:val="0"/>
      <w:marBottom w:val="0"/>
      <w:divBdr>
        <w:top w:val="none" w:sz="0" w:space="0" w:color="auto"/>
        <w:left w:val="none" w:sz="0" w:space="0" w:color="auto"/>
        <w:bottom w:val="none" w:sz="0" w:space="0" w:color="auto"/>
        <w:right w:val="none" w:sz="0" w:space="0" w:color="auto"/>
      </w:divBdr>
    </w:div>
    <w:div w:id="1430008490">
      <w:bodyDiv w:val="1"/>
      <w:marLeft w:val="0"/>
      <w:marRight w:val="0"/>
      <w:marTop w:val="0"/>
      <w:marBottom w:val="0"/>
      <w:divBdr>
        <w:top w:val="none" w:sz="0" w:space="0" w:color="auto"/>
        <w:left w:val="none" w:sz="0" w:space="0" w:color="auto"/>
        <w:bottom w:val="none" w:sz="0" w:space="0" w:color="auto"/>
        <w:right w:val="none" w:sz="0" w:space="0" w:color="auto"/>
      </w:divBdr>
    </w:div>
    <w:div w:id="1438017223">
      <w:bodyDiv w:val="1"/>
      <w:marLeft w:val="0"/>
      <w:marRight w:val="0"/>
      <w:marTop w:val="0"/>
      <w:marBottom w:val="0"/>
      <w:divBdr>
        <w:top w:val="none" w:sz="0" w:space="0" w:color="auto"/>
        <w:left w:val="none" w:sz="0" w:space="0" w:color="auto"/>
        <w:bottom w:val="none" w:sz="0" w:space="0" w:color="auto"/>
        <w:right w:val="none" w:sz="0" w:space="0" w:color="auto"/>
      </w:divBdr>
    </w:div>
    <w:div w:id="1439637374">
      <w:bodyDiv w:val="1"/>
      <w:marLeft w:val="0"/>
      <w:marRight w:val="0"/>
      <w:marTop w:val="0"/>
      <w:marBottom w:val="0"/>
      <w:divBdr>
        <w:top w:val="none" w:sz="0" w:space="0" w:color="auto"/>
        <w:left w:val="none" w:sz="0" w:space="0" w:color="auto"/>
        <w:bottom w:val="none" w:sz="0" w:space="0" w:color="auto"/>
        <w:right w:val="none" w:sz="0" w:space="0" w:color="auto"/>
      </w:divBdr>
    </w:div>
    <w:div w:id="1444304956">
      <w:bodyDiv w:val="1"/>
      <w:marLeft w:val="0"/>
      <w:marRight w:val="0"/>
      <w:marTop w:val="0"/>
      <w:marBottom w:val="0"/>
      <w:divBdr>
        <w:top w:val="none" w:sz="0" w:space="0" w:color="auto"/>
        <w:left w:val="none" w:sz="0" w:space="0" w:color="auto"/>
        <w:bottom w:val="none" w:sz="0" w:space="0" w:color="auto"/>
        <w:right w:val="none" w:sz="0" w:space="0" w:color="auto"/>
      </w:divBdr>
    </w:div>
    <w:div w:id="1492139954">
      <w:bodyDiv w:val="1"/>
      <w:marLeft w:val="0"/>
      <w:marRight w:val="0"/>
      <w:marTop w:val="0"/>
      <w:marBottom w:val="0"/>
      <w:divBdr>
        <w:top w:val="none" w:sz="0" w:space="0" w:color="auto"/>
        <w:left w:val="none" w:sz="0" w:space="0" w:color="auto"/>
        <w:bottom w:val="none" w:sz="0" w:space="0" w:color="auto"/>
        <w:right w:val="none" w:sz="0" w:space="0" w:color="auto"/>
      </w:divBdr>
    </w:div>
    <w:div w:id="1492217039">
      <w:bodyDiv w:val="1"/>
      <w:marLeft w:val="0"/>
      <w:marRight w:val="0"/>
      <w:marTop w:val="0"/>
      <w:marBottom w:val="0"/>
      <w:divBdr>
        <w:top w:val="none" w:sz="0" w:space="0" w:color="auto"/>
        <w:left w:val="none" w:sz="0" w:space="0" w:color="auto"/>
        <w:bottom w:val="none" w:sz="0" w:space="0" w:color="auto"/>
        <w:right w:val="none" w:sz="0" w:space="0" w:color="auto"/>
      </w:divBdr>
    </w:div>
    <w:div w:id="1500778625">
      <w:bodyDiv w:val="1"/>
      <w:marLeft w:val="0"/>
      <w:marRight w:val="0"/>
      <w:marTop w:val="0"/>
      <w:marBottom w:val="0"/>
      <w:divBdr>
        <w:top w:val="none" w:sz="0" w:space="0" w:color="auto"/>
        <w:left w:val="none" w:sz="0" w:space="0" w:color="auto"/>
        <w:bottom w:val="none" w:sz="0" w:space="0" w:color="auto"/>
        <w:right w:val="none" w:sz="0" w:space="0" w:color="auto"/>
      </w:divBdr>
    </w:div>
    <w:div w:id="1505898553">
      <w:bodyDiv w:val="1"/>
      <w:marLeft w:val="0"/>
      <w:marRight w:val="0"/>
      <w:marTop w:val="0"/>
      <w:marBottom w:val="0"/>
      <w:divBdr>
        <w:top w:val="none" w:sz="0" w:space="0" w:color="auto"/>
        <w:left w:val="none" w:sz="0" w:space="0" w:color="auto"/>
        <w:bottom w:val="none" w:sz="0" w:space="0" w:color="auto"/>
        <w:right w:val="none" w:sz="0" w:space="0" w:color="auto"/>
      </w:divBdr>
    </w:div>
    <w:div w:id="1527328717">
      <w:bodyDiv w:val="1"/>
      <w:marLeft w:val="0"/>
      <w:marRight w:val="0"/>
      <w:marTop w:val="0"/>
      <w:marBottom w:val="0"/>
      <w:divBdr>
        <w:top w:val="none" w:sz="0" w:space="0" w:color="auto"/>
        <w:left w:val="none" w:sz="0" w:space="0" w:color="auto"/>
        <w:bottom w:val="none" w:sz="0" w:space="0" w:color="auto"/>
        <w:right w:val="none" w:sz="0" w:space="0" w:color="auto"/>
      </w:divBdr>
    </w:div>
    <w:div w:id="1554079359">
      <w:bodyDiv w:val="1"/>
      <w:marLeft w:val="0"/>
      <w:marRight w:val="0"/>
      <w:marTop w:val="0"/>
      <w:marBottom w:val="0"/>
      <w:divBdr>
        <w:top w:val="none" w:sz="0" w:space="0" w:color="auto"/>
        <w:left w:val="none" w:sz="0" w:space="0" w:color="auto"/>
        <w:bottom w:val="none" w:sz="0" w:space="0" w:color="auto"/>
        <w:right w:val="none" w:sz="0" w:space="0" w:color="auto"/>
      </w:divBdr>
    </w:div>
    <w:div w:id="1558400401">
      <w:bodyDiv w:val="1"/>
      <w:marLeft w:val="0"/>
      <w:marRight w:val="0"/>
      <w:marTop w:val="0"/>
      <w:marBottom w:val="0"/>
      <w:divBdr>
        <w:top w:val="none" w:sz="0" w:space="0" w:color="auto"/>
        <w:left w:val="none" w:sz="0" w:space="0" w:color="auto"/>
        <w:bottom w:val="none" w:sz="0" w:space="0" w:color="auto"/>
        <w:right w:val="none" w:sz="0" w:space="0" w:color="auto"/>
      </w:divBdr>
    </w:div>
    <w:div w:id="1564608672">
      <w:bodyDiv w:val="1"/>
      <w:marLeft w:val="0"/>
      <w:marRight w:val="0"/>
      <w:marTop w:val="0"/>
      <w:marBottom w:val="0"/>
      <w:divBdr>
        <w:top w:val="none" w:sz="0" w:space="0" w:color="auto"/>
        <w:left w:val="none" w:sz="0" w:space="0" w:color="auto"/>
        <w:bottom w:val="none" w:sz="0" w:space="0" w:color="auto"/>
        <w:right w:val="none" w:sz="0" w:space="0" w:color="auto"/>
      </w:divBdr>
    </w:div>
    <w:div w:id="1588688738">
      <w:bodyDiv w:val="1"/>
      <w:marLeft w:val="0"/>
      <w:marRight w:val="0"/>
      <w:marTop w:val="0"/>
      <w:marBottom w:val="0"/>
      <w:divBdr>
        <w:top w:val="none" w:sz="0" w:space="0" w:color="auto"/>
        <w:left w:val="none" w:sz="0" w:space="0" w:color="auto"/>
        <w:bottom w:val="none" w:sz="0" w:space="0" w:color="auto"/>
        <w:right w:val="none" w:sz="0" w:space="0" w:color="auto"/>
      </w:divBdr>
    </w:div>
    <w:div w:id="1592423082">
      <w:bodyDiv w:val="1"/>
      <w:marLeft w:val="0"/>
      <w:marRight w:val="0"/>
      <w:marTop w:val="0"/>
      <w:marBottom w:val="0"/>
      <w:divBdr>
        <w:top w:val="none" w:sz="0" w:space="0" w:color="auto"/>
        <w:left w:val="none" w:sz="0" w:space="0" w:color="auto"/>
        <w:bottom w:val="none" w:sz="0" w:space="0" w:color="auto"/>
        <w:right w:val="none" w:sz="0" w:space="0" w:color="auto"/>
      </w:divBdr>
    </w:div>
    <w:div w:id="1601135070">
      <w:bodyDiv w:val="1"/>
      <w:marLeft w:val="0"/>
      <w:marRight w:val="0"/>
      <w:marTop w:val="0"/>
      <w:marBottom w:val="0"/>
      <w:divBdr>
        <w:top w:val="none" w:sz="0" w:space="0" w:color="auto"/>
        <w:left w:val="none" w:sz="0" w:space="0" w:color="auto"/>
        <w:bottom w:val="none" w:sz="0" w:space="0" w:color="auto"/>
        <w:right w:val="none" w:sz="0" w:space="0" w:color="auto"/>
      </w:divBdr>
    </w:div>
    <w:div w:id="1621492857">
      <w:bodyDiv w:val="1"/>
      <w:marLeft w:val="0"/>
      <w:marRight w:val="0"/>
      <w:marTop w:val="0"/>
      <w:marBottom w:val="0"/>
      <w:divBdr>
        <w:top w:val="none" w:sz="0" w:space="0" w:color="auto"/>
        <w:left w:val="none" w:sz="0" w:space="0" w:color="auto"/>
        <w:bottom w:val="none" w:sz="0" w:space="0" w:color="auto"/>
        <w:right w:val="none" w:sz="0" w:space="0" w:color="auto"/>
      </w:divBdr>
    </w:div>
    <w:div w:id="1657370498">
      <w:bodyDiv w:val="1"/>
      <w:marLeft w:val="0"/>
      <w:marRight w:val="0"/>
      <w:marTop w:val="0"/>
      <w:marBottom w:val="0"/>
      <w:divBdr>
        <w:top w:val="none" w:sz="0" w:space="0" w:color="auto"/>
        <w:left w:val="none" w:sz="0" w:space="0" w:color="auto"/>
        <w:bottom w:val="none" w:sz="0" w:space="0" w:color="auto"/>
        <w:right w:val="none" w:sz="0" w:space="0" w:color="auto"/>
      </w:divBdr>
    </w:div>
    <w:div w:id="1673752316">
      <w:bodyDiv w:val="1"/>
      <w:marLeft w:val="0"/>
      <w:marRight w:val="0"/>
      <w:marTop w:val="0"/>
      <w:marBottom w:val="0"/>
      <w:divBdr>
        <w:top w:val="none" w:sz="0" w:space="0" w:color="auto"/>
        <w:left w:val="none" w:sz="0" w:space="0" w:color="auto"/>
        <w:bottom w:val="none" w:sz="0" w:space="0" w:color="auto"/>
        <w:right w:val="none" w:sz="0" w:space="0" w:color="auto"/>
      </w:divBdr>
    </w:div>
    <w:div w:id="1692680456">
      <w:bodyDiv w:val="1"/>
      <w:marLeft w:val="0"/>
      <w:marRight w:val="0"/>
      <w:marTop w:val="0"/>
      <w:marBottom w:val="0"/>
      <w:divBdr>
        <w:top w:val="none" w:sz="0" w:space="0" w:color="auto"/>
        <w:left w:val="none" w:sz="0" w:space="0" w:color="auto"/>
        <w:bottom w:val="none" w:sz="0" w:space="0" w:color="auto"/>
        <w:right w:val="none" w:sz="0" w:space="0" w:color="auto"/>
      </w:divBdr>
    </w:div>
    <w:div w:id="1704406219">
      <w:bodyDiv w:val="1"/>
      <w:marLeft w:val="0"/>
      <w:marRight w:val="0"/>
      <w:marTop w:val="0"/>
      <w:marBottom w:val="0"/>
      <w:divBdr>
        <w:top w:val="none" w:sz="0" w:space="0" w:color="auto"/>
        <w:left w:val="none" w:sz="0" w:space="0" w:color="auto"/>
        <w:bottom w:val="none" w:sz="0" w:space="0" w:color="auto"/>
        <w:right w:val="none" w:sz="0" w:space="0" w:color="auto"/>
      </w:divBdr>
    </w:div>
    <w:div w:id="1713769398">
      <w:bodyDiv w:val="1"/>
      <w:marLeft w:val="0"/>
      <w:marRight w:val="0"/>
      <w:marTop w:val="0"/>
      <w:marBottom w:val="0"/>
      <w:divBdr>
        <w:top w:val="none" w:sz="0" w:space="0" w:color="auto"/>
        <w:left w:val="none" w:sz="0" w:space="0" w:color="auto"/>
        <w:bottom w:val="none" w:sz="0" w:space="0" w:color="auto"/>
        <w:right w:val="none" w:sz="0" w:space="0" w:color="auto"/>
      </w:divBdr>
    </w:div>
    <w:div w:id="1718816790">
      <w:bodyDiv w:val="1"/>
      <w:marLeft w:val="0"/>
      <w:marRight w:val="0"/>
      <w:marTop w:val="0"/>
      <w:marBottom w:val="0"/>
      <w:divBdr>
        <w:top w:val="none" w:sz="0" w:space="0" w:color="auto"/>
        <w:left w:val="none" w:sz="0" w:space="0" w:color="auto"/>
        <w:bottom w:val="none" w:sz="0" w:space="0" w:color="auto"/>
        <w:right w:val="none" w:sz="0" w:space="0" w:color="auto"/>
      </w:divBdr>
    </w:div>
    <w:div w:id="1722364072">
      <w:bodyDiv w:val="1"/>
      <w:marLeft w:val="0"/>
      <w:marRight w:val="0"/>
      <w:marTop w:val="0"/>
      <w:marBottom w:val="0"/>
      <w:divBdr>
        <w:top w:val="none" w:sz="0" w:space="0" w:color="auto"/>
        <w:left w:val="none" w:sz="0" w:space="0" w:color="auto"/>
        <w:bottom w:val="none" w:sz="0" w:space="0" w:color="auto"/>
        <w:right w:val="none" w:sz="0" w:space="0" w:color="auto"/>
      </w:divBdr>
    </w:div>
    <w:div w:id="1725639818">
      <w:bodyDiv w:val="1"/>
      <w:marLeft w:val="0"/>
      <w:marRight w:val="0"/>
      <w:marTop w:val="0"/>
      <w:marBottom w:val="0"/>
      <w:divBdr>
        <w:top w:val="none" w:sz="0" w:space="0" w:color="auto"/>
        <w:left w:val="none" w:sz="0" w:space="0" w:color="auto"/>
        <w:bottom w:val="none" w:sz="0" w:space="0" w:color="auto"/>
        <w:right w:val="none" w:sz="0" w:space="0" w:color="auto"/>
      </w:divBdr>
    </w:div>
    <w:div w:id="1733960539">
      <w:bodyDiv w:val="1"/>
      <w:marLeft w:val="0"/>
      <w:marRight w:val="0"/>
      <w:marTop w:val="0"/>
      <w:marBottom w:val="0"/>
      <w:divBdr>
        <w:top w:val="none" w:sz="0" w:space="0" w:color="auto"/>
        <w:left w:val="none" w:sz="0" w:space="0" w:color="auto"/>
        <w:bottom w:val="none" w:sz="0" w:space="0" w:color="auto"/>
        <w:right w:val="none" w:sz="0" w:space="0" w:color="auto"/>
      </w:divBdr>
    </w:div>
    <w:div w:id="1782990791">
      <w:bodyDiv w:val="1"/>
      <w:marLeft w:val="0"/>
      <w:marRight w:val="0"/>
      <w:marTop w:val="0"/>
      <w:marBottom w:val="0"/>
      <w:divBdr>
        <w:top w:val="none" w:sz="0" w:space="0" w:color="auto"/>
        <w:left w:val="none" w:sz="0" w:space="0" w:color="auto"/>
        <w:bottom w:val="none" w:sz="0" w:space="0" w:color="auto"/>
        <w:right w:val="none" w:sz="0" w:space="0" w:color="auto"/>
      </w:divBdr>
    </w:div>
    <w:div w:id="1787388383">
      <w:bodyDiv w:val="1"/>
      <w:marLeft w:val="0"/>
      <w:marRight w:val="0"/>
      <w:marTop w:val="0"/>
      <w:marBottom w:val="0"/>
      <w:divBdr>
        <w:top w:val="none" w:sz="0" w:space="0" w:color="auto"/>
        <w:left w:val="none" w:sz="0" w:space="0" w:color="auto"/>
        <w:bottom w:val="none" w:sz="0" w:space="0" w:color="auto"/>
        <w:right w:val="none" w:sz="0" w:space="0" w:color="auto"/>
      </w:divBdr>
    </w:div>
    <w:div w:id="1790318198">
      <w:bodyDiv w:val="1"/>
      <w:marLeft w:val="0"/>
      <w:marRight w:val="0"/>
      <w:marTop w:val="0"/>
      <w:marBottom w:val="0"/>
      <w:divBdr>
        <w:top w:val="none" w:sz="0" w:space="0" w:color="auto"/>
        <w:left w:val="none" w:sz="0" w:space="0" w:color="auto"/>
        <w:bottom w:val="none" w:sz="0" w:space="0" w:color="auto"/>
        <w:right w:val="none" w:sz="0" w:space="0" w:color="auto"/>
      </w:divBdr>
    </w:div>
    <w:div w:id="1799254379">
      <w:bodyDiv w:val="1"/>
      <w:marLeft w:val="0"/>
      <w:marRight w:val="0"/>
      <w:marTop w:val="0"/>
      <w:marBottom w:val="0"/>
      <w:divBdr>
        <w:top w:val="none" w:sz="0" w:space="0" w:color="auto"/>
        <w:left w:val="none" w:sz="0" w:space="0" w:color="auto"/>
        <w:bottom w:val="none" w:sz="0" w:space="0" w:color="auto"/>
        <w:right w:val="none" w:sz="0" w:space="0" w:color="auto"/>
      </w:divBdr>
    </w:div>
    <w:div w:id="1826512857">
      <w:bodyDiv w:val="1"/>
      <w:marLeft w:val="0"/>
      <w:marRight w:val="0"/>
      <w:marTop w:val="0"/>
      <w:marBottom w:val="0"/>
      <w:divBdr>
        <w:top w:val="none" w:sz="0" w:space="0" w:color="auto"/>
        <w:left w:val="none" w:sz="0" w:space="0" w:color="auto"/>
        <w:bottom w:val="none" w:sz="0" w:space="0" w:color="auto"/>
        <w:right w:val="none" w:sz="0" w:space="0" w:color="auto"/>
      </w:divBdr>
    </w:div>
    <w:div w:id="1834224505">
      <w:bodyDiv w:val="1"/>
      <w:marLeft w:val="0"/>
      <w:marRight w:val="0"/>
      <w:marTop w:val="0"/>
      <w:marBottom w:val="0"/>
      <w:divBdr>
        <w:top w:val="none" w:sz="0" w:space="0" w:color="auto"/>
        <w:left w:val="none" w:sz="0" w:space="0" w:color="auto"/>
        <w:bottom w:val="none" w:sz="0" w:space="0" w:color="auto"/>
        <w:right w:val="none" w:sz="0" w:space="0" w:color="auto"/>
      </w:divBdr>
    </w:div>
    <w:div w:id="1854765343">
      <w:bodyDiv w:val="1"/>
      <w:marLeft w:val="0"/>
      <w:marRight w:val="0"/>
      <w:marTop w:val="0"/>
      <w:marBottom w:val="0"/>
      <w:divBdr>
        <w:top w:val="none" w:sz="0" w:space="0" w:color="auto"/>
        <w:left w:val="none" w:sz="0" w:space="0" w:color="auto"/>
        <w:bottom w:val="none" w:sz="0" w:space="0" w:color="auto"/>
        <w:right w:val="none" w:sz="0" w:space="0" w:color="auto"/>
      </w:divBdr>
    </w:div>
    <w:div w:id="1854998537">
      <w:bodyDiv w:val="1"/>
      <w:marLeft w:val="0"/>
      <w:marRight w:val="0"/>
      <w:marTop w:val="0"/>
      <w:marBottom w:val="0"/>
      <w:divBdr>
        <w:top w:val="none" w:sz="0" w:space="0" w:color="auto"/>
        <w:left w:val="none" w:sz="0" w:space="0" w:color="auto"/>
        <w:bottom w:val="none" w:sz="0" w:space="0" w:color="auto"/>
        <w:right w:val="none" w:sz="0" w:space="0" w:color="auto"/>
      </w:divBdr>
    </w:div>
    <w:div w:id="1867021651">
      <w:bodyDiv w:val="1"/>
      <w:marLeft w:val="0"/>
      <w:marRight w:val="0"/>
      <w:marTop w:val="0"/>
      <w:marBottom w:val="0"/>
      <w:divBdr>
        <w:top w:val="none" w:sz="0" w:space="0" w:color="auto"/>
        <w:left w:val="none" w:sz="0" w:space="0" w:color="auto"/>
        <w:bottom w:val="none" w:sz="0" w:space="0" w:color="auto"/>
        <w:right w:val="none" w:sz="0" w:space="0" w:color="auto"/>
      </w:divBdr>
    </w:div>
    <w:div w:id="1875120951">
      <w:bodyDiv w:val="1"/>
      <w:marLeft w:val="0"/>
      <w:marRight w:val="0"/>
      <w:marTop w:val="0"/>
      <w:marBottom w:val="0"/>
      <w:divBdr>
        <w:top w:val="none" w:sz="0" w:space="0" w:color="auto"/>
        <w:left w:val="none" w:sz="0" w:space="0" w:color="auto"/>
        <w:bottom w:val="none" w:sz="0" w:space="0" w:color="auto"/>
        <w:right w:val="none" w:sz="0" w:space="0" w:color="auto"/>
      </w:divBdr>
    </w:div>
    <w:div w:id="1876624831">
      <w:bodyDiv w:val="1"/>
      <w:marLeft w:val="0"/>
      <w:marRight w:val="0"/>
      <w:marTop w:val="0"/>
      <w:marBottom w:val="0"/>
      <w:divBdr>
        <w:top w:val="none" w:sz="0" w:space="0" w:color="auto"/>
        <w:left w:val="none" w:sz="0" w:space="0" w:color="auto"/>
        <w:bottom w:val="none" w:sz="0" w:space="0" w:color="auto"/>
        <w:right w:val="none" w:sz="0" w:space="0" w:color="auto"/>
      </w:divBdr>
    </w:div>
    <w:div w:id="1877813863">
      <w:bodyDiv w:val="1"/>
      <w:marLeft w:val="0"/>
      <w:marRight w:val="0"/>
      <w:marTop w:val="0"/>
      <w:marBottom w:val="0"/>
      <w:divBdr>
        <w:top w:val="none" w:sz="0" w:space="0" w:color="auto"/>
        <w:left w:val="none" w:sz="0" w:space="0" w:color="auto"/>
        <w:bottom w:val="none" w:sz="0" w:space="0" w:color="auto"/>
        <w:right w:val="none" w:sz="0" w:space="0" w:color="auto"/>
      </w:divBdr>
    </w:div>
    <w:div w:id="1877888715">
      <w:bodyDiv w:val="1"/>
      <w:marLeft w:val="0"/>
      <w:marRight w:val="0"/>
      <w:marTop w:val="0"/>
      <w:marBottom w:val="0"/>
      <w:divBdr>
        <w:top w:val="none" w:sz="0" w:space="0" w:color="auto"/>
        <w:left w:val="none" w:sz="0" w:space="0" w:color="auto"/>
        <w:bottom w:val="none" w:sz="0" w:space="0" w:color="auto"/>
        <w:right w:val="none" w:sz="0" w:space="0" w:color="auto"/>
      </w:divBdr>
      <w:divsChild>
        <w:div w:id="953248158">
          <w:marLeft w:val="0"/>
          <w:marRight w:val="0"/>
          <w:marTop w:val="0"/>
          <w:marBottom w:val="0"/>
          <w:divBdr>
            <w:top w:val="none" w:sz="0" w:space="0" w:color="auto"/>
            <w:left w:val="none" w:sz="0" w:space="0" w:color="auto"/>
            <w:bottom w:val="none" w:sz="0" w:space="0" w:color="auto"/>
            <w:right w:val="none" w:sz="0" w:space="0" w:color="auto"/>
          </w:divBdr>
          <w:divsChild>
            <w:div w:id="136651072">
              <w:marLeft w:val="0"/>
              <w:marRight w:val="0"/>
              <w:marTop w:val="0"/>
              <w:marBottom w:val="0"/>
              <w:divBdr>
                <w:top w:val="none" w:sz="0" w:space="0" w:color="auto"/>
                <w:left w:val="none" w:sz="0" w:space="0" w:color="auto"/>
                <w:bottom w:val="none" w:sz="0" w:space="0" w:color="auto"/>
                <w:right w:val="none" w:sz="0" w:space="0" w:color="auto"/>
              </w:divBdr>
              <w:divsChild>
                <w:div w:id="812408662">
                  <w:marLeft w:val="0"/>
                  <w:marRight w:val="0"/>
                  <w:marTop w:val="0"/>
                  <w:marBottom w:val="0"/>
                  <w:divBdr>
                    <w:top w:val="none" w:sz="0" w:space="0" w:color="auto"/>
                    <w:left w:val="none" w:sz="0" w:space="0" w:color="auto"/>
                    <w:bottom w:val="none" w:sz="0" w:space="0" w:color="auto"/>
                    <w:right w:val="none" w:sz="0" w:space="0" w:color="auto"/>
                  </w:divBdr>
                  <w:divsChild>
                    <w:div w:id="514806047">
                      <w:marLeft w:val="2325"/>
                      <w:marRight w:val="0"/>
                      <w:marTop w:val="0"/>
                      <w:marBottom w:val="0"/>
                      <w:divBdr>
                        <w:top w:val="none" w:sz="0" w:space="0" w:color="auto"/>
                        <w:left w:val="none" w:sz="0" w:space="0" w:color="auto"/>
                        <w:bottom w:val="none" w:sz="0" w:space="0" w:color="auto"/>
                        <w:right w:val="none" w:sz="0" w:space="0" w:color="auto"/>
                      </w:divBdr>
                      <w:divsChild>
                        <w:div w:id="614214449">
                          <w:marLeft w:val="0"/>
                          <w:marRight w:val="0"/>
                          <w:marTop w:val="0"/>
                          <w:marBottom w:val="0"/>
                          <w:divBdr>
                            <w:top w:val="none" w:sz="0" w:space="0" w:color="auto"/>
                            <w:left w:val="none" w:sz="0" w:space="0" w:color="auto"/>
                            <w:bottom w:val="none" w:sz="0" w:space="0" w:color="auto"/>
                            <w:right w:val="none" w:sz="0" w:space="0" w:color="auto"/>
                          </w:divBdr>
                          <w:divsChild>
                            <w:div w:id="718475846">
                              <w:marLeft w:val="0"/>
                              <w:marRight w:val="0"/>
                              <w:marTop w:val="0"/>
                              <w:marBottom w:val="0"/>
                              <w:divBdr>
                                <w:top w:val="none" w:sz="0" w:space="0" w:color="auto"/>
                                <w:left w:val="none" w:sz="0" w:space="0" w:color="auto"/>
                                <w:bottom w:val="none" w:sz="0" w:space="0" w:color="auto"/>
                                <w:right w:val="none" w:sz="0" w:space="0" w:color="auto"/>
                              </w:divBdr>
                              <w:divsChild>
                                <w:div w:id="734203542">
                                  <w:marLeft w:val="0"/>
                                  <w:marRight w:val="0"/>
                                  <w:marTop w:val="0"/>
                                  <w:marBottom w:val="0"/>
                                  <w:divBdr>
                                    <w:top w:val="none" w:sz="0" w:space="0" w:color="auto"/>
                                    <w:left w:val="none" w:sz="0" w:space="0" w:color="auto"/>
                                    <w:bottom w:val="none" w:sz="0" w:space="0" w:color="auto"/>
                                    <w:right w:val="none" w:sz="0" w:space="0" w:color="auto"/>
                                  </w:divBdr>
                                  <w:divsChild>
                                    <w:div w:id="1341666666">
                                      <w:marLeft w:val="0"/>
                                      <w:marRight w:val="0"/>
                                      <w:marTop w:val="0"/>
                                      <w:marBottom w:val="0"/>
                                      <w:divBdr>
                                        <w:top w:val="none" w:sz="0" w:space="0" w:color="auto"/>
                                        <w:left w:val="none" w:sz="0" w:space="0" w:color="auto"/>
                                        <w:bottom w:val="none" w:sz="0" w:space="0" w:color="auto"/>
                                        <w:right w:val="none" w:sz="0" w:space="0" w:color="auto"/>
                                      </w:divBdr>
                                      <w:divsChild>
                                        <w:div w:id="1692612397">
                                          <w:marLeft w:val="0"/>
                                          <w:marRight w:val="0"/>
                                          <w:marTop w:val="0"/>
                                          <w:marBottom w:val="0"/>
                                          <w:divBdr>
                                            <w:top w:val="none" w:sz="0" w:space="0" w:color="auto"/>
                                            <w:left w:val="none" w:sz="0" w:space="0" w:color="auto"/>
                                            <w:bottom w:val="none" w:sz="0" w:space="0" w:color="auto"/>
                                            <w:right w:val="none" w:sz="0" w:space="0" w:color="auto"/>
                                          </w:divBdr>
                                          <w:divsChild>
                                            <w:div w:id="110522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519914">
      <w:bodyDiv w:val="1"/>
      <w:marLeft w:val="0"/>
      <w:marRight w:val="0"/>
      <w:marTop w:val="0"/>
      <w:marBottom w:val="0"/>
      <w:divBdr>
        <w:top w:val="none" w:sz="0" w:space="0" w:color="auto"/>
        <w:left w:val="none" w:sz="0" w:space="0" w:color="auto"/>
        <w:bottom w:val="none" w:sz="0" w:space="0" w:color="auto"/>
        <w:right w:val="none" w:sz="0" w:space="0" w:color="auto"/>
      </w:divBdr>
    </w:div>
    <w:div w:id="1890219728">
      <w:bodyDiv w:val="1"/>
      <w:marLeft w:val="0"/>
      <w:marRight w:val="0"/>
      <w:marTop w:val="0"/>
      <w:marBottom w:val="0"/>
      <w:divBdr>
        <w:top w:val="none" w:sz="0" w:space="0" w:color="auto"/>
        <w:left w:val="none" w:sz="0" w:space="0" w:color="auto"/>
        <w:bottom w:val="none" w:sz="0" w:space="0" w:color="auto"/>
        <w:right w:val="none" w:sz="0" w:space="0" w:color="auto"/>
      </w:divBdr>
    </w:div>
    <w:div w:id="1896239755">
      <w:bodyDiv w:val="1"/>
      <w:marLeft w:val="0"/>
      <w:marRight w:val="0"/>
      <w:marTop w:val="0"/>
      <w:marBottom w:val="0"/>
      <w:divBdr>
        <w:top w:val="none" w:sz="0" w:space="0" w:color="auto"/>
        <w:left w:val="none" w:sz="0" w:space="0" w:color="auto"/>
        <w:bottom w:val="none" w:sz="0" w:space="0" w:color="auto"/>
        <w:right w:val="none" w:sz="0" w:space="0" w:color="auto"/>
      </w:divBdr>
    </w:div>
    <w:div w:id="1919635248">
      <w:bodyDiv w:val="1"/>
      <w:marLeft w:val="0"/>
      <w:marRight w:val="0"/>
      <w:marTop w:val="0"/>
      <w:marBottom w:val="0"/>
      <w:divBdr>
        <w:top w:val="none" w:sz="0" w:space="0" w:color="auto"/>
        <w:left w:val="none" w:sz="0" w:space="0" w:color="auto"/>
        <w:bottom w:val="none" w:sz="0" w:space="0" w:color="auto"/>
        <w:right w:val="none" w:sz="0" w:space="0" w:color="auto"/>
      </w:divBdr>
    </w:div>
    <w:div w:id="1926450460">
      <w:bodyDiv w:val="1"/>
      <w:marLeft w:val="0"/>
      <w:marRight w:val="0"/>
      <w:marTop w:val="0"/>
      <w:marBottom w:val="0"/>
      <w:divBdr>
        <w:top w:val="none" w:sz="0" w:space="0" w:color="auto"/>
        <w:left w:val="none" w:sz="0" w:space="0" w:color="auto"/>
        <w:bottom w:val="none" w:sz="0" w:space="0" w:color="auto"/>
        <w:right w:val="none" w:sz="0" w:space="0" w:color="auto"/>
      </w:divBdr>
    </w:div>
    <w:div w:id="1939943821">
      <w:bodyDiv w:val="1"/>
      <w:marLeft w:val="0"/>
      <w:marRight w:val="0"/>
      <w:marTop w:val="0"/>
      <w:marBottom w:val="0"/>
      <w:divBdr>
        <w:top w:val="none" w:sz="0" w:space="0" w:color="auto"/>
        <w:left w:val="none" w:sz="0" w:space="0" w:color="auto"/>
        <w:bottom w:val="none" w:sz="0" w:space="0" w:color="auto"/>
        <w:right w:val="none" w:sz="0" w:space="0" w:color="auto"/>
      </w:divBdr>
    </w:div>
    <w:div w:id="1945461025">
      <w:bodyDiv w:val="1"/>
      <w:marLeft w:val="0"/>
      <w:marRight w:val="0"/>
      <w:marTop w:val="0"/>
      <w:marBottom w:val="0"/>
      <w:divBdr>
        <w:top w:val="none" w:sz="0" w:space="0" w:color="auto"/>
        <w:left w:val="none" w:sz="0" w:space="0" w:color="auto"/>
        <w:bottom w:val="none" w:sz="0" w:space="0" w:color="auto"/>
        <w:right w:val="none" w:sz="0" w:space="0" w:color="auto"/>
      </w:divBdr>
    </w:div>
    <w:div w:id="1950040082">
      <w:bodyDiv w:val="1"/>
      <w:marLeft w:val="0"/>
      <w:marRight w:val="0"/>
      <w:marTop w:val="0"/>
      <w:marBottom w:val="0"/>
      <w:divBdr>
        <w:top w:val="none" w:sz="0" w:space="0" w:color="auto"/>
        <w:left w:val="none" w:sz="0" w:space="0" w:color="auto"/>
        <w:bottom w:val="none" w:sz="0" w:space="0" w:color="auto"/>
        <w:right w:val="none" w:sz="0" w:space="0" w:color="auto"/>
      </w:divBdr>
    </w:div>
    <w:div w:id="1966349684">
      <w:bodyDiv w:val="1"/>
      <w:marLeft w:val="0"/>
      <w:marRight w:val="0"/>
      <w:marTop w:val="0"/>
      <w:marBottom w:val="0"/>
      <w:divBdr>
        <w:top w:val="none" w:sz="0" w:space="0" w:color="auto"/>
        <w:left w:val="none" w:sz="0" w:space="0" w:color="auto"/>
        <w:bottom w:val="none" w:sz="0" w:space="0" w:color="auto"/>
        <w:right w:val="none" w:sz="0" w:space="0" w:color="auto"/>
      </w:divBdr>
    </w:div>
    <w:div w:id="1984313665">
      <w:bodyDiv w:val="1"/>
      <w:marLeft w:val="0"/>
      <w:marRight w:val="0"/>
      <w:marTop w:val="0"/>
      <w:marBottom w:val="0"/>
      <w:divBdr>
        <w:top w:val="none" w:sz="0" w:space="0" w:color="auto"/>
        <w:left w:val="none" w:sz="0" w:space="0" w:color="auto"/>
        <w:bottom w:val="none" w:sz="0" w:space="0" w:color="auto"/>
        <w:right w:val="none" w:sz="0" w:space="0" w:color="auto"/>
      </w:divBdr>
    </w:div>
    <w:div w:id="2014333755">
      <w:bodyDiv w:val="1"/>
      <w:marLeft w:val="0"/>
      <w:marRight w:val="0"/>
      <w:marTop w:val="0"/>
      <w:marBottom w:val="0"/>
      <w:divBdr>
        <w:top w:val="none" w:sz="0" w:space="0" w:color="auto"/>
        <w:left w:val="none" w:sz="0" w:space="0" w:color="auto"/>
        <w:bottom w:val="none" w:sz="0" w:space="0" w:color="auto"/>
        <w:right w:val="none" w:sz="0" w:space="0" w:color="auto"/>
      </w:divBdr>
    </w:div>
    <w:div w:id="2052991800">
      <w:bodyDiv w:val="1"/>
      <w:marLeft w:val="0"/>
      <w:marRight w:val="0"/>
      <w:marTop w:val="0"/>
      <w:marBottom w:val="0"/>
      <w:divBdr>
        <w:top w:val="none" w:sz="0" w:space="0" w:color="auto"/>
        <w:left w:val="none" w:sz="0" w:space="0" w:color="auto"/>
        <w:bottom w:val="none" w:sz="0" w:space="0" w:color="auto"/>
        <w:right w:val="none" w:sz="0" w:space="0" w:color="auto"/>
      </w:divBdr>
    </w:div>
    <w:div w:id="2054498239">
      <w:bodyDiv w:val="1"/>
      <w:marLeft w:val="0"/>
      <w:marRight w:val="0"/>
      <w:marTop w:val="0"/>
      <w:marBottom w:val="0"/>
      <w:divBdr>
        <w:top w:val="none" w:sz="0" w:space="0" w:color="auto"/>
        <w:left w:val="none" w:sz="0" w:space="0" w:color="auto"/>
        <w:bottom w:val="none" w:sz="0" w:space="0" w:color="auto"/>
        <w:right w:val="none" w:sz="0" w:space="0" w:color="auto"/>
      </w:divBdr>
    </w:div>
    <w:div w:id="2056543550">
      <w:bodyDiv w:val="1"/>
      <w:marLeft w:val="0"/>
      <w:marRight w:val="0"/>
      <w:marTop w:val="0"/>
      <w:marBottom w:val="0"/>
      <w:divBdr>
        <w:top w:val="none" w:sz="0" w:space="0" w:color="auto"/>
        <w:left w:val="none" w:sz="0" w:space="0" w:color="auto"/>
        <w:bottom w:val="none" w:sz="0" w:space="0" w:color="auto"/>
        <w:right w:val="none" w:sz="0" w:space="0" w:color="auto"/>
      </w:divBdr>
    </w:div>
    <w:div w:id="2072386737">
      <w:bodyDiv w:val="1"/>
      <w:marLeft w:val="0"/>
      <w:marRight w:val="0"/>
      <w:marTop w:val="0"/>
      <w:marBottom w:val="0"/>
      <w:divBdr>
        <w:top w:val="none" w:sz="0" w:space="0" w:color="auto"/>
        <w:left w:val="none" w:sz="0" w:space="0" w:color="auto"/>
        <w:bottom w:val="none" w:sz="0" w:space="0" w:color="auto"/>
        <w:right w:val="none" w:sz="0" w:space="0" w:color="auto"/>
      </w:divBdr>
    </w:div>
    <w:div w:id="2098091981">
      <w:bodyDiv w:val="1"/>
      <w:marLeft w:val="0"/>
      <w:marRight w:val="0"/>
      <w:marTop w:val="0"/>
      <w:marBottom w:val="0"/>
      <w:divBdr>
        <w:top w:val="none" w:sz="0" w:space="0" w:color="auto"/>
        <w:left w:val="none" w:sz="0" w:space="0" w:color="auto"/>
        <w:bottom w:val="none" w:sz="0" w:space="0" w:color="auto"/>
        <w:right w:val="none" w:sz="0" w:space="0" w:color="auto"/>
      </w:divBdr>
    </w:div>
    <w:div w:id="2106684325">
      <w:bodyDiv w:val="1"/>
      <w:marLeft w:val="0"/>
      <w:marRight w:val="0"/>
      <w:marTop w:val="0"/>
      <w:marBottom w:val="0"/>
      <w:divBdr>
        <w:top w:val="none" w:sz="0" w:space="0" w:color="auto"/>
        <w:left w:val="none" w:sz="0" w:space="0" w:color="auto"/>
        <w:bottom w:val="none" w:sz="0" w:space="0" w:color="auto"/>
        <w:right w:val="none" w:sz="0" w:space="0" w:color="auto"/>
      </w:divBdr>
    </w:div>
    <w:div w:id="2107726096">
      <w:bodyDiv w:val="1"/>
      <w:marLeft w:val="0"/>
      <w:marRight w:val="0"/>
      <w:marTop w:val="0"/>
      <w:marBottom w:val="0"/>
      <w:divBdr>
        <w:top w:val="none" w:sz="0" w:space="0" w:color="auto"/>
        <w:left w:val="none" w:sz="0" w:space="0" w:color="auto"/>
        <w:bottom w:val="none" w:sz="0" w:space="0" w:color="auto"/>
        <w:right w:val="none" w:sz="0" w:space="0" w:color="auto"/>
      </w:divBdr>
    </w:div>
    <w:div w:id="2132554945">
      <w:bodyDiv w:val="1"/>
      <w:marLeft w:val="0"/>
      <w:marRight w:val="0"/>
      <w:marTop w:val="0"/>
      <w:marBottom w:val="0"/>
      <w:divBdr>
        <w:top w:val="none" w:sz="0" w:space="0" w:color="auto"/>
        <w:left w:val="none" w:sz="0" w:space="0" w:color="auto"/>
        <w:bottom w:val="none" w:sz="0" w:space="0" w:color="auto"/>
        <w:right w:val="none" w:sz="0" w:space="0" w:color="auto"/>
      </w:divBdr>
    </w:div>
    <w:div w:id="213582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411E0-ACF8-4308-966E-6223D1341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246</TotalTime>
  <Pages>90</Pages>
  <Words>25513</Words>
  <Characters>149811</Characters>
  <Application>Microsoft Office Word</Application>
  <DocSecurity>0</DocSecurity>
  <Lines>1248</Lines>
  <Paragraphs>349</Paragraphs>
  <ScaleCrop>false</ScaleCrop>
  <HeadingPairs>
    <vt:vector size="2" baseType="variant">
      <vt:variant>
        <vt:lpstr>Title</vt:lpstr>
      </vt:variant>
      <vt:variant>
        <vt:i4>1</vt:i4>
      </vt:variant>
    </vt:vector>
  </HeadingPairs>
  <TitlesOfParts>
    <vt:vector size="1" baseType="lpstr">
      <vt:lpstr>Chapter 9 Fire and ambulance services - Report on Government Services 2015</vt:lpstr>
    </vt:vector>
  </TitlesOfParts>
  <Company>Productivity Commission</Company>
  <LinksUpToDate>false</LinksUpToDate>
  <CharactersWithSpaces>174975</CharactersWithSpaces>
  <SharedDoc>false</SharedDoc>
  <HLinks>
    <vt:vector size="84" baseType="variant">
      <vt:variant>
        <vt:i4>2031675</vt:i4>
      </vt:variant>
      <vt:variant>
        <vt:i4>80</vt:i4>
      </vt:variant>
      <vt:variant>
        <vt:i4>0</vt:i4>
      </vt:variant>
      <vt:variant>
        <vt:i4>5</vt:i4>
      </vt:variant>
      <vt:variant>
        <vt:lpwstr/>
      </vt:variant>
      <vt:variant>
        <vt:lpwstr>_Toc312332987</vt:lpwstr>
      </vt:variant>
      <vt:variant>
        <vt:i4>2031675</vt:i4>
      </vt:variant>
      <vt:variant>
        <vt:i4>74</vt:i4>
      </vt:variant>
      <vt:variant>
        <vt:i4>0</vt:i4>
      </vt:variant>
      <vt:variant>
        <vt:i4>5</vt:i4>
      </vt:variant>
      <vt:variant>
        <vt:lpwstr/>
      </vt:variant>
      <vt:variant>
        <vt:lpwstr>_Toc312332986</vt:lpwstr>
      </vt:variant>
      <vt:variant>
        <vt:i4>2031675</vt:i4>
      </vt:variant>
      <vt:variant>
        <vt:i4>68</vt:i4>
      </vt:variant>
      <vt:variant>
        <vt:i4>0</vt:i4>
      </vt:variant>
      <vt:variant>
        <vt:i4>5</vt:i4>
      </vt:variant>
      <vt:variant>
        <vt:lpwstr/>
      </vt:variant>
      <vt:variant>
        <vt:lpwstr>_Toc312332985</vt:lpwstr>
      </vt:variant>
      <vt:variant>
        <vt:i4>2031675</vt:i4>
      </vt:variant>
      <vt:variant>
        <vt:i4>62</vt:i4>
      </vt:variant>
      <vt:variant>
        <vt:i4>0</vt:i4>
      </vt:variant>
      <vt:variant>
        <vt:i4>5</vt:i4>
      </vt:variant>
      <vt:variant>
        <vt:lpwstr/>
      </vt:variant>
      <vt:variant>
        <vt:lpwstr>_Toc312332984</vt:lpwstr>
      </vt:variant>
      <vt:variant>
        <vt:i4>2031675</vt:i4>
      </vt:variant>
      <vt:variant>
        <vt:i4>56</vt:i4>
      </vt:variant>
      <vt:variant>
        <vt:i4>0</vt:i4>
      </vt:variant>
      <vt:variant>
        <vt:i4>5</vt:i4>
      </vt:variant>
      <vt:variant>
        <vt:lpwstr/>
      </vt:variant>
      <vt:variant>
        <vt:lpwstr>_Toc312332983</vt:lpwstr>
      </vt:variant>
      <vt:variant>
        <vt:i4>2031675</vt:i4>
      </vt:variant>
      <vt:variant>
        <vt:i4>50</vt:i4>
      </vt:variant>
      <vt:variant>
        <vt:i4>0</vt:i4>
      </vt:variant>
      <vt:variant>
        <vt:i4>5</vt:i4>
      </vt:variant>
      <vt:variant>
        <vt:lpwstr/>
      </vt:variant>
      <vt:variant>
        <vt:lpwstr>_Toc312332982</vt:lpwstr>
      </vt:variant>
      <vt:variant>
        <vt:i4>2031675</vt:i4>
      </vt:variant>
      <vt:variant>
        <vt:i4>44</vt:i4>
      </vt:variant>
      <vt:variant>
        <vt:i4>0</vt:i4>
      </vt:variant>
      <vt:variant>
        <vt:i4>5</vt:i4>
      </vt:variant>
      <vt:variant>
        <vt:lpwstr/>
      </vt:variant>
      <vt:variant>
        <vt:lpwstr>_Toc312332981</vt:lpwstr>
      </vt:variant>
      <vt:variant>
        <vt:i4>2031675</vt:i4>
      </vt:variant>
      <vt:variant>
        <vt:i4>38</vt:i4>
      </vt:variant>
      <vt:variant>
        <vt:i4>0</vt:i4>
      </vt:variant>
      <vt:variant>
        <vt:i4>5</vt:i4>
      </vt:variant>
      <vt:variant>
        <vt:lpwstr/>
      </vt:variant>
      <vt:variant>
        <vt:lpwstr>_Toc312332980</vt:lpwstr>
      </vt:variant>
      <vt:variant>
        <vt:i4>1048635</vt:i4>
      </vt:variant>
      <vt:variant>
        <vt:i4>32</vt:i4>
      </vt:variant>
      <vt:variant>
        <vt:i4>0</vt:i4>
      </vt:variant>
      <vt:variant>
        <vt:i4>5</vt:i4>
      </vt:variant>
      <vt:variant>
        <vt:lpwstr/>
      </vt:variant>
      <vt:variant>
        <vt:lpwstr>_Toc312332979</vt:lpwstr>
      </vt:variant>
      <vt:variant>
        <vt:i4>1048635</vt:i4>
      </vt:variant>
      <vt:variant>
        <vt:i4>26</vt:i4>
      </vt:variant>
      <vt:variant>
        <vt:i4>0</vt:i4>
      </vt:variant>
      <vt:variant>
        <vt:i4>5</vt:i4>
      </vt:variant>
      <vt:variant>
        <vt:lpwstr/>
      </vt:variant>
      <vt:variant>
        <vt:lpwstr>_Toc312332978</vt:lpwstr>
      </vt:variant>
      <vt:variant>
        <vt:i4>1048635</vt:i4>
      </vt:variant>
      <vt:variant>
        <vt:i4>20</vt:i4>
      </vt:variant>
      <vt:variant>
        <vt:i4>0</vt:i4>
      </vt:variant>
      <vt:variant>
        <vt:i4>5</vt:i4>
      </vt:variant>
      <vt:variant>
        <vt:lpwstr/>
      </vt:variant>
      <vt:variant>
        <vt:lpwstr>_Toc312332977</vt:lpwstr>
      </vt:variant>
      <vt:variant>
        <vt:i4>1048635</vt:i4>
      </vt:variant>
      <vt:variant>
        <vt:i4>14</vt:i4>
      </vt:variant>
      <vt:variant>
        <vt:i4>0</vt:i4>
      </vt:variant>
      <vt:variant>
        <vt:i4>5</vt:i4>
      </vt:variant>
      <vt:variant>
        <vt:lpwstr/>
      </vt:variant>
      <vt:variant>
        <vt:lpwstr>_Toc312332976</vt:lpwstr>
      </vt:variant>
      <vt:variant>
        <vt:i4>1048635</vt:i4>
      </vt:variant>
      <vt:variant>
        <vt:i4>8</vt:i4>
      </vt:variant>
      <vt:variant>
        <vt:i4>0</vt:i4>
      </vt:variant>
      <vt:variant>
        <vt:i4>5</vt:i4>
      </vt:variant>
      <vt:variant>
        <vt:lpwstr/>
      </vt:variant>
      <vt:variant>
        <vt:lpwstr>_Toc312332975</vt:lpwstr>
      </vt:variant>
      <vt:variant>
        <vt:i4>1048635</vt:i4>
      </vt:variant>
      <vt:variant>
        <vt:i4>2</vt:i4>
      </vt:variant>
      <vt:variant>
        <vt:i4>0</vt:i4>
      </vt:variant>
      <vt:variant>
        <vt:i4>5</vt:i4>
      </vt:variant>
      <vt:variant>
        <vt:lpwstr/>
      </vt:variant>
      <vt:variant>
        <vt:lpwstr>_Toc312332974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Fire and ambulance services - Report on Government Services 2015</dc:title>
  <dc:creator>Steering Committee for the Review of Government Service Provision</dc:creator>
  <cp:lastModifiedBy>Productivity Commission</cp:lastModifiedBy>
  <cp:revision>29</cp:revision>
  <cp:lastPrinted>2015-01-22T03:56:00Z</cp:lastPrinted>
  <dcterms:created xsi:type="dcterms:W3CDTF">2014-12-19T02:52:00Z</dcterms:created>
  <dcterms:modified xsi:type="dcterms:W3CDTF">2015-01-29T02:39:00Z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572865177</vt:i4>
  </property>
</Properties>
</file>