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033205" w:rsidP="00033205">
      <w:pPr>
        <w:pStyle w:val="Heading1"/>
        <w:spacing w:before="0"/>
      </w:pPr>
      <w:bookmarkStart w:id="0" w:name="ChapterNumber"/>
      <w:bookmarkStart w:id="1" w:name="_Toc397611338"/>
      <w:r>
        <w:t>11</w:t>
      </w:r>
      <w:bookmarkEnd w:id="0"/>
      <w:r>
        <w:tab/>
      </w:r>
      <w:bookmarkStart w:id="2" w:name="ChapterTitle"/>
      <w:r>
        <w:t>Public hospitals</w:t>
      </w:r>
      <w:bookmarkEnd w:id="2"/>
      <w:bookmarkEnd w:id="1"/>
    </w:p>
    <w:p w:rsidR="00666E02" w:rsidRDefault="005F522C" w:rsidP="008C0402">
      <w:pPr>
        <w:pStyle w:val="TOC1"/>
      </w:pPr>
      <w:bookmarkStart w:id="3" w:name="begin"/>
      <w:bookmarkEnd w:id="3"/>
      <w:r>
        <w:t>CONTENTS</w:t>
      </w:r>
    </w:p>
    <w:sdt>
      <w:sdtPr>
        <w:rPr>
          <w:rFonts w:ascii="Times New Roman" w:hAnsi="Times New Roman"/>
          <w:kern w:val="28"/>
          <w:sz w:val="52"/>
          <w:szCs w:val="20"/>
          <w:lang w:eastAsia="en-AU"/>
        </w:rPr>
        <w:id w:val="64224512"/>
        <w:docPartObj>
          <w:docPartGallery w:val="Table of Contents"/>
          <w:docPartUnique/>
        </w:docPartObj>
      </w:sdtPr>
      <w:sdtEndPr>
        <w:rPr>
          <w:kern w:val="0"/>
          <w:sz w:val="24"/>
        </w:rPr>
      </w:sdtEndPr>
      <w:sdtContent>
        <w:p w:rsidR="005F522C" w:rsidRDefault="005F522C" w:rsidP="00320EE9">
          <w:pPr>
            <w:pStyle w:val="TOC2"/>
            <w:ind w:left="1276" w:hanging="766"/>
            <w:rPr>
              <w:rFonts w:asciiTheme="minorHAnsi" w:eastAsiaTheme="minorEastAsia" w:hAnsiTheme="minorHAnsi" w:cstheme="minorBidi"/>
              <w:noProof/>
              <w:sz w:val="22"/>
              <w:szCs w:val="22"/>
              <w:lang w:eastAsia="en-AU"/>
            </w:rPr>
          </w:pPr>
          <w:r>
            <w:rPr>
              <w:noProof/>
            </w:rPr>
            <w:t>11.1</w:t>
          </w:r>
          <w:r>
            <w:rPr>
              <w:rFonts w:asciiTheme="minorHAnsi" w:eastAsiaTheme="minorEastAsia" w:hAnsiTheme="minorHAnsi" w:cstheme="minorBidi"/>
              <w:noProof/>
              <w:sz w:val="22"/>
              <w:szCs w:val="22"/>
              <w:lang w:eastAsia="en-AU"/>
            </w:rPr>
            <w:tab/>
          </w:r>
          <w:r>
            <w:rPr>
              <w:noProof/>
            </w:rPr>
            <w:t>Profile of public hospitals</w:t>
          </w:r>
          <w:r>
            <w:rPr>
              <w:noProof/>
            </w:rPr>
            <w:tab/>
          </w:r>
          <w:r w:rsidR="00C97DAD">
            <w:rPr>
              <w:noProof/>
            </w:rPr>
            <w:t>11.</w:t>
          </w:r>
          <w:r w:rsidR="005E2A54">
            <w:rPr>
              <w:noProof/>
            </w:rPr>
            <w:t>2</w:t>
          </w:r>
        </w:p>
        <w:p w:rsidR="005F522C" w:rsidRDefault="005F522C" w:rsidP="00320EE9">
          <w:pPr>
            <w:pStyle w:val="TOC2"/>
            <w:tabs>
              <w:tab w:val="left" w:pos="1320"/>
            </w:tabs>
            <w:ind w:left="1276" w:hanging="766"/>
            <w:rPr>
              <w:rFonts w:asciiTheme="minorHAnsi" w:eastAsiaTheme="minorEastAsia" w:hAnsiTheme="minorHAnsi" w:cstheme="minorBidi"/>
              <w:noProof/>
              <w:sz w:val="22"/>
              <w:szCs w:val="22"/>
              <w:lang w:eastAsia="en-AU"/>
            </w:rPr>
          </w:pPr>
          <w:r>
            <w:rPr>
              <w:noProof/>
            </w:rPr>
            <w:t>11.2</w:t>
          </w:r>
          <w:r>
            <w:rPr>
              <w:rFonts w:asciiTheme="minorHAnsi" w:eastAsiaTheme="minorEastAsia" w:hAnsiTheme="minorHAnsi" w:cstheme="minorBidi"/>
              <w:noProof/>
              <w:sz w:val="22"/>
              <w:szCs w:val="22"/>
              <w:lang w:eastAsia="en-AU"/>
            </w:rPr>
            <w:tab/>
          </w:r>
          <w:r>
            <w:rPr>
              <w:noProof/>
            </w:rPr>
            <w:t>Framework of performance indicators for public hospitals</w:t>
          </w:r>
          <w:r>
            <w:rPr>
              <w:noProof/>
            </w:rPr>
            <w:tab/>
          </w:r>
          <w:r w:rsidR="00C97DAD">
            <w:rPr>
              <w:noProof/>
            </w:rPr>
            <w:t>11.</w:t>
          </w:r>
          <w:r w:rsidR="005E2A54">
            <w:rPr>
              <w:noProof/>
            </w:rPr>
            <w:t>14</w:t>
          </w:r>
        </w:p>
        <w:p w:rsidR="005F522C" w:rsidRDefault="005F522C" w:rsidP="00320EE9">
          <w:pPr>
            <w:pStyle w:val="TOC2"/>
            <w:tabs>
              <w:tab w:val="left" w:pos="1320"/>
            </w:tabs>
            <w:ind w:left="1276" w:hanging="766"/>
            <w:rPr>
              <w:rFonts w:asciiTheme="minorHAnsi" w:eastAsiaTheme="minorEastAsia" w:hAnsiTheme="minorHAnsi" w:cstheme="minorBidi"/>
              <w:noProof/>
              <w:sz w:val="22"/>
              <w:szCs w:val="22"/>
              <w:lang w:eastAsia="en-AU"/>
            </w:rPr>
          </w:pPr>
          <w:r>
            <w:rPr>
              <w:noProof/>
            </w:rPr>
            <w:t>11.3</w:t>
          </w:r>
          <w:r>
            <w:rPr>
              <w:rFonts w:asciiTheme="minorHAnsi" w:eastAsiaTheme="minorEastAsia" w:hAnsiTheme="minorHAnsi" w:cstheme="minorBidi"/>
              <w:noProof/>
              <w:sz w:val="22"/>
              <w:szCs w:val="22"/>
              <w:lang w:eastAsia="en-AU"/>
            </w:rPr>
            <w:tab/>
          </w:r>
          <w:r>
            <w:rPr>
              <w:noProof/>
            </w:rPr>
            <w:t>Key performance indicator results for public hospitals</w:t>
          </w:r>
          <w:r>
            <w:rPr>
              <w:noProof/>
            </w:rPr>
            <w:tab/>
          </w:r>
          <w:r w:rsidR="00C97DAD">
            <w:rPr>
              <w:noProof/>
            </w:rPr>
            <w:t>11.</w:t>
          </w:r>
          <w:r w:rsidR="005E2A54">
            <w:rPr>
              <w:noProof/>
            </w:rPr>
            <w:t>16</w:t>
          </w:r>
        </w:p>
        <w:p w:rsidR="005F522C" w:rsidRDefault="005F522C" w:rsidP="00320EE9">
          <w:pPr>
            <w:pStyle w:val="TOC2"/>
            <w:tabs>
              <w:tab w:val="left" w:pos="1320"/>
            </w:tabs>
            <w:ind w:left="1276" w:hanging="766"/>
            <w:rPr>
              <w:rFonts w:asciiTheme="minorHAnsi" w:eastAsiaTheme="minorEastAsia" w:hAnsiTheme="minorHAnsi" w:cstheme="minorBidi"/>
              <w:noProof/>
              <w:sz w:val="22"/>
              <w:szCs w:val="22"/>
              <w:lang w:eastAsia="en-AU"/>
            </w:rPr>
          </w:pPr>
          <w:r>
            <w:rPr>
              <w:noProof/>
            </w:rPr>
            <w:t>11.4</w:t>
          </w:r>
          <w:r>
            <w:rPr>
              <w:rFonts w:asciiTheme="minorHAnsi" w:eastAsiaTheme="minorEastAsia" w:hAnsiTheme="minorHAnsi" w:cstheme="minorBidi"/>
              <w:noProof/>
              <w:sz w:val="22"/>
              <w:szCs w:val="22"/>
              <w:lang w:eastAsia="en-AU"/>
            </w:rPr>
            <w:tab/>
          </w:r>
          <w:r>
            <w:rPr>
              <w:noProof/>
            </w:rPr>
            <w:t>Profile of maternity services</w:t>
          </w:r>
          <w:r>
            <w:rPr>
              <w:noProof/>
            </w:rPr>
            <w:tab/>
          </w:r>
          <w:r w:rsidR="00C97DAD">
            <w:rPr>
              <w:noProof/>
            </w:rPr>
            <w:t>11.</w:t>
          </w:r>
          <w:r w:rsidR="005E2A54">
            <w:rPr>
              <w:noProof/>
            </w:rPr>
            <w:t>64</w:t>
          </w:r>
        </w:p>
        <w:p w:rsidR="005F522C" w:rsidRDefault="005F522C" w:rsidP="00320EE9">
          <w:pPr>
            <w:pStyle w:val="TOC2"/>
            <w:tabs>
              <w:tab w:val="left" w:pos="1320"/>
            </w:tabs>
            <w:ind w:left="1276" w:hanging="766"/>
            <w:rPr>
              <w:rFonts w:asciiTheme="minorHAnsi" w:eastAsiaTheme="minorEastAsia" w:hAnsiTheme="minorHAnsi" w:cstheme="minorBidi"/>
              <w:noProof/>
              <w:sz w:val="22"/>
              <w:szCs w:val="22"/>
              <w:lang w:eastAsia="en-AU"/>
            </w:rPr>
          </w:pPr>
          <w:r>
            <w:rPr>
              <w:noProof/>
            </w:rPr>
            <w:t>11.5</w:t>
          </w:r>
          <w:r>
            <w:rPr>
              <w:rFonts w:asciiTheme="minorHAnsi" w:eastAsiaTheme="minorEastAsia" w:hAnsiTheme="minorHAnsi" w:cstheme="minorBidi"/>
              <w:noProof/>
              <w:sz w:val="22"/>
              <w:szCs w:val="22"/>
              <w:lang w:eastAsia="en-AU"/>
            </w:rPr>
            <w:tab/>
          </w:r>
          <w:r>
            <w:rPr>
              <w:noProof/>
            </w:rPr>
            <w:t>Framework of performance indicators for maternity services</w:t>
          </w:r>
          <w:r>
            <w:rPr>
              <w:noProof/>
            </w:rPr>
            <w:tab/>
          </w:r>
          <w:r w:rsidR="00C97DAD">
            <w:rPr>
              <w:noProof/>
            </w:rPr>
            <w:t>11.</w:t>
          </w:r>
          <w:r w:rsidR="005E2A54">
            <w:rPr>
              <w:noProof/>
            </w:rPr>
            <w:t>66</w:t>
          </w:r>
        </w:p>
        <w:p w:rsidR="005F522C" w:rsidRDefault="005F522C" w:rsidP="00320EE9">
          <w:pPr>
            <w:pStyle w:val="TOC2"/>
            <w:tabs>
              <w:tab w:val="left" w:pos="1320"/>
            </w:tabs>
            <w:ind w:left="1276" w:hanging="766"/>
            <w:rPr>
              <w:rFonts w:asciiTheme="minorHAnsi" w:eastAsiaTheme="minorEastAsia" w:hAnsiTheme="minorHAnsi" w:cstheme="minorBidi"/>
              <w:noProof/>
              <w:sz w:val="22"/>
              <w:szCs w:val="22"/>
              <w:lang w:eastAsia="en-AU"/>
            </w:rPr>
          </w:pPr>
          <w:r>
            <w:rPr>
              <w:noProof/>
            </w:rPr>
            <w:t>11.6</w:t>
          </w:r>
          <w:r>
            <w:rPr>
              <w:rFonts w:asciiTheme="minorHAnsi" w:eastAsiaTheme="minorEastAsia" w:hAnsiTheme="minorHAnsi" w:cstheme="minorBidi"/>
              <w:noProof/>
              <w:sz w:val="22"/>
              <w:szCs w:val="22"/>
              <w:lang w:eastAsia="en-AU"/>
            </w:rPr>
            <w:tab/>
          </w:r>
          <w:r>
            <w:rPr>
              <w:noProof/>
            </w:rPr>
            <w:t>Key performance indicator results for maternity services</w:t>
          </w:r>
          <w:r>
            <w:rPr>
              <w:noProof/>
            </w:rPr>
            <w:tab/>
          </w:r>
          <w:r w:rsidR="00C97DAD">
            <w:rPr>
              <w:noProof/>
            </w:rPr>
            <w:t>11.</w:t>
          </w:r>
          <w:r w:rsidR="005E2A54">
            <w:rPr>
              <w:noProof/>
            </w:rPr>
            <w:t>68</w:t>
          </w:r>
        </w:p>
        <w:p w:rsidR="005F522C" w:rsidRDefault="005F522C" w:rsidP="00320EE9">
          <w:pPr>
            <w:pStyle w:val="TOC2"/>
            <w:tabs>
              <w:tab w:val="left" w:pos="1320"/>
            </w:tabs>
            <w:ind w:left="1276" w:hanging="766"/>
            <w:rPr>
              <w:rFonts w:asciiTheme="minorHAnsi" w:eastAsiaTheme="minorEastAsia" w:hAnsiTheme="minorHAnsi" w:cstheme="minorBidi"/>
              <w:noProof/>
              <w:sz w:val="22"/>
              <w:szCs w:val="22"/>
              <w:lang w:eastAsia="en-AU"/>
            </w:rPr>
          </w:pPr>
          <w:r>
            <w:rPr>
              <w:noProof/>
            </w:rPr>
            <w:t>11.7</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C97DAD">
            <w:rPr>
              <w:noProof/>
            </w:rPr>
            <w:t>11.</w:t>
          </w:r>
          <w:r w:rsidR="005E2A54">
            <w:rPr>
              <w:noProof/>
            </w:rPr>
            <w:t>86</w:t>
          </w:r>
        </w:p>
        <w:p w:rsidR="005F522C" w:rsidRDefault="005F522C" w:rsidP="00320EE9">
          <w:pPr>
            <w:pStyle w:val="TOC2"/>
            <w:tabs>
              <w:tab w:val="left" w:pos="1320"/>
            </w:tabs>
            <w:ind w:left="1276" w:hanging="766"/>
            <w:rPr>
              <w:rFonts w:asciiTheme="minorHAnsi" w:eastAsiaTheme="minorEastAsia" w:hAnsiTheme="minorHAnsi" w:cstheme="minorBidi"/>
              <w:noProof/>
              <w:sz w:val="22"/>
              <w:szCs w:val="22"/>
              <w:lang w:eastAsia="en-AU"/>
            </w:rPr>
          </w:pPr>
          <w:r>
            <w:rPr>
              <w:noProof/>
            </w:rPr>
            <w:t>11.8</w:t>
          </w:r>
          <w:r>
            <w:rPr>
              <w:rFonts w:asciiTheme="minorHAnsi" w:eastAsiaTheme="minorEastAsia" w:hAnsiTheme="minorHAnsi" w:cstheme="minorBidi"/>
              <w:noProof/>
              <w:sz w:val="22"/>
              <w:szCs w:val="22"/>
              <w:lang w:eastAsia="en-AU"/>
            </w:rPr>
            <w:tab/>
          </w:r>
          <w:r>
            <w:rPr>
              <w:noProof/>
            </w:rPr>
            <w:t>Definitions of key terms</w:t>
          </w:r>
          <w:r>
            <w:rPr>
              <w:noProof/>
            </w:rPr>
            <w:tab/>
          </w:r>
          <w:r w:rsidR="00C97DAD">
            <w:rPr>
              <w:noProof/>
            </w:rPr>
            <w:t>11.</w:t>
          </w:r>
          <w:r w:rsidR="005E2A54">
            <w:rPr>
              <w:noProof/>
            </w:rPr>
            <w:t>88</w:t>
          </w:r>
        </w:p>
        <w:p w:rsidR="005F522C" w:rsidRDefault="005F522C" w:rsidP="00320EE9">
          <w:pPr>
            <w:pStyle w:val="TOC2"/>
            <w:tabs>
              <w:tab w:val="left" w:pos="1320"/>
            </w:tabs>
            <w:ind w:left="1276" w:hanging="766"/>
            <w:rPr>
              <w:rFonts w:asciiTheme="minorHAnsi" w:eastAsiaTheme="minorEastAsia" w:hAnsiTheme="minorHAnsi" w:cstheme="minorBidi"/>
              <w:noProof/>
              <w:sz w:val="22"/>
              <w:szCs w:val="22"/>
              <w:lang w:eastAsia="en-AU"/>
            </w:rPr>
          </w:pPr>
          <w:r>
            <w:rPr>
              <w:noProof/>
            </w:rPr>
            <w:t>11.9</w:t>
          </w:r>
          <w:r>
            <w:rPr>
              <w:rFonts w:asciiTheme="minorHAnsi" w:eastAsiaTheme="minorEastAsia" w:hAnsiTheme="minorHAnsi" w:cstheme="minorBidi"/>
              <w:noProof/>
              <w:sz w:val="22"/>
              <w:szCs w:val="22"/>
              <w:lang w:eastAsia="en-AU"/>
            </w:rPr>
            <w:tab/>
          </w:r>
          <w:r>
            <w:rPr>
              <w:noProof/>
            </w:rPr>
            <w:t>List of attachment tables</w:t>
          </w:r>
          <w:r>
            <w:rPr>
              <w:noProof/>
            </w:rPr>
            <w:tab/>
          </w:r>
          <w:r w:rsidR="00C97DAD">
            <w:rPr>
              <w:noProof/>
            </w:rPr>
            <w:t>11.</w:t>
          </w:r>
          <w:r w:rsidR="005E2A54">
            <w:rPr>
              <w:noProof/>
            </w:rPr>
            <w:t>9</w:t>
          </w:r>
          <w:r w:rsidR="00400E5D">
            <w:rPr>
              <w:noProof/>
            </w:rPr>
            <w:t>2</w:t>
          </w:r>
        </w:p>
        <w:p w:rsidR="005F522C" w:rsidRDefault="005F522C" w:rsidP="00320EE9">
          <w:pPr>
            <w:pStyle w:val="TOC2"/>
            <w:tabs>
              <w:tab w:val="left" w:pos="1276"/>
            </w:tabs>
            <w:rPr>
              <w:rFonts w:asciiTheme="minorHAnsi" w:eastAsiaTheme="minorEastAsia" w:hAnsiTheme="minorHAnsi" w:cstheme="minorBidi"/>
              <w:noProof/>
              <w:sz w:val="22"/>
              <w:szCs w:val="22"/>
              <w:lang w:eastAsia="en-AU"/>
            </w:rPr>
          </w:pPr>
          <w:r>
            <w:rPr>
              <w:noProof/>
            </w:rPr>
            <w:t>11.10</w:t>
          </w:r>
          <w:r w:rsidR="00320EE9">
            <w:rPr>
              <w:rFonts w:asciiTheme="minorHAnsi" w:eastAsiaTheme="minorEastAsia" w:hAnsiTheme="minorHAnsi" w:cstheme="minorBidi"/>
              <w:noProof/>
              <w:sz w:val="22"/>
              <w:szCs w:val="22"/>
              <w:lang w:eastAsia="en-AU"/>
            </w:rPr>
            <w:tab/>
          </w:r>
          <w:r>
            <w:rPr>
              <w:noProof/>
            </w:rPr>
            <w:t>References</w:t>
          </w:r>
          <w:r>
            <w:rPr>
              <w:noProof/>
            </w:rPr>
            <w:tab/>
          </w:r>
          <w:r w:rsidR="00C97DAD">
            <w:rPr>
              <w:noProof/>
            </w:rPr>
            <w:t>11.</w:t>
          </w:r>
          <w:r w:rsidR="005E2A54">
            <w:rPr>
              <w:noProof/>
            </w:rPr>
            <w:t>9</w:t>
          </w:r>
          <w:r w:rsidR="00400E5D">
            <w:rPr>
              <w:noProof/>
            </w:rPr>
            <w:t>7</w:t>
          </w:r>
        </w:p>
        <w:p w:rsidR="005F522C" w:rsidRDefault="009807FC" w:rsidP="00120072">
          <w:pPr>
            <w:pStyle w:val="BodyText"/>
          </w:pPr>
        </w:p>
      </w:sdtContent>
    </w:sdt>
    <w:p w:rsidR="00033205" w:rsidRDefault="0003320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33205" w:rsidTr="007F72D1">
        <w:tc>
          <w:tcPr>
            <w:tcW w:w="8771" w:type="dxa"/>
            <w:tcBorders>
              <w:top w:val="single" w:sz="6" w:space="0" w:color="78A22F"/>
              <w:left w:val="nil"/>
              <w:bottom w:val="nil"/>
              <w:right w:val="nil"/>
            </w:tcBorders>
            <w:shd w:val="clear" w:color="auto" w:fill="F2F2F2"/>
          </w:tcPr>
          <w:p w:rsidR="00033205" w:rsidRDefault="00033205" w:rsidP="008C0402">
            <w:pPr>
              <w:pStyle w:val="BoxTitle"/>
            </w:pPr>
            <w:r>
              <w:t>Attachment tables</w:t>
            </w:r>
          </w:p>
        </w:tc>
      </w:tr>
      <w:tr w:rsidR="00033205" w:rsidTr="007F72D1">
        <w:trPr>
          <w:cantSplit/>
        </w:trPr>
        <w:tc>
          <w:tcPr>
            <w:tcW w:w="8771" w:type="dxa"/>
            <w:tcBorders>
              <w:top w:val="nil"/>
              <w:left w:val="nil"/>
              <w:bottom w:val="nil"/>
              <w:right w:val="nil"/>
            </w:tcBorders>
            <w:shd w:val="clear" w:color="auto" w:fill="F2F2F2"/>
          </w:tcPr>
          <w:p w:rsidR="00033205" w:rsidRPr="008C0402" w:rsidRDefault="008C0402" w:rsidP="008C0402">
            <w:pPr>
              <w:pStyle w:val="Box"/>
            </w:pPr>
            <w:r w:rsidRPr="008C0402">
              <w:t>Attachment tables are identified in references throughout this chapter by a ‘</w:t>
            </w:r>
            <w:proofErr w:type="spellStart"/>
            <w:r w:rsidRPr="008C0402">
              <w:t>11A</w:t>
            </w:r>
            <w:proofErr w:type="spellEnd"/>
            <w:r w:rsidRPr="008C0402">
              <w:t xml:space="preserve">’ prefix (for example, table </w:t>
            </w:r>
            <w:proofErr w:type="spellStart"/>
            <w:r w:rsidRPr="008C0402">
              <w:t>11A.1</w:t>
            </w:r>
            <w:proofErr w:type="spellEnd"/>
            <w:r w:rsidRPr="008C0402">
              <w:t xml:space="preserve">). A full list of attachment tables is provided at the end of this chapter, and the attachment tables are available from the Review website at </w:t>
            </w:r>
            <w:proofErr w:type="spellStart"/>
            <w:r w:rsidRPr="008C0402">
              <w:t>www.pc.gov.au</w:t>
            </w:r>
            <w:proofErr w:type="spellEnd"/>
            <w:r w:rsidRPr="008C0402">
              <w:t>/</w:t>
            </w:r>
            <w:proofErr w:type="spellStart"/>
            <w:r w:rsidRPr="008C0402">
              <w:t>gsp</w:t>
            </w:r>
            <w:proofErr w:type="spellEnd"/>
            <w:r w:rsidRPr="008C0402">
              <w:t>.</w:t>
            </w:r>
          </w:p>
        </w:tc>
      </w:tr>
      <w:tr w:rsidR="00033205" w:rsidTr="007F72D1">
        <w:trPr>
          <w:cantSplit/>
        </w:trPr>
        <w:tc>
          <w:tcPr>
            <w:tcW w:w="8771" w:type="dxa"/>
            <w:tcBorders>
              <w:top w:val="nil"/>
              <w:left w:val="nil"/>
              <w:bottom w:val="single" w:sz="6" w:space="0" w:color="78A22F"/>
              <w:right w:val="nil"/>
            </w:tcBorders>
            <w:shd w:val="clear" w:color="auto" w:fill="F2F2F2"/>
          </w:tcPr>
          <w:p w:rsidR="00033205" w:rsidRDefault="00033205">
            <w:pPr>
              <w:pStyle w:val="Box"/>
              <w:spacing w:before="0" w:line="120" w:lineRule="exact"/>
            </w:pPr>
          </w:p>
        </w:tc>
      </w:tr>
      <w:tr w:rsidR="00033205" w:rsidRPr="000863A5" w:rsidTr="007F72D1">
        <w:tc>
          <w:tcPr>
            <w:tcW w:w="8771" w:type="dxa"/>
            <w:tcBorders>
              <w:top w:val="single" w:sz="6" w:space="0" w:color="78A22F"/>
              <w:left w:val="nil"/>
              <w:bottom w:val="nil"/>
              <w:right w:val="nil"/>
            </w:tcBorders>
          </w:tcPr>
          <w:p w:rsidR="00033205" w:rsidRPr="00626D32" w:rsidRDefault="00033205" w:rsidP="007F72D1">
            <w:pPr>
              <w:pStyle w:val="BoxSpaceBelow"/>
            </w:pPr>
          </w:p>
        </w:tc>
      </w:tr>
    </w:tbl>
    <w:p w:rsidR="00666E02" w:rsidRDefault="008C0402" w:rsidP="00120072">
      <w:pPr>
        <w:pStyle w:val="BodyText"/>
      </w:pPr>
      <w:r w:rsidRPr="008C0402">
        <w:t>Public hospitals are important providers of government funded health services in Australia. This chapter reports on the performance of State and Territory public hospitals, focusing on acute care services. It also reports separately on a significant component of the services provided by public hospitals — maternity services.</w:t>
      </w:r>
    </w:p>
    <w:p w:rsidR="00033205" w:rsidRDefault="001D6C0A" w:rsidP="00120072">
      <w:pPr>
        <w:pStyle w:val="BodyText"/>
      </w:pPr>
      <w:r w:rsidRPr="008C0402">
        <w:t xml:space="preserve">Improvements </w:t>
      </w:r>
      <w:r>
        <w:t>to the</w:t>
      </w:r>
      <w:r w:rsidR="008C0402" w:rsidRPr="008C0402">
        <w:t xml:space="preserve"> reporting o</w:t>
      </w:r>
      <w:r>
        <w:t>f</w:t>
      </w:r>
      <w:r w:rsidR="008C0402" w:rsidRPr="008C0402">
        <w:t xml:space="preserve"> public hospitals in this edition include:</w:t>
      </w:r>
    </w:p>
    <w:p w:rsidR="008C0402" w:rsidRDefault="008C0402" w:rsidP="00340186">
      <w:pPr>
        <w:pStyle w:val="ListBullet"/>
      </w:pPr>
      <w:r>
        <w:t>a new measure ‘</w:t>
      </w:r>
      <w:r w:rsidR="00340186" w:rsidRPr="00340186">
        <w:t>Proportion of emergency department presentations with length of stay of 4 hours or less</w:t>
      </w:r>
      <w:r>
        <w:t>’ is reported under the ‘</w:t>
      </w:r>
      <w:r w:rsidR="00340186">
        <w:t>Emergency department waiting times</w:t>
      </w:r>
      <w:r>
        <w:t>’ indicator</w:t>
      </w:r>
    </w:p>
    <w:p w:rsidR="00C17556" w:rsidRDefault="00C17556" w:rsidP="00C17556">
      <w:pPr>
        <w:pStyle w:val="ListBullet"/>
      </w:pPr>
      <w:r>
        <w:lastRenderedPageBreak/>
        <w:t>‘</w:t>
      </w:r>
      <w:r w:rsidRPr="00C17556">
        <w:t>Elective surgery waiting times by clinical urgency category</w:t>
      </w:r>
      <w:r>
        <w:t>’</w:t>
      </w:r>
      <w:r w:rsidRPr="00C17556">
        <w:t xml:space="preserve"> data are reported on a more timely basis. Data for 2013-14 are reported in line with the other waiting time measures </w:t>
      </w:r>
      <w:r w:rsidR="00B81EBB">
        <w:t>(</w:t>
      </w:r>
      <w:r w:rsidRPr="00C17556">
        <w:t>previously data had been lagged a year</w:t>
      </w:r>
      <w:r w:rsidR="00B81EBB">
        <w:t>)</w:t>
      </w:r>
    </w:p>
    <w:p w:rsidR="00340186" w:rsidRDefault="00E57F9D" w:rsidP="00E919A3">
      <w:pPr>
        <w:pStyle w:val="ListBullet"/>
      </w:pPr>
      <w:r>
        <w:t>the</w:t>
      </w:r>
      <w:r w:rsidR="00340186" w:rsidRPr="00340186">
        <w:t xml:space="preserve"> measure ‘Falls resulting in patient harm in hospitals’ is reported under the ‘</w:t>
      </w:r>
      <w:r>
        <w:t>Adverse events in public hospitals</w:t>
      </w:r>
      <w:r w:rsidR="00340186" w:rsidRPr="00340186">
        <w:t>’ indicator</w:t>
      </w:r>
      <w:r>
        <w:t xml:space="preserve"> for the first time since the 2012 Report</w:t>
      </w:r>
    </w:p>
    <w:p w:rsidR="0091396F" w:rsidRPr="00340186" w:rsidRDefault="0091396F" w:rsidP="00E919A3">
      <w:pPr>
        <w:pStyle w:val="ListBullet"/>
      </w:pPr>
      <w:r>
        <w:t xml:space="preserve">a change in the definition for maternal sentinel events to </w:t>
      </w:r>
      <w:r w:rsidR="006D16B2">
        <w:t>improve</w:t>
      </w:r>
      <w:r>
        <w:t xml:space="preserve"> </w:t>
      </w:r>
      <w:r w:rsidR="006D16B2">
        <w:t>comparability</w:t>
      </w:r>
      <w:r>
        <w:t xml:space="preserve"> across jurisdictions</w:t>
      </w:r>
    </w:p>
    <w:p w:rsidR="008C0402" w:rsidRDefault="009B01E5" w:rsidP="00E919A3">
      <w:pPr>
        <w:pStyle w:val="ListBullet"/>
      </w:pPr>
      <w:r>
        <w:t xml:space="preserve">the </w:t>
      </w:r>
      <w:r w:rsidR="00C17556" w:rsidRPr="009B01E5">
        <w:t xml:space="preserve">age </w:t>
      </w:r>
      <w:r w:rsidRPr="009B01E5">
        <w:t>group used for the ‘</w:t>
      </w:r>
      <w:r w:rsidR="00C17556" w:rsidRPr="009B01E5">
        <w:t xml:space="preserve">Caesareans and inductions </w:t>
      </w:r>
      <w:r w:rsidRPr="009B01E5">
        <w:t xml:space="preserve">for selected </w:t>
      </w:r>
      <w:proofErr w:type="spellStart"/>
      <w:r w:rsidRPr="009B01E5">
        <w:t>primiparae</w:t>
      </w:r>
      <w:proofErr w:type="spellEnd"/>
      <w:r w:rsidRPr="009B01E5">
        <w:t>’ indicator</w:t>
      </w:r>
      <w:r>
        <w:t xml:space="preserve">s has been changed from 25–29 years to 20–34 years to align with </w:t>
      </w:r>
      <w:r w:rsidR="00BE6192">
        <w:t xml:space="preserve">national data </w:t>
      </w:r>
      <w:r>
        <w:t xml:space="preserve">definitions </w:t>
      </w:r>
    </w:p>
    <w:p w:rsidR="008C0402" w:rsidRDefault="009B01E5" w:rsidP="00E919A3">
      <w:pPr>
        <w:pStyle w:val="ListBullet"/>
      </w:pPr>
      <w:r>
        <w:t xml:space="preserve">the name of the indicator </w:t>
      </w:r>
      <w:r w:rsidRPr="009B01E5">
        <w:t xml:space="preserve">‘Vaginal delivery following previous caesarean’ </w:t>
      </w:r>
      <w:r w:rsidR="00BE6192">
        <w:t xml:space="preserve">has </w:t>
      </w:r>
      <w:r w:rsidR="00B81EBB">
        <w:t>been</w:t>
      </w:r>
      <w:r w:rsidR="00BE6192">
        <w:t xml:space="preserve"> changed </w:t>
      </w:r>
      <w:r w:rsidRPr="009B01E5">
        <w:t xml:space="preserve">to ‘Vaginal </w:t>
      </w:r>
      <w:r w:rsidR="006C251D">
        <w:t>birth after</w:t>
      </w:r>
      <w:r w:rsidRPr="009B01E5">
        <w:t xml:space="preserve"> caesarean</w:t>
      </w:r>
      <w:r w:rsidR="006C251D">
        <w:t xml:space="preserve"> section</w:t>
      </w:r>
      <w:r w:rsidRPr="009B01E5">
        <w:t>’</w:t>
      </w:r>
      <w:r>
        <w:t xml:space="preserve"> </w:t>
      </w:r>
    </w:p>
    <w:p w:rsidR="00033205" w:rsidRDefault="008C0402" w:rsidP="00E919A3">
      <w:pPr>
        <w:pStyle w:val="ListBullet"/>
      </w:pPr>
      <w:r>
        <w:t xml:space="preserve">data quality information (DQI) is available for the first time for the </w:t>
      </w:r>
      <w:r w:rsidR="00E57F9D">
        <w:t>measures</w:t>
      </w:r>
      <w:r>
        <w:t xml:space="preserve"> </w:t>
      </w:r>
      <w:r w:rsidR="00E57F9D">
        <w:t>‘</w:t>
      </w:r>
      <w:r w:rsidR="00E57F9D" w:rsidRPr="00E57F9D">
        <w:t>Presentations to emergency departments with a length of stay of 4 hours or less ending in admission</w:t>
      </w:r>
      <w:r w:rsidR="00E57F9D">
        <w:t>’, ‘</w:t>
      </w:r>
      <w:r w:rsidR="00E57F9D" w:rsidRPr="00E57F9D">
        <w:t>Proportion of emergency department presentations with length of stay of 4 hours or less</w:t>
      </w:r>
      <w:r w:rsidR="00E57F9D">
        <w:t>’</w:t>
      </w:r>
      <w:r w:rsidR="00D0099F">
        <w:t>,</w:t>
      </w:r>
      <w:r w:rsidR="00E57F9D">
        <w:t xml:space="preserve"> </w:t>
      </w:r>
      <w:r>
        <w:t>‘</w:t>
      </w:r>
      <w:r w:rsidR="00E57F9D">
        <w:t>Adverse events</w:t>
      </w:r>
      <w:r>
        <w:t>’</w:t>
      </w:r>
      <w:r w:rsidR="00D0099F" w:rsidRPr="00D0099F">
        <w:t xml:space="preserve"> </w:t>
      </w:r>
      <w:r w:rsidR="00D0099F">
        <w:t>and ‘</w:t>
      </w:r>
      <w:r w:rsidR="00D0099F" w:rsidRPr="00232AA2">
        <w:t>Falls resulting in patient harm in hospitals</w:t>
      </w:r>
      <w:r w:rsidR="00D0099F">
        <w:t>’</w:t>
      </w:r>
      <w:r>
        <w:t xml:space="preserve">, </w:t>
      </w:r>
      <w:r w:rsidR="00E57F9D">
        <w:t>and the indicator</w:t>
      </w:r>
      <w:r>
        <w:t xml:space="preserve"> ‘</w:t>
      </w:r>
      <w:r w:rsidR="00E57F9D">
        <w:t>Mother’s average length of stay</w:t>
      </w:r>
      <w:r>
        <w:t>’.</w:t>
      </w:r>
    </w:p>
    <w:p w:rsidR="00D434A0" w:rsidRDefault="00D8447A" w:rsidP="00D8447A">
      <w:pPr>
        <w:pStyle w:val="Heading2"/>
      </w:pPr>
      <w:bookmarkStart w:id="4" w:name="_Toc397611339"/>
      <w:r>
        <w:t>11.</w:t>
      </w:r>
      <w:r w:rsidR="009A53E9">
        <w:rPr>
          <w:noProof/>
        </w:rPr>
        <w:t>1</w:t>
      </w:r>
      <w:r>
        <w:tab/>
      </w:r>
      <w:r w:rsidRPr="00D8447A">
        <w:t>Profile of public hospitals</w:t>
      </w:r>
      <w:bookmarkEnd w:id="4"/>
    </w:p>
    <w:p w:rsidR="00D8447A" w:rsidRPr="00D8447A" w:rsidRDefault="00D8447A" w:rsidP="00D8447A">
      <w:pPr>
        <w:pStyle w:val="BodyText"/>
      </w:pPr>
      <w:r w:rsidRPr="00D8447A">
        <w:t>A key objective of Australian governments is to provide public hospital services to ensure the population has access to cost-effective health services, based on clinical need and within clinically appropriate times, irrespective of geographic location. Public hospitals provide a range of services, including:</w:t>
      </w:r>
    </w:p>
    <w:p w:rsidR="00D8447A" w:rsidRDefault="00D8447A" w:rsidP="00D8447A">
      <w:pPr>
        <w:pStyle w:val="ListBullet"/>
      </w:pPr>
      <w:r>
        <w:t>acute care services to admitted patients</w:t>
      </w:r>
    </w:p>
    <w:p w:rsidR="00D8447A" w:rsidRDefault="00D8447A" w:rsidP="00D8447A">
      <w:pPr>
        <w:pStyle w:val="ListBullet"/>
      </w:pPr>
      <w:r>
        <w:t>subacute and non-acute services to admitted patients (for example, rehabilitation, palliative care and long stay maintenance care)</w:t>
      </w:r>
    </w:p>
    <w:p w:rsidR="00D8447A" w:rsidRDefault="00D8447A" w:rsidP="00D8447A">
      <w:pPr>
        <w:pStyle w:val="ListBullet"/>
      </w:pPr>
      <w:r>
        <w:t>emergency, outpatient and other services to non-admitted patients</w:t>
      </w:r>
    </w:p>
    <w:p w:rsidR="00D8447A" w:rsidRDefault="00D8447A" w:rsidP="00D8447A">
      <w:pPr>
        <w:pStyle w:val="ListBullet"/>
      </w:pPr>
      <w:r>
        <w:t>mental health services, including services provided to admitted patients by designated psychiatric/psychogeriatric units</w:t>
      </w:r>
    </w:p>
    <w:p w:rsidR="00D8447A" w:rsidRDefault="00D8447A" w:rsidP="00D8447A">
      <w:pPr>
        <w:pStyle w:val="ListBullet"/>
      </w:pPr>
      <w:r>
        <w:t>public health services</w:t>
      </w:r>
    </w:p>
    <w:p w:rsidR="00D8447A" w:rsidRDefault="00D8447A" w:rsidP="00D8447A">
      <w:pPr>
        <w:pStyle w:val="ListBullet"/>
      </w:pPr>
      <w:r>
        <w:t>teaching and research activities.</w:t>
      </w:r>
    </w:p>
    <w:p w:rsidR="00D8447A" w:rsidRDefault="00D8447A" w:rsidP="00D8447A">
      <w:pPr>
        <w:pStyle w:val="BodyText"/>
      </w:pPr>
      <w:r>
        <w:t>This chapter focuses on services provided to admitted patients and emergency services provided to non-admitted patients in public hospitals. These services comprise the bulk of public hospital activity and, in the case of services to admitted patients, have the most reliable data relative to other hospitals data. Data in the c</w:t>
      </w:r>
      <w:r w:rsidR="00B81EBB">
        <w:t>hapter include subacute and non</w:t>
      </w:r>
      <w:r w:rsidR="00B81EBB">
        <w:noBreakHyphen/>
      </w:r>
      <w:r>
        <w:t>acute care services.</w:t>
      </w:r>
    </w:p>
    <w:p w:rsidR="00D8447A" w:rsidRDefault="00D8447A" w:rsidP="00D8447A">
      <w:pPr>
        <w:pStyle w:val="BodyText"/>
      </w:pPr>
      <w:r>
        <w:lastRenderedPageBreak/>
        <w:t>In some instances, data for stand-alone psychiatric hospitals are included in this chapter. However, under the National Mental Health Strategy, the provision of psychiatric treatment is shifting away from specialised psychiatric hospitals to mainstream public hospitals and the community sector. The performance of psychiatric hospitals and psychiatric units of public hospitals is examined more closely in the ‘Mental health management’ chapter of this Report (chapter 12).</w:t>
      </w:r>
    </w:p>
    <w:p w:rsidR="00D8447A" w:rsidRDefault="00D8447A" w:rsidP="00D8447A">
      <w:pPr>
        <w:pStyle w:val="Heading3"/>
      </w:pPr>
      <w:r>
        <w:t>Funding</w:t>
      </w:r>
    </w:p>
    <w:p w:rsidR="00D8447A" w:rsidRDefault="00D8447A" w:rsidP="00D8447A">
      <w:pPr>
        <w:pStyle w:val="BodyText"/>
      </w:pPr>
      <w:r>
        <w:t>Total recurrent expenditure on public hospitals (excluding depreciation) was $</w:t>
      </w:r>
      <w:r w:rsidR="00685FC7">
        <w:t>41.7</w:t>
      </w:r>
      <w:r>
        <w:t xml:space="preserve"> billion in 201</w:t>
      </w:r>
      <w:r w:rsidR="00685FC7">
        <w:t>2</w:t>
      </w:r>
      <w:r>
        <w:t>-1</w:t>
      </w:r>
      <w:r w:rsidR="00685FC7">
        <w:t>3</w:t>
      </w:r>
      <w:r>
        <w:t xml:space="preserve"> (table </w:t>
      </w:r>
      <w:proofErr w:type="spellStart"/>
      <w:r>
        <w:t>11A.1</w:t>
      </w:r>
      <w:proofErr w:type="spellEnd"/>
      <w:r>
        <w:t>). The majority of public hospital recurrent expenditure is spent on admitted patients. Non-admitted patients account for a much smaller share. For selected public hospitals, in 201</w:t>
      </w:r>
      <w:r w:rsidR="00685FC7">
        <w:t>2</w:t>
      </w:r>
      <w:r>
        <w:t>-1</w:t>
      </w:r>
      <w:r w:rsidR="00685FC7">
        <w:t>3</w:t>
      </w:r>
      <w:r>
        <w:t>, the proportion of total public hospital recurrent expenditure that related to the care of admitted patients (based on the admitted patient cost proportion) was around 70 per cent across Australia (</w:t>
      </w:r>
      <w:proofErr w:type="spellStart"/>
      <w:r w:rsidR="00525D2E">
        <w:t>AIHW</w:t>
      </w:r>
      <w:proofErr w:type="spellEnd"/>
      <w:r w:rsidR="00525D2E">
        <w:t xml:space="preserve"> </w:t>
      </w:r>
      <w:proofErr w:type="spellStart"/>
      <w:r w:rsidR="00525D2E">
        <w:t>2014a</w:t>
      </w:r>
      <w:proofErr w:type="spellEnd"/>
      <w:r>
        <w:t>).</w:t>
      </w:r>
    </w:p>
    <w:p w:rsidR="00D8447A" w:rsidRDefault="00D8447A" w:rsidP="00D8447A">
      <w:pPr>
        <w:pStyle w:val="BodyText"/>
      </w:pPr>
      <w:r>
        <w:t>Funding for public hospitals comes from a number of sources. The Australian, State and Territory governments contributed 91.</w:t>
      </w:r>
      <w:r w:rsidR="00685FC7">
        <w:t>0</w:t>
      </w:r>
      <w:r>
        <w:t xml:space="preserve"> per cent of funding for public hospital services in 201</w:t>
      </w:r>
      <w:r w:rsidR="00685FC7">
        <w:t>2</w:t>
      </w:r>
      <w:r>
        <w:t>-1</w:t>
      </w:r>
      <w:r w:rsidR="00685FC7">
        <w:t>3</w:t>
      </w:r>
      <w:r>
        <w:t xml:space="preserve"> (figure 11.1). Public hospital services accounted for 41.</w:t>
      </w:r>
      <w:r w:rsidR="00685FC7">
        <w:t>8</w:t>
      </w:r>
      <w:r>
        <w:t xml:space="preserve"> per cent of government recurrent expenditure on health services in 201</w:t>
      </w:r>
      <w:r w:rsidR="00685FC7">
        <w:t>2</w:t>
      </w:r>
      <w:r>
        <w:t>-1</w:t>
      </w:r>
      <w:r w:rsidR="00685FC7">
        <w:t>3</w:t>
      </w:r>
      <w:r>
        <w:t xml:space="preserve"> (</w:t>
      </w:r>
      <w:proofErr w:type="spellStart"/>
      <w:r>
        <w:t>AIHW</w:t>
      </w:r>
      <w:proofErr w:type="spellEnd"/>
      <w:r>
        <w:t xml:space="preserve"> </w:t>
      </w:r>
      <w:proofErr w:type="spellStart"/>
      <w:r>
        <w:t>201</w:t>
      </w:r>
      <w:r w:rsidR="00816E0B">
        <w:t>4</w:t>
      </w:r>
      <w:r>
        <w:t>b</w:t>
      </w:r>
      <w:proofErr w:type="spellEnd"/>
      <w:r>
        <w:t>).</w:t>
      </w:r>
    </w:p>
    <w:p w:rsidR="00D8447A" w:rsidRDefault="00D8447A" w:rsidP="005950D5">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8447A" w:rsidTr="00EB796A">
        <w:tc>
          <w:tcPr>
            <w:tcW w:w="8771" w:type="dxa"/>
            <w:tcBorders>
              <w:top w:val="single" w:sz="6" w:space="0" w:color="78A22F"/>
              <w:left w:val="nil"/>
              <w:bottom w:val="nil"/>
              <w:right w:val="nil"/>
            </w:tcBorders>
            <w:shd w:val="clear" w:color="auto" w:fill="auto"/>
          </w:tcPr>
          <w:p w:rsidR="00D8447A" w:rsidRPr="00176D3F" w:rsidRDefault="00D8447A" w:rsidP="005950D5">
            <w:pPr>
              <w:pStyle w:val="FigureTitle"/>
            </w:pPr>
            <w:r w:rsidRPr="00784A05">
              <w:rPr>
                <w:b w:val="0"/>
              </w:rPr>
              <w:t xml:space="preserve">Figure </w:t>
            </w:r>
            <w:r>
              <w:rPr>
                <w:b w:val="0"/>
              </w:rPr>
              <w:t>11.</w:t>
            </w:r>
            <w:r w:rsidR="009A53E9">
              <w:rPr>
                <w:b w:val="0"/>
                <w:noProof/>
              </w:rPr>
              <w:t>1</w:t>
            </w:r>
            <w:r>
              <w:tab/>
            </w:r>
            <w:r w:rsidRPr="00D8447A">
              <w:t>Recurrent expenditure, public hospital services, by source of funds, 201</w:t>
            </w:r>
            <w:r>
              <w:t>2</w:t>
            </w:r>
            <w:r w:rsidRPr="00D8447A">
              <w:t>-1</w:t>
            </w:r>
            <w:r>
              <w:t>3</w:t>
            </w:r>
          </w:p>
        </w:tc>
      </w:tr>
      <w:tr w:rsidR="00D8447A" w:rsidTr="00EB796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8447A" w:rsidTr="00EB796A">
              <w:trPr>
                <w:jc w:val="center"/>
              </w:trPr>
              <w:tc>
                <w:tcPr>
                  <w:tcW w:w="5000" w:type="pct"/>
                  <w:tcBorders>
                    <w:top w:val="nil"/>
                    <w:bottom w:val="nil"/>
                  </w:tcBorders>
                </w:tcPr>
                <w:p w:rsidR="00D8447A" w:rsidRDefault="001F000D" w:rsidP="005950D5">
                  <w:pPr>
                    <w:pStyle w:val="Figure"/>
                    <w:keepLines/>
                    <w:spacing w:before="60" w:after="60"/>
                  </w:pPr>
                  <w:r>
                    <w:rPr>
                      <w:noProof/>
                    </w:rPr>
                    <w:drawing>
                      <wp:inline distT="0" distB="0" distL="0" distR="0">
                        <wp:extent cx="5391150" cy="2705100"/>
                        <wp:effectExtent l="0" t="0" r="0" b="0"/>
                        <wp:docPr id="2" name="Picture 2" descr="Figure 11.1 Recurrent expenditure, public hospital services, by source of funds,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D8447A" w:rsidRDefault="00D8447A" w:rsidP="005950D5">
            <w:pPr>
              <w:pStyle w:val="Figure"/>
              <w:keepLines/>
            </w:pPr>
          </w:p>
        </w:tc>
      </w:tr>
      <w:tr w:rsidR="00D8447A" w:rsidRPr="00176D3F" w:rsidTr="00EB796A">
        <w:tc>
          <w:tcPr>
            <w:tcW w:w="8771" w:type="dxa"/>
            <w:tcBorders>
              <w:top w:val="nil"/>
              <w:left w:val="nil"/>
              <w:bottom w:val="nil"/>
              <w:right w:val="nil"/>
            </w:tcBorders>
            <w:shd w:val="clear" w:color="auto" w:fill="auto"/>
          </w:tcPr>
          <w:p w:rsidR="00D8447A" w:rsidRPr="00176D3F" w:rsidRDefault="00D8447A" w:rsidP="005950D5">
            <w:pPr>
              <w:pStyle w:val="Source"/>
              <w:keepNext/>
            </w:pPr>
            <w:r>
              <w:rPr>
                <w:i/>
              </w:rPr>
              <w:t>S</w:t>
            </w:r>
            <w:r w:rsidRPr="00784A05">
              <w:rPr>
                <w:i/>
              </w:rPr>
              <w:t>ource</w:t>
            </w:r>
            <w:r w:rsidRPr="00176D3F">
              <w:t xml:space="preserve">: </w:t>
            </w:r>
            <w:r w:rsidRPr="00D8447A">
              <w:t>AIHW (201</w:t>
            </w:r>
            <w:r w:rsidR="00C75A0E">
              <w:t>4</w:t>
            </w:r>
            <w:r w:rsidRPr="00D8447A">
              <w:t xml:space="preserve">), </w:t>
            </w:r>
            <w:r w:rsidRPr="00D8447A">
              <w:rPr>
                <w:i/>
              </w:rPr>
              <w:t>Health expenditure Australia 201</w:t>
            </w:r>
            <w:r w:rsidR="00C75A0E">
              <w:rPr>
                <w:i/>
              </w:rPr>
              <w:t>2</w:t>
            </w:r>
            <w:r w:rsidRPr="00D8447A">
              <w:rPr>
                <w:i/>
              </w:rPr>
              <w:t>–1</w:t>
            </w:r>
            <w:r w:rsidR="00C75A0E">
              <w:rPr>
                <w:i/>
              </w:rPr>
              <w:t>3</w:t>
            </w:r>
            <w:r w:rsidRPr="00D8447A">
              <w:t>, Health and Welfare Expenditure Series No.</w:t>
            </w:r>
            <w:r w:rsidR="00B81EBB">
              <w:t> </w:t>
            </w:r>
            <w:r w:rsidRPr="00D8447A">
              <w:t>5</w:t>
            </w:r>
            <w:r w:rsidR="00C75A0E">
              <w:t>2</w:t>
            </w:r>
            <w:r w:rsidRPr="00D8447A">
              <w:t xml:space="preserve">, Cat. no. </w:t>
            </w:r>
            <w:proofErr w:type="spellStart"/>
            <w:r w:rsidRPr="00D8447A">
              <w:t>HWE</w:t>
            </w:r>
            <w:proofErr w:type="spellEnd"/>
            <w:r w:rsidRPr="00D8447A">
              <w:t xml:space="preserve"> </w:t>
            </w:r>
            <w:r w:rsidR="00C75A0E">
              <w:t>61</w:t>
            </w:r>
            <w:r w:rsidRPr="00D8447A">
              <w:t>. Canberra.</w:t>
            </w:r>
          </w:p>
        </w:tc>
      </w:tr>
      <w:tr w:rsidR="00D8447A" w:rsidTr="00EB796A">
        <w:tc>
          <w:tcPr>
            <w:tcW w:w="8771" w:type="dxa"/>
            <w:tcBorders>
              <w:top w:val="nil"/>
              <w:left w:val="nil"/>
              <w:bottom w:val="single" w:sz="6" w:space="0" w:color="78A22F"/>
              <w:right w:val="nil"/>
            </w:tcBorders>
            <w:shd w:val="clear" w:color="auto" w:fill="auto"/>
          </w:tcPr>
          <w:p w:rsidR="00D8447A" w:rsidRDefault="00D8447A" w:rsidP="005950D5">
            <w:pPr>
              <w:pStyle w:val="Figurespace"/>
              <w:keepLines/>
            </w:pPr>
          </w:p>
        </w:tc>
      </w:tr>
      <w:tr w:rsidR="00D8447A" w:rsidRPr="000863A5" w:rsidTr="00EB796A">
        <w:tc>
          <w:tcPr>
            <w:tcW w:w="8771" w:type="dxa"/>
            <w:tcBorders>
              <w:top w:val="single" w:sz="6" w:space="0" w:color="78A22F"/>
              <w:left w:val="nil"/>
              <w:bottom w:val="nil"/>
              <w:right w:val="nil"/>
            </w:tcBorders>
          </w:tcPr>
          <w:p w:rsidR="00D8447A" w:rsidRPr="00626D32" w:rsidRDefault="00D8447A" w:rsidP="005950D5">
            <w:pPr>
              <w:pStyle w:val="BoxSpaceBelow"/>
              <w:keepNext/>
              <w:keepLines/>
            </w:pPr>
          </w:p>
        </w:tc>
      </w:tr>
    </w:tbl>
    <w:p w:rsidR="00D8447A" w:rsidRDefault="00D8447A" w:rsidP="00D8447A">
      <w:pPr>
        <w:pStyle w:val="BodyText"/>
      </w:pPr>
      <w:r w:rsidRPr="00D8447A">
        <w:t>Non</w:t>
      </w:r>
      <w:r w:rsidR="00B81EBB">
        <w:t>-</w:t>
      </w:r>
      <w:r w:rsidRPr="00D8447A">
        <w:t xml:space="preserve">government sources contributed </w:t>
      </w:r>
      <w:r w:rsidR="00685FC7">
        <w:t>9.0</w:t>
      </w:r>
      <w:r w:rsidRPr="00D8447A">
        <w:t xml:space="preserve"> per cent of all recurrent expenditure on public hospital services in 201</w:t>
      </w:r>
      <w:r w:rsidR="00685FC7">
        <w:t>2</w:t>
      </w:r>
      <w:r w:rsidRPr="00D8447A">
        <w:t>-1</w:t>
      </w:r>
      <w:r w:rsidR="00685FC7">
        <w:t>3</w:t>
      </w:r>
      <w:r w:rsidRPr="00D8447A">
        <w:t xml:space="preserve"> (including depreciation) (figure 11.2 and table </w:t>
      </w:r>
      <w:proofErr w:type="spellStart"/>
      <w:r w:rsidRPr="00D8447A">
        <w:t>11A.2</w:t>
      </w:r>
      <w:proofErr w:type="spellEnd"/>
      <w:r w:rsidRPr="00D8447A">
        <w:t xml:space="preserve">). </w:t>
      </w:r>
      <w:r w:rsidRPr="00D8447A">
        <w:lastRenderedPageBreak/>
        <w:t>Non</w:t>
      </w:r>
      <w:r w:rsidR="00B81EBB">
        <w:noBreakHyphen/>
      </w:r>
      <w:r w:rsidRPr="00D8447A">
        <w:t>government expenditure comprised revenue from health insurance funds, individuals, workers’ compensation and compulsory third-party motor vehicle insurers</w:t>
      </w:r>
      <w:r w:rsidR="00B81EBB">
        <w:t>,</w:t>
      </w:r>
      <w:r w:rsidRPr="00D8447A">
        <w:t xml:space="preserve"> and other sources. The proportion of hospitals’ revenue per person funded from non</w:t>
      </w:r>
      <w:r w:rsidR="00B81EBB">
        <w:t>-</w:t>
      </w:r>
      <w:r w:rsidRPr="00D8447A">
        <w:t>government sources varied across jurisdictions in 201</w:t>
      </w:r>
      <w:r w:rsidR="00685FC7">
        <w:t>2</w:t>
      </w:r>
      <w:r w:rsidR="00032B18">
        <w:t>-</w:t>
      </w:r>
      <w:r w:rsidRPr="00D8447A">
        <w:t>1</w:t>
      </w:r>
      <w:r w:rsidR="00685FC7">
        <w:t>3</w:t>
      </w:r>
      <w:r w:rsidRPr="00D8447A">
        <w:t xml:space="preserve"> (figure 11.2).</w:t>
      </w:r>
    </w:p>
    <w:p w:rsidR="00D8447A" w:rsidRDefault="00D8447A" w:rsidP="00EB79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8447A" w:rsidTr="00EB796A">
        <w:tc>
          <w:tcPr>
            <w:tcW w:w="8771" w:type="dxa"/>
            <w:tcBorders>
              <w:top w:val="single" w:sz="6" w:space="0" w:color="78A22F"/>
              <w:left w:val="nil"/>
              <w:bottom w:val="nil"/>
              <w:right w:val="nil"/>
            </w:tcBorders>
            <w:shd w:val="clear" w:color="auto" w:fill="auto"/>
          </w:tcPr>
          <w:p w:rsidR="00D8447A" w:rsidRPr="00176D3F" w:rsidRDefault="00D8447A" w:rsidP="00D8447A">
            <w:pPr>
              <w:pStyle w:val="FigureTitle"/>
            </w:pPr>
            <w:r w:rsidRPr="00784A05">
              <w:rPr>
                <w:b w:val="0"/>
              </w:rPr>
              <w:t xml:space="preserve">Figure </w:t>
            </w:r>
            <w:r>
              <w:rPr>
                <w:b w:val="0"/>
              </w:rPr>
              <w:t>11.</w:t>
            </w:r>
            <w:r w:rsidR="009A53E9">
              <w:rPr>
                <w:b w:val="0"/>
                <w:noProof/>
              </w:rPr>
              <w:t>2</w:t>
            </w:r>
            <w:r>
              <w:tab/>
            </w:r>
            <w:r w:rsidRPr="00D8447A">
              <w:t>Source of public hospital recurrent expenditure, 201</w:t>
            </w:r>
            <w:r>
              <w:t>2-13</w:t>
            </w:r>
            <w:r w:rsidRPr="00320973">
              <w:rPr>
                <w:rStyle w:val="NoteLabel"/>
                <w:b/>
                <w:szCs w:val="20"/>
              </w:rPr>
              <w:t>a, b, c</w:t>
            </w:r>
          </w:p>
        </w:tc>
      </w:tr>
      <w:tr w:rsidR="00D8447A" w:rsidTr="00EB796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8447A" w:rsidTr="00EB796A">
              <w:trPr>
                <w:jc w:val="center"/>
              </w:trPr>
              <w:tc>
                <w:tcPr>
                  <w:tcW w:w="5000" w:type="pct"/>
                  <w:tcBorders>
                    <w:top w:val="nil"/>
                    <w:bottom w:val="nil"/>
                  </w:tcBorders>
                </w:tcPr>
                <w:p w:rsidR="00D8447A" w:rsidRDefault="001F000D" w:rsidP="00EB796A">
                  <w:pPr>
                    <w:pStyle w:val="Figure"/>
                    <w:spacing w:before="60" w:after="60"/>
                  </w:pPr>
                  <w:r>
                    <w:rPr>
                      <w:noProof/>
                    </w:rPr>
                    <w:drawing>
                      <wp:inline distT="0" distB="0" distL="0" distR="0">
                        <wp:extent cx="5391150" cy="2705100"/>
                        <wp:effectExtent l="0" t="0" r="0" b="0"/>
                        <wp:docPr id="3" name="Picture 3" descr="Figure 11.2 Source of public hospital recurrent expenditure,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D8447A" w:rsidRDefault="00D8447A" w:rsidP="00EB796A">
            <w:pPr>
              <w:pStyle w:val="Figure"/>
            </w:pPr>
          </w:p>
        </w:tc>
      </w:tr>
      <w:tr w:rsidR="00D8447A" w:rsidRPr="00176D3F" w:rsidTr="00EB796A">
        <w:tc>
          <w:tcPr>
            <w:tcW w:w="8771" w:type="dxa"/>
            <w:tcBorders>
              <w:top w:val="nil"/>
              <w:left w:val="nil"/>
              <w:bottom w:val="nil"/>
              <w:right w:val="nil"/>
            </w:tcBorders>
            <w:shd w:val="clear" w:color="auto" w:fill="auto"/>
          </w:tcPr>
          <w:p w:rsidR="00D8447A" w:rsidRPr="00320973" w:rsidRDefault="00D8447A" w:rsidP="00D8447A">
            <w:pPr>
              <w:pStyle w:val="Note"/>
            </w:pPr>
            <w:r w:rsidRPr="00320973">
              <w:rPr>
                <w:rStyle w:val="NoteLabel"/>
              </w:rPr>
              <w:t>a</w:t>
            </w:r>
            <w:r w:rsidRPr="00320973">
              <w:t xml:space="preserve"> Depreciation is included in recurrent expenditure. </w:t>
            </w:r>
            <w:r w:rsidRPr="00320973">
              <w:rPr>
                <w:rStyle w:val="NoteLabel"/>
              </w:rPr>
              <w:t>b</w:t>
            </w:r>
            <w:r w:rsidRPr="00320973">
              <w:t xml:space="preserve"> Non-government expenditure includes expenditure by health insurance funds, individuals, workers’ compensation, compulsory third-party motor vehicle insurers and other sources. </w:t>
            </w:r>
            <w:r w:rsidRPr="00320973">
              <w:rPr>
                <w:rStyle w:val="NoteLabel"/>
              </w:rPr>
              <w:t>c</w:t>
            </w:r>
            <w:r w:rsidRPr="00320973">
              <w:t xml:space="preserve"> The expenditure numbers for the ACT include substantial expenditures for NSW residents, and so the ACT expenditure is overstated.</w:t>
            </w:r>
          </w:p>
        </w:tc>
      </w:tr>
      <w:tr w:rsidR="00D8447A" w:rsidRPr="00176D3F" w:rsidTr="00EB796A">
        <w:tc>
          <w:tcPr>
            <w:tcW w:w="8771" w:type="dxa"/>
            <w:tcBorders>
              <w:top w:val="nil"/>
              <w:left w:val="nil"/>
              <w:bottom w:val="nil"/>
              <w:right w:val="nil"/>
            </w:tcBorders>
            <w:shd w:val="clear" w:color="auto" w:fill="auto"/>
          </w:tcPr>
          <w:p w:rsidR="00D8447A" w:rsidRPr="00176D3F" w:rsidRDefault="00D8447A" w:rsidP="00B81EBB">
            <w:pPr>
              <w:pStyle w:val="Source"/>
            </w:pPr>
            <w:r>
              <w:rPr>
                <w:i/>
              </w:rPr>
              <w:t>S</w:t>
            </w:r>
            <w:r w:rsidRPr="00784A05">
              <w:rPr>
                <w:i/>
              </w:rPr>
              <w:t>ource</w:t>
            </w:r>
            <w:r w:rsidRPr="00176D3F">
              <w:t xml:space="preserve">: </w:t>
            </w:r>
            <w:r w:rsidRPr="00D8447A">
              <w:t>AIHW (201</w:t>
            </w:r>
            <w:r w:rsidR="00C75A0E">
              <w:t>4</w:t>
            </w:r>
            <w:r w:rsidRPr="00D8447A">
              <w:t xml:space="preserve">), </w:t>
            </w:r>
            <w:r w:rsidRPr="00D8447A">
              <w:rPr>
                <w:i/>
              </w:rPr>
              <w:t>Health expenditure Australia 201</w:t>
            </w:r>
            <w:r w:rsidR="00C75A0E">
              <w:rPr>
                <w:i/>
              </w:rPr>
              <w:t>2</w:t>
            </w:r>
            <w:r w:rsidRPr="00D8447A">
              <w:rPr>
                <w:i/>
              </w:rPr>
              <w:t>–1</w:t>
            </w:r>
            <w:r w:rsidR="00C75A0E">
              <w:rPr>
                <w:i/>
              </w:rPr>
              <w:t>3</w:t>
            </w:r>
            <w:r w:rsidRPr="00D8447A">
              <w:t>, Health and Welfare Expenditure Series No.</w:t>
            </w:r>
            <w:r w:rsidR="00B81EBB">
              <w:t> </w:t>
            </w:r>
            <w:r w:rsidRPr="00D8447A">
              <w:t>5</w:t>
            </w:r>
            <w:r w:rsidR="00C75A0E">
              <w:t>2</w:t>
            </w:r>
            <w:r w:rsidRPr="00D8447A">
              <w:t xml:space="preserve">, Cat. no. </w:t>
            </w:r>
            <w:proofErr w:type="spellStart"/>
            <w:r w:rsidRPr="00D8447A">
              <w:t>HWE</w:t>
            </w:r>
            <w:proofErr w:type="spellEnd"/>
            <w:r w:rsidRPr="00D8447A">
              <w:t xml:space="preserve"> </w:t>
            </w:r>
            <w:r w:rsidR="00C75A0E">
              <w:t>61</w:t>
            </w:r>
            <w:r w:rsidRPr="00D8447A">
              <w:t xml:space="preserve">. Canberra; table </w:t>
            </w:r>
            <w:proofErr w:type="spellStart"/>
            <w:r w:rsidRPr="00D8447A">
              <w:t>11A.2</w:t>
            </w:r>
            <w:proofErr w:type="spellEnd"/>
            <w:r w:rsidRPr="00D8447A">
              <w:t>.</w:t>
            </w:r>
          </w:p>
        </w:tc>
      </w:tr>
      <w:tr w:rsidR="00D8447A" w:rsidTr="00EB796A">
        <w:tc>
          <w:tcPr>
            <w:tcW w:w="8771" w:type="dxa"/>
            <w:tcBorders>
              <w:top w:val="nil"/>
              <w:left w:val="nil"/>
              <w:bottom w:val="single" w:sz="6" w:space="0" w:color="78A22F"/>
              <w:right w:val="nil"/>
            </w:tcBorders>
            <w:shd w:val="clear" w:color="auto" w:fill="auto"/>
          </w:tcPr>
          <w:p w:rsidR="00D8447A" w:rsidRDefault="00D8447A" w:rsidP="00EB796A">
            <w:pPr>
              <w:pStyle w:val="Figurespace"/>
            </w:pPr>
          </w:p>
        </w:tc>
      </w:tr>
      <w:tr w:rsidR="00D8447A" w:rsidRPr="000863A5" w:rsidTr="00EB796A">
        <w:tc>
          <w:tcPr>
            <w:tcW w:w="8771" w:type="dxa"/>
            <w:tcBorders>
              <w:top w:val="single" w:sz="6" w:space="0" w:color="78A22F"/>
              <w:left w:val="nil"/>
              <w:bottom w:val="nil"/>
              <w:right w:val="nil"/>
            </w:tcBorders>
          </w:tcPr>
          <w:p w:rsidR="00D8447A" w:rsidRPr="00626D32" w:rsidRDefault="00D8447A" w:rsidP="00EB796A">
            <w:pPr>
              <w:pStyle w:val="BoxSpaceBelow"/>
            </w:pPr>
          </w:p>
        </w:tc>
      </w:tr>
    </w:tbl>
    <w:p w:rsidR="00D8447A" w:rsidRDefault="00D8447A" w:rsidP="00D8447A">
      <w:pPr>
        <w:pStyle w:val="BodyText"/>
      </w:pPr>
      <w:r>
        <w:t xml:space="preserve">Expenditure data in figures 11.1 and 11.2 are sourced from unpublished data from the AIHW Health Expenditure Australia database, and are not directly comparable with other expenditure data used in this chapter, which are drawn from </w:t>
      </w:r>
      <w:r w:rsidRPr="00B43737">
        <w:rPr>
          <w:i/>
        </w:rPr>
        <w:t>Australian Hospital Statistics 201</w:t>
      </w:r>
      <w:r w:rsidR="00B43737">
        <w:rPr>
          <w:i/>
        </w:rPr>
        <w:t>2</w:t>
      </w:r>
      <w:r w:rsidRPr="00B43737">
        <w:rPr>
          <w:i/>
        </w:rPr>
        <w:t>-1</w:t>
      </w:r>
      <w:r w:rsidR="00B43737">
        <w:rPr>
          <w:i/>
        </w:rPr>
        <w:t>3</w:t>
      </w:r>
      <w:r>
        <w:t xml:space="preserve"> (</w:t>
      </w:r>
      <w:proofErr w:type="spellStart"/>
      <w:r>
        <w:t>AIHW</w:t>
      </w:r>
      <w:proofErr w:type="spellEnd"/>
      <w:r>
        <w:t xml:space="preserve"> </w:t>
      </w:r>
      <w:proofErr w:type="spellStart"/>
      <w:r>
        <w:t>201</w:t>
      </w:r>
      <w:r w:rsidR="00B43737">
        <w:t>4</w:t>
      </w:r>
      <w:r>
        <w:t>a</w:t>
      </w:r>
      <w:proofErr w:type="spellEnd"/>
      <w:r>
        <w:t xml:space="preserve">). The AIHW publication </w:t>
      </w:r>
      <w:r w:rsidRPr="00B43737">
        <w:rPr>
          <w:i/>
        </w:rPr>
        <w:t>Health Expenditure Australia 201</w:t>
      </w:r>
      <w:r w:rsidR="00B43737">
        <w:rPr>
          <w:i/>
        </w:rPr>
        <w:t>2</w:t>
      </w:r>
      <w:r w:rsidRPr="00B43737">
        <w:rPr>
          <w:i/>
        </w:rPr>
        <w:t>-1</w:t>
      </w:r>
      <w:r w:rsidR="00B43737">
        <w:rPr>
          <w:i/>
        </w:rPr>
        <w:t>3</w:t>
      </w:r>
      <w:r>
        <w:t xml:space="preserve"> provides information about the differences in the expenditure data between the two sources (</w:t>
      </w:r>
      <w:proofErr w:type="spellStart"/>
      <w:r>
        <w:t>AIHW</w:t>
      </w:r>
      <w:proofErr w:type="spellEnd"/>
      <w:r>
        <w:t xml:space="preserve"> </w:t>
      </w:r>
      <w:proofErr w:type="spellStart"/>
      <w:r>
        <w:t>201</w:t>
      </w:r>
      <w:r w:rsidR="00B43737">
        <w:t>4</w:t>
      </w:r>
      <w:r>
        <w:t>b</w:t>
      </w:r>
      <w:proofErr w:type="spellEnd"/>
      <w:r>
        <w:t>).</w:t>
      </w:r>
    </w:p>
    <w:p w:rsidR="00D8447A" w:rsidRDefault="00D8447A" w:rsidP="00D8447A">
      <w:pPr>
        <w:pStyle w:val="BodyText"/>
      </w:pPr>
      <w:r>
        <w:t>In 201</w:t>
      </w:r>
      <w:r w:rsidR="00B43737">
        <w:t>2</w:t>
      </w:r>
      <w:r>
        <w:t>-1</w:t>
      </w:r>
      <w:r w:rsidR="00B43737">
        <w:t>3</w:t>
      </w:r>
      <w:r>
        <w:t>, government real recurrent expenditure on public hospitals was $1</w:t>
      </w:r>
      <w:r w:rsidR="00B43737">
        <w:t>819</w:t>
      </w:r>
      <w:r>
        <w:t xml:space="preserve"> per person nationally, up from $</w:t>
      </w:r>
      <w:r w:rsidR="00B43737">
        <w:t>1616</w:t>
      </w:r>
      <w:r>
        <w:t xml:space="preserve"> in 200</w:t>
      </w:r>
      <w:r w:rsidR="00B43737">
        <w:t>8-</w:t>
      </w:r>
      <w:r>
        <w:t>0</w:t>
      </w:r>
      <w:r w:rsidR="00B43737">
        <w:t>9</w:t>
      </w:r>
      <w:r>
        <w:t xml:space="preserve"> (in 201</w:t>
      </w:r>
      <w:r w:rsidR="00B43737">
        <w:t>2</w:t>
      </w:r>
      <w:r>
        <w:t>-1</w:t>
      </w:r>
      <w:r w:rsidR="00B43737">
        <w:t>3</w:t>
      </w:r>
      <w:r>
        <w:t xml:space="preserve"> dollars) (figure 11.3). It is difficult to make comparisons across jurisdictions based on these recurrent expenditure data, due to differences in the data coverage. The main differences are:</w:t>
      </w:r>
    </w:p>
    <w:p w:rsidR="00D8447A" w:rsidRDefault="00D8447A" w:rsidP="00D8447A">
      <w:pPr>
        <w:pStyle w:val="ListBullet"/>
      </w:pPr>
      <w:r>
        <w:t>the inclusion, by some jurisdictions, of expenditure on community health services as well as public hospital services</w:t>
      </w:r>
    </w:p>
    <w:p w:rsidR="00D8447A" w:rsidRDefault="00D8447A" w:rsidP="00D8447A">
      <w:pPr>
        <w:pStyle w:val="ListBullet"/>
      </w:pPr>
      <w:r>
        <w:t>the exclusion, by some jurisdictions, of expenditure on privately owned or privately operated hospitals that have been contracted to provide public hospital services.</w:t>
      </w:r>
    </w:p>
    <w:p w:rsidR="00320973" w:rsidRDefault="00320973" w:rsidP="00EB79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20973" w:rsidTr="00EB796A">
        <w:tc>
          <w:tcPr>
            <w:tcW w:w="8771" w:type="dxa"/>
            <w:tcBorders>
              <w:top w:val="single" w:sz="6" w:space="0" w:color="78A22F"/>
              <w:left w:val="nil"/>
              <w:bottom w:val="nil"/>
              <w:right w:val="nil"/>
            </w:tcBorders>
            <w:shd w:val="clear" w:color="auto" w:fill="auto"/>
          </w:tcPr>
          <w:p w:rsidR="00320973" w:rsidRPr="00176D3F" w:rsidRDefault="00320973" w:rsidP="00320973">
            <w:pPr>
              <w:pStyle w:val="FigureTitle"/>
            </w:pPr>
            <w:r w:rsidRPr="00784A05">
              <w:rPr>
                <w:b w:val="0"/>
              </w:rPr>
              <w:t xml:space="preserve">Figure </w:t>
            </w:r>
            <w:r>
              <w:rPr>
                <w:b w:val="0"/>
              </w:rPr>
              <w:t>11.</w:t>
            </w:r>
            <w:r w:rsidR="009A53E9">
              <w:rPr>
                <w:b w:val="0"/>
                <w:noProof/>
              </w:rPr>
              <w:t>3</w:t>
            </w:r>
            <w:r>
              <w:tab/>
            </w:r>
            <w:r w:rsidRPr="00320973">
              <w:t>Real recurrent expenditure per person, public hospitals (including psychiatric) (201</w:t>
            </w:r>
            <w:r>
              <w:t>2</w:t>
            </w:r>
            <w:r w:rsidRPr="00320973">
              <w:t>-1</w:t>
            </w:r>
            <w:r>
              <w:t>3</w:t>
            </w:r>
            <w:r w:rsidRPr="00320973">
              <w:t xml:space="preserve"> dollars)</w:t>
            </w:r>
            <w:r w:rsidRPr="00320973">
              <w:rPr>
                <w:rStyle w:val="NoteLabel"/>
                <w:b/>
                <w:szCs w:val="20"/>
              </w:rPr>
              <w:t>a, b, c, d, e</w:t>
            </w:r>
            <w:r w:rsidR="001259D0">
              <w:rPr>
                <w:rStyle w:val="NoteLabel"/>
                <w:b/>
                <w:szCs w:val="20"/>
              </w:rPr>
              <w:t>, f</w:t>
            </w:r>
          </w:p>
        </w:tc>
      </w:tr>
      <w:tr w:rsidR="00320973" w:rsidTr="00EB796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20973" w:rsidTr="00EB796A">
              <w:trPr>
                <w:jc w:val="center"/>
              </w:trPr>
              <w:tc>
                <w:tcPr>
                  <w:tcW w:w="5000" w:type="pct"/>
                  <w:tcBorders>
                    <w:top w:val="nil"/>
                    <w:bottom w:val="nil"/>
                  </w:tcBorders>
                </w:tcPr>
                <w:p w:rsidR="00320973" w:rsidRDefault="001F000D" w:rsidP="00EB796A">
                  <w:pPr>
                    <w:pStyle w:val="Figure"/>
                    <w:spacing w:before="60" w:after="60"/>
                  </w:pPr>
                  <w:r>
                    <w:rPr>
                      <w:noProof/>
                    </w:rPr>
                    <w:drawing>
                      <wp:inline distT="0" distB="0" distL="0" distR="0">
                        <wp:extent cx="5391150" cy="2705100"/>
                        <wp:effectExtent l="0" t="0" r="0" b="0"/>
                        <wp:docPr id="4" name="Picture 4" descr="Figure 11.3 Real recurrent expenditure per person, public hospitals (including psychiatric) (2012-13 doll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320973" w:rsidRDefault="00320973" w:rsidP="00EB796A">
            <w:pPr>
              <w:pStyle w:val="Figure"/>
            </w:pPr>
          </w:p>
        </w:tc>
      </w:tr>
      <w:tr w:rsidR="00320973" w:rsidRPr="00176D3F" w:rsidTr="00EB796A">
        <w:tc>
          <w:tcPr>
            <w:tcW w:w="8771" w:type="dxa"/>
            <w:tcBorders>
              <w:top w:val="nil"/>
              <w:left w:val="nil"/>
              <w:bottom w:val="nil"/>
              <w:right w:val="nil"/>
            </w:tcBorders>
            <w:shd w:val="clear" w:color="auto" w:fill="auto"/>
          </w:tcPr>
          <w:p w:rsidR="00320973" w:rsidRPr="00176D3F" w:rsidRDefault="00320973" w:rsidP="00DA10A8">
            <w:pPr>
              <w:pStyle w:val="Note"/>
            </w:pPr>
            <w:proofErr w:type="spellStart"/>
            <w:r>
              <w:rPr>
                <w:rStyle w:val="NoteLabel"/>
              </w:rPr>
              <w:t>a</w:t>
            </w:r>
            <w:proofErr w:type="spellEnd"/>
            <w:r>
              <w:t xml:space="preserve"> </w:t>
            </w:r>
            <w:r w:rsidRPr="00320973">
              <w:t xml:space="preserve">Expenditure data exclude depreciation and interest payments. </w:t>
            </w:r>
            <w:r w:rsidRPr="00320973">
              <w:rPr>
                <w:rStyle w:val="NoteLabel"/>
              </w:rPr>
              <w:t xml:space="preserve">b </w:t>
            </w:r>
            <w:r w:rsidRPr="00320973">
              <w:t xml:space="preserve">Recurrent expenditure on purchase of public hospital services at the State, or area health service level, from privately owned and/or operated hospitals is excluded. </w:t>
            </w:r>
            <w:r w:rsidRPr="00320973">
              <w:rPr>
                <w:rStyle w:val="NoteLabel"/>
              </w:rPr>
              <w:t>c</w:t>
            </w:r>
            <w:r w:rsidRPr="00320973">
              <w:t xml:space="preserve"> Expenditure data are deflated using the hospital/nursing home care price index from </w:t>
            </w:r>
            <w:r w:rsidR="006635C7">
              <w:t xml:space="preserve">the </w:t>
            </w:r>
            <w:proofErr w:type="spellStart"/>
            <w:r w:rsidRPr="00320973">
              <w:t>AIHW</w:t>
            </w:r>
            <w:proofErr w:type="spellEnd"/>
            <w:r w:rsidRPr="00320973">
              <w:t xml:space="preserve"> (</w:t>
            </w:r>
            <w:proofErr w:type="spellStart"/>
            <w:r w:rsidRPr="00320973">
              <w:t>201</w:t>
            </w:r>
            <w:r w:rsidR="00816E0B">
              <w:t>4</w:t>
            </w:r>
            <w:r w:rsidRPr="00320973">
              <w:t>b</w:t>
            </w:r>
            <w:proofErr w:type="spellEnd"/>
            <w:r w:rsidRPr="00320973">
              <w:t xml:space="preserve">). </w:t>
            </w:r>
            <w:r w:rsidRPr="00320973">
              <w:rPr>
                <w:rStyle w:val="NoteLabel"/>
              </w:rPr>
              <w:t>d</w:t>
            </w:r>
            <w:r w:rsidRPr="00320973">
              <w:t xml:space="preserve"> Queensland pathology </w:t>
            </w:r>
            <w:r w:rsidRPr="00E919A3">
              <w:t>services were purchased from a Statewide pathology service rather than being provided by hospital employees.</w:t>
            </w:r>
            <w:r w:rsidR="001259D0" w:rsidRPr="00E919A3">
              <w:t xml:space="preserve"> </w:t>
            </w:r>
            <w:r w:rsidR="001259D0" w:rsidRPr="00E919A3">
              <w:rPr>
                <w:rStyle w:val="NoteLabel"/>
              </w:rPr>
              <w:t>e</w:t>
            </w:r>
            <w:r w:rsidR="001259D0" w:rsidRPr="00E919A3">
              <w:t xml:space="preserve"> In SA in 2011-12 there were significant once-off revaluations of other employee related expenses. This </w:t>
            </w:r>
            <w:r w:rsidR="00DA10A8" w:rsidRPr="00E919A3">
              <w:t>has caused</w:t>
            </w:r>
            <w:r w:rsidR="001259D0" w:rsidRPr="00E919A3">
              <w:t xml:space="preserve"> an artificial reduction in expenditure, including for salaries and wages expenditure components, for 2012-13 results.</w:t>
            </w:r>
            <w:r w:rsidRPr="00E919A3">
              <w:t xml:space="preserve"> </w:t>
            </w:r>
            <w:proofErr w:type="spellStart"/>
            <w:r w:rsidR="001259D0" w:rsidRPr="00E919A3">
              <w:rPr>
                <w:rStyle w:val="NoteLabel"/>
              </w:rPr>
              <w:t>f</w:t>
            </w:r>
            <w:proofErr w:type="spellEnd"/>
            <w:r w:rsidRPr="00E919A3">
              <w:t xml:space="preserve"> The expenditure</w:t>
            </w:r>
            <w:r w:rsidRPr="00320973">
              <w:t xml:space="preserve"> numbers for the ACT include substantial expenditures for NSW residents, and so the ACT expenditure is overstated.</w:t>
            </w:r>
          </w:p>
        </w:tc>
      </w:tr>
      <w:tr w:rsidR="00320973" w:rsidRPr="00176D3F" w:rsidTr="00EB796A">
        <w:tc>
          <w:tcPr>
            <w:tcW w:w="8771" w:type="dxa"/>
            <w:tcBorders>
              <w:top w:val="nil"/>
              <w:left w:val="nil"/>
              <w:bottom w:val="nil"/>
              <w:right w:val="nil"/>
            </w:tcBorders>
            <w:shd w:val="clear" w:color="auto" w:fill="auto"/>
          </w:tcPr>
          <w:p w:rsidR="00320973" w:rsidRPr="00176D3F" w:rsidRDefault="00320973" w:rsidP="00C75A0E">
            <w:pPr>
              <w:pStyle w:val="Source"/>
            </w:pPr>
            <w:r>
              <w:rPr>
                <w:i/>
              </w:rPr>
              <w:t>S</w:t>
            </w:r>
            <w:r w:rsidRPr="00784A05">
              <w:rPr>
                <w:i/>
              </w:rPr>
              <w:t>ource</w:t>
            </w:r>
            <w:r w:rsidRPr="00176D3F">
              <w:t xml:space="preserve">: </w:t>
            </w:r>
            <w:r w:rsidRPr="00320973">
              <w:t xml:space="preserve">AIHW (various years), </w:t>
            </w:r>
            <w:r w:rsidRPr="00320973">
              <w:rPr>
                <w:i/>
              </w:rPr>
              <w:t>Australian hospital statistics</w:t>
            </w:r>
            <w:r w:rsidRPr="00320973">
              <w:t xml:space="preserve">, Health Services Series, Cat. nos </w:t>
            </w:r>
            <w:proofErr w:type="spellStart"/>
            <w:r w:rsidRPr="00320973">
              <w:t>HSE</w:t>
            </w:r>
            <w:proofErr w:type="spellEnd"/>
            <w:r w:rsidRPr="00320973">
              <w:t xml:space="preserve"> 84, 107, 117</w:t>
            </w:r>
            <w:r w:rsidR="00C75A0E">
              <w:t>,</w:t>
            </w:r>
            <w:r w:rsidRPr="00320973">
              <w:t xml:space="preserve"> 134</w:t>
            </w:r>
            <w:r w:rsidR="00C75A0E" w:rsidRPr="00320973">
              <w:t xml:space="preserve"> and</w:t>
            </w:r>
            <w:r w:rsidR="00C75A0E">
              <w:t xml:space="preserve"> 145</w:t>
            </w:r>
            <w:r w:rsidRPr="00320973">
              <w:t>; AIHW (201</w:t>
            </w:r>
            <w:r w:rsidR="00C75A0E">
              <w:t>4</w:t>
            </w:r>
            <w:r w:rsidRPr="00320973">
              <w:t xml:space="preserve">), </w:t>
            </w:r>
            <w:r w:rsidRPr="00320973">
              <w:rPr>
                <w:i/>
              </w:rPr>
              <w:t>Health expenditure Australia 201</w:t>
            </w:r>
            <w:r w:rsidR="00C75A0E">
              <w:rPr>
                <w:i/>
              </w:rPr>
              <w:t>2</w:t>
            </w:r>
            <w:r w:rsidRPr="00320973">
              <w:rPr>
                <w:i/>
              </w:rPr>
              <w:t>–1</w:t>
            </w:r>
            <w:r w:rsidR="00C75A0E">
              <w:rPr>
                <w:i/>
              </w:rPr>
              <w:t>3</w:t>
            </w:r>
            <w:r w:rsidRPr="00320973">
              <w:t>, Health and Welfare Expenditure Series No. 5</w:t>
            </w:r>
            <w:r w:rsidR="00C75A0E">
              <w:t>2</w:t>
            </w:r>
            <w:r w:rsidRPr="00320973">
              <w:t xml:space="preserve">, Cat. no. </w:t>
            </w:r>
            <w:proofErr w:type="spellStart"/>
            <w:r w:rsidRPr="00320973">
              <w:t>HWE</w:t>
            </w:r>
            <w:proofErr w:type="spellEnd"/>
            <w:r w:rsidRPr="00320973">
              <w:t xml:space="preserve"> </w:t>
            </w:r>
            <w:r w:rsidR="00C75A0E">
              <w:t>61</w:t>
            </w:r>
            <w:r w:rsidRPr="00320973">
              <w:t xml:space="preserve">. Canberra, </w:t>
            </w:r>
            <w:proofErr w:type="spellStart"/>
            <w:r w:rsidRPr="00320973">
              <w:t>AIHW</w:t>
            </w:r>
            <w:proofErr w:type="spellEnd"/>
            <w:r w:rsidRPr="00320973">
              <w:t xml:space="preserve">; table </w:t>
            </w:r>
            <w:proofErr w:type="spellStart"/>
            <w:r w:rsidRPr="00320973">
              <w:t>11A.3</w:t>
            </w:r>
            <w:proofErr w:type="spellEnd"/>
            <w:r w:rsidRPr="00320973">
              <w:t>.</w:t>
            </w:r>
          </w:p>
        </w:tc>
      </w:tr>
      <w:tr w:rsidR="00320973" w:rsidTr="00EB796A">
        <w:tc>
          <w:tcPr>
            <w:tcW w:w="8771" w:type="dxa"/>
            <w:tcBorders>
              <w:top w:val="nil"/>
              <w:left w:val="nil"/>
              <w:bottom w:val="single" w:sz="6" w:space="0" w:color="78A22F"/>
              <w:right w:val="nil"/>
            </w:tcBorders>
            <w:shd w:val="clear" w:color="auto" w:fill="auto"/>
          </w:tcPr>
          <w:p w:rsidR="00320973" w:rsidRDefault="00320973" w:rsidP="00EB796A">
            <w:pPr>
              <w:pStyle w:val="Figurespace"/>
            </w:pPr>
          </w:p>
        </w:tc>
      </w:tr>
      <w:tr w:rsidR="00320973" w:rsidRPr="000863A5" w:rsidTr="00EB796A">
        <w:tc>
          <w:tcPr>
            <w:tcW w:w="8771" w:type="dxa"/>
            <w:tcBorders>
              <w:top w:val="single" w:sz="6" w:space="0" w:color="78A22F"/>
              <w:left w:val="nil"/>
              <w:bottom w:val="nil"/>
              <w:right w:val="nil"/>
            </w:tcBorders>
          </w:tcPr>
          <w:p w:rsidR="00320973" w:rsidRPr="00626D32" w:rsidRDefault="00320973" w:rsidP="00EB796A">
            <w:pPr>
              <w:pStyle w:val="BoxSpaceBelow"/>
            </w:pPr>
          </w:p>
        </w:tc>
      </w:tr>
    </w:tbl>
    <w:p w:rsidR="00320973" w:rsidRDefault="00320973" w:rsidP="00320973">
      <w:pPr>
        <w:pStyle w:val="Heading3"/>
      </w:pPr>
      <w:r>
        <w:t>Size and scope of sector</w:t>
      </w:r>
    </w:p>
    <w:p w:rsidR="00320973" w:rsidRDefault="00320973" w:rsidP="00320973">
      <w:pPr>
        <w:pStyle w:val="BodyText"/>
      </w:pPr>
      <w:r>
        <w:t xml:space="preserve">There are several ways to measure the size and scope of Australia’s public hospital sector. This chapter reports on: the number and size of hospitals; the number and location of public hospital beds; the number and type of public hospital separations; the </w:t>
      </w:r>
      <w:r w:rsidR="00B81EBB">
        <w:t>number</w:t>
      </w:r>
      <w:r>
        <w:t xml:space="preserve"> of separations by age group of the patient; the number of separations and incidence of treatment, by </w:t>
      </w:r>
      <w:r w:rsidR="004D11D7">
        <w:t xml:space="preserve">the </w:t>
      </w:r>
      <w:r>
        <w:t>Indigenous status of the patient; the number of hospital staff; and types of public hospital activity.</w:t>
      </w:r>
    </w:p>
    <w:p w:rsidR="00320973" w:rsidRDefault="00320973" w:rsidP="00320973">
      <w:pPr>
        <w:pStyle w:val="Heading4"/>
      </w:pPr>
      <w:bookmarkStart w:id="5" w:name="TableTitle"/>
      <w:bookmarkEnd w:id="5"/>
      <w:r>
        <w:t>Hospitals</w:t>
      </w:r>
    </w:p>
    <w:p w:rsidR="00320973" w:rsidRDefault="00320973" w:rsidP="00320973">
      <w:pPr>
        <w:pStyle w:val="BodyText"/>
      </w:pPr>
      <w:r>
        <w:t>In 201</w:t>
      </w:r>
      <w:r w:rsidR="001475E3">
        <w:t>2</w:t>
      </w:r>
      <w:r>
        <w:t>-1</w:t>
      </w:r>
      <w:r w:rsidR="001475E3">
        <w:t>3</w:t>
      </w:r>
      <w:r>
        <w:t>, Australia had 7</w:t>
      </w:r>
      <w:r w:rsidR="001475E3">
        <w:t>46</w:t>
      </w:r>
      <w:r>
        <w:t xml:space="preserve"> public hospitals (including 1</w:t>
      </w:r>
      <w:r w:rsidR="001475E3">
        <w:t>7 psychiatric hospitals) (table </w:t>
      </w:r>
      <w:proofErr w:type="spellStart"/>
      <w:r>
        <w:t>11A.4</w:t>
      </w:r>
      <w:proofErr w:type="spellEnd"/>
      <w:r>
        <w:t xml:space="preserve"> and </w:t>
      </w:r>
      <w:proofErr w:type="spellStart"/>
      <w:r>
        <w:t>AIHW</w:t>
      </w:r>
      <w:proofErr w:type="spellEnd"/>
      <w:r>
        <w:t xml:space="preserve"> </w:t>
      </w:r>
      <w:proofErr w:type="spellStart"/>
      <w:r>
        <w:t>201</w:t>
      </w:r>
      <w:r w:rsidR="00221BB8">
        <w:t>4</w:t>
      </w:r>
      <w:r>
        <w:t>a</w:t>
      </w:r>
      <w:proofErr w:type="spellEnd"/>
      <w:r>
        <w:t xml:space="preserve">). Although 71 per cent of hospitals had 50 or fewer beds, </w:t>
      </w:r>
      <w:r>
        <w:lastRenderedPageBreak/>
        <w:t xml:space="preserve">these smaller hospitals represented only 15 per cent of total available beds (figure 11.4 and table </w:t>
      </w:r>
      <w:proofErr w:type="spellStart"/>
      <w:r>
        <w:t>11A.4</w:t>
      </w:r>
      <w:proofErr w:type="spellEnd"/>
      <w:r>
        <w:t>).</w:t>
      </w:r>
    </w:p>
    <w:p w:rsidR="00320973" w:rsidRDefault="00320973" w:rsidP="00EB79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20973" w:rsidTr="00EB796A">
        <w:tc>
          <w:tcPr>
            <w:tcW w:w="8771" w:type="dxa"/>
            <w:tcBorders>
              <w:top w:val="single" w:sz="6" w:space="0" w:color="78A22F"/>
              <w:left w:val="nil"/>
              <w:bottom w:val="nil"/>
              <w:right w:val="nil"/>
            </w:tcBorders>
            <w:shd w:val="clear" w:color="auto" w:fill="auto"/>
          </w:tcPr>
          <w:p w:rsidR="00320973" w:rsidRPr="00176D3F" w:rsidRDefault="00320973" w:rsidP="00E30F6D">
            <w:pPr>
              <w:pStyle w:val="FigureTitle"/>
            </w:pPr>
            <w:r w:rsidRPr="00784A05">
              <w:rPr>
                <w:b w:val="0"/>
              </w:rPr>
              <w:t xml:space="preserve">Figure </w:t>
            </w:r>
            <w:r>
              <w:rPr>
                <w:b w:val="0"/>
              </w:rPr>
              <w:t>11.</w:t>
            </w:r>
            <w:r w:rsidR="009A53E9">
              <w:rPr>
                <w:b w:val="0"/>
                <w:noProof/>
              </w:rPr>
              <w:t>4</w:t>
            </w:r>
            <w:r>
              <w:tab/>
            </w:r>
            <w:r w:rsidR="00E30F6D" w:rsidRPr="00E30F6D">
              <w:t>Public hospitals, by size, 201</w:t>
            </w:r>
            <w:r w:rsidR="00E30F6D">
              <w:t>2</w:t>
            </w:r>
            <w:r w:rsidR="00E30F6D" w:rsidRPr="00E30F6D">
              <w:t>-</w:t>
            </w:r>
            <w:r w:rsidR="00E30F6D">
              <w:t>13</w:t>
            </w:r>
            <w:r w:rsidR="00E30F6D" w:rsidRPr="00E30F6D">
              <w:rPr>
                <w:rStyle w:val="NoteLabel"/>
                <w:b/>
                <w:szCs w:val="20"/>
              </w:rPr>
              <w:t>a, b, c, d, e</w:t>
            </w:r>
          </w:p>
        </w:tc>
      </w:tr>
      <w:tr w:rsidR="00320973" w:rsidTr="00EB796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20973" w:rsidTr="00EB796A">
              <w:trPr>
                <w:jc w:val="center"/>
              </w:trPr>
              <w:tc>
                <w:tcPr>
                  <w:tcW w:w="5000" w:type="pct"/>
                  <w:tcBorders>
                    <w:top w:val="nil"/>
                    <w:bottom w:val="nil"/>
                  </w:tcBorders>
                </w:tcPr>
                <w:p w:rsidR="00320973" w:rsidRDefault="001F000D" w:rsidP="00EB796A">
                  <w:pPr>
                    <w:pStyle w:val="Figure"/>
                    <w:spacing w:before="60" w:after="60"/>
                  </w:pPr>
                  <w:r>
                    <w:rPr>
                      <w:noProof/>
                    </w:rPr>
                    <w:drawing>
                      <wp:inline distT="0" distB="0" distL="0" distR="0">
                        <wp:extent cx="5391150" cy="2705100"/>
                        <wp:effectExtent l="0" t="0" r="0" b="0"/>
                        <wp:docPr id="5" name="Picture 5" descr="Figure 11.4 Public hospitals, by size,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320973" w:rsidRDefault="00320973" w:rsidP="00EB796A">
            <w:pPr>
              <w:pStyle w:val="Figure"/>
            </w:pPr>
          </w:p>
        </w:tc>
      </w:tr>
      <w:tr w:rsidR="00320973" w:rsidRPr="00176D3F" w:rsidTr="00EB796A">
        <w:tc>
          <w:tcPr>
            <w:tcW w:w="8771" w:type="dxa"/>
            <w:tcBorders>
              <w:top w:val="nil"/>
              <w:left w:val="nil"/>
              <w:bottom w:val="nil"/>
              <w:right w:val="nil"/>
            </w:tcBorders>
            <w:shd w:val="clear" w:color="auto" w:fill="auto"/>
          </w:tcPr>
          <w:p w:rsidR="00320973" w:rsidRPr="00176D3F" w:rsidRDefault="00320973" w:rsidP="00EB796A">
            <w:pPr>
              <w:pStyle w:val="Note"/>
            </w:pPr>
            <w:proofErr w:type="spellStart"/>
            <w:r>
              <w:rPr>
                <w:rStyle w:val="NoteLabel"/>
              </w:rPr>
              <w:t>a</w:t>
            </w:r>
            <w:proofErr w:type="spellEnd"/>
            <w:r>
              <w:t xml:space="preserve"> </w:t>
            </w:r>
            <w:r w:rsidR="00E30F6D" w:rsidRPr="00E30F6D">
              <w:t xml:space="preserve">The number of hospitals reported can be affected by administrative and/or reporting arrangements and is not necessarily a measure of the number of hospital buildings or campuses. </w:t>
            </w:r>
            <w:r w:rsidR="00E30F6D" w:rsidRPr="00E30F6D">
              <w:rPr>
                <w:rStyle w:val="NoteLabel"/>
              </w:rPr>
              <w:t>b</w:t>
            </w:r>
            <w:r w:rsidR="00E30F6D" w:rsidRPr="00E30F6D">
              <w:t xml:space="preserve"> Size is based on the average number of available beds. </w:t>
            </w:r>
            <w:r w:rsidR="00E30F6D" w:rsidRPr="00E30F6D">
              <w:rPr>
                <w:rStyle w:val="NoteLabel"/>
              </w:rPr>
              <w:t>c</w:t>
            </w:r>
            <w:r w:rsidR="00E30F6D" w:rsidRPr="00E30F6D">
              <w:t xml:space="preserve"> The comparability of bed numbers can be affected by the </w:t>
            </w:r>
            <w:proofErr w:type="spellStart"/>
            <w:r w:rsidR="00E30F6D" w:rsidRPr="00E30F6D">
              <w:t>casemix</w:t>
            </w:r>
            <w:proofErr w:type="spellEnd"/>
            <w:r w:rsidR="00E30F6D" w:rsidRPr="00E30F6D">
              <w:t xml:space="preserve"> of hospitals</w:t>
            </w:r>
            <w:r w:rsidR="00B81EBB">
              <w:t>,</w:t>
            </w:r>
            <w:r w:rsidR="00E30F6D" w:rsidRPr="00E30F6D">
              <w:t xml:space="preserve"> including the extent to which hospitals provide same day admitted services and other specialised services. </w:t>
            </w:r>
            <w:r w:rsidR="00E30F6D" w:rsidRPr="00E30F6D">
              <w:rPr>
                <w:rStyle w:val="NoteLabel"/>
              </w:rPr>
              <w:t>d</w:t>
            </w:r>
            <w:r w:rsidR="00E30F6D" w:rsidRPr="00E30F6D">
              <w:t xml:space="preserve"> The count of hospitals in Victoria is a count of the campuses that report data separately to the National Hospital Morbidity Database. </w:t>
            </w:r>
            <w:r w:rsidR="00E30F6D" w:rsidRPr="00E30F6D">
              <w:rPr>
                <w:rStyle w:val="NoteLabel"/>
              </w:rPr>
              <w:t>e</w:t>
            </w:r>
            <w:r w:rsidR="00E30F6D" w:rsidRPr="00E30F6D">
              <w:t xml:space="preserve"> The ACT did not have hospitals with more than 10 to 50 beds or more than 50 to 100 beds. The NT did not have hospitals with 10 or fewer beds.</w:t>
            </w:r>
          </w:p>
        </w:tc>
      </w:tr>
      <w:tr w:rsidR="00320973" w:rsidRPr="00176D3F" w:rsidTr="00EB796A">
        <w:tc>
          <w:tcPr>
            <w:tcW w:w="8771" w:type="dxa"/>
            <w:tcBorders>
              <w:top w:val="nil"/>
              <w:left w:val="nil"/>
              <w:bottom w:val="nil"/>
              <w:right w:val="nil"/>
            </w:tcBorders>
            <w:shd w:val="clear" w:color="auto" w:fill="auto"/>
          </w:tcPr>
          <w:p w:rsidR="00320973" w:rsidRPr="00176D3F" w:rsidRDefault="00E30F6D" w:rsidP="009551A6">
            <w:pPr>
              <w:pStyle w:val="Source"/>
            </w:pPr>
            <w:r>
              <w:rPr>
                <w:i/>
              </w:rPr>
              <w:t>S</w:t>
            </w:r>
            <w:r w:rsidR="00320973" w:rsidRPr="00784A05">
              <w:rPr>
                <w:i/>
              </w:rPr>
              <w:t>ource</w:t>
            </w:r>
            <w:r w:rsidR="00320973" w:rsidRPr="00176D3F">
              <w:t xml:space="preserve">: </w:t>
            </w:r>
            <w:r w:rsidRPr="00E30F6D">
              <w:t>AIHW (201</w:t>
            </w:r>
            <w:r w:rsidR="00FF13E8">
              <w:t>4</w:t>
            </w:r>
            <w:r w:rsidRPr="00E30F6D">
              <w:t xml:space="preserve">), </w:t>
            </w:r>
            <w:r w:rsidRPr="00E30F6D">
              <w:rPr>
                <w:i/>
              </w:rPr>
              <w:t>Australian Hospital Statistics 201</w:t>
            </w:r>
            <w:r w:rsidR="00FF13E8">
              <w:rPr>
                <w:i/>
              </w:rPr>
              <w:t>2</w:t>
            </w:r>
            <w:r w:rsidRPr="00E30F6D">
              <w:rPr>
                <w:i/>
              </w:rPr>
              <w:t>-1</w:t>
            </w:r>
            <w:r w:rsidR="00FF13E8">
              <w:rPr>
                <w:i/>
              </w:rPr>
              <w:t>3</w:t>
            </w:r>
            <w:r w:rsidRPr="00E30F6D">
              <w:t>, Health Services Series No. 5</w:t>
            </w:r>
            <w:r w:rsidR="00FF13E8">
              <w:t>4</w:t>
            </w:r>
            <w:r w:rsidRPr="00E30F6D">
              <w:t>, Cat no</w:t>
            </w:r>
            <w:r w:rsidR="009551A6">
              <w:t> </w:t>
            </w:r>
            <w:r w:rsidRPr="00E30F6D">
              <w:t xml:space="preserve"> </w:t>
            </w:r>
            <w:proofErr w:type="spellStart"/>
            <w:r w:rsidRPr="00E30F6D">
              <w:t>HSE</w:t>
            </w:r>
            <w:proofErr w:type="spellEnd"/>
            <w:r w:rsidR="00B81EBB">
              <w:t> </w:t>
            </w:r>
            <w:r w:rsidRPr="00E30F6D">
              <w:t>1</w:t>
            </w:r>
            <w:r w:rsidR="00FF13E8">
              <w:t>45</w:t>
            </w:r>
            <w:r w:rsidRPr="00E30F6D">
              <w:t xml:space="preserve">; table </w:t>
            </w:r>
            <w:proofErr w:type="spellStart"/>
            <w:r w:rsidRPr="00E30F6D">
              <w:t>11A.4</w:t>
            </w:r>
            <w:proofErr w:type="spellEnd"/>
            <w:r w:rsidRPr="00E30F6D">
              <w:t>.</w:t>
            </w:r>
          </w:p>
        </w:tc>
      </w:tr>
      <w:tr w:rsidR="00320973" w:rsidTr="00EB796A">
        <w:tc>
          <w:tcPr>
            <w:tcW w:w="8771" w:type="dxa"/>
            <w:tcBorders>
              <w:top w:val="nil"/>
              <w:left w:val="nil"/>
              <w:bottom w:val="single" w:sz="6" w:space="0" w:color="78A22F"/>
              <w:right w:val="nil"/>
            </w:tcBorders>
            <w:shd w:val="clear" w:color="auto" w:fill="auto"/>
          </w:tcPr>
          <w:p w:rsidR="00320973" w:rsidRDefault="00320973" w:rsidP="00EB796A">
            <w:pPr>
              <w:pStyle w:val="Figurespace"/>
            </w:pPr>
          </w:p>
        </w:tc>
      </w:tr>
      <w:tr w:rsidR="00320973" w:rsidRPr="000863A5" w:rsidTr="00EB796A">
        <w:tc>
          <w:tcPr>
            <w:tcW w:w="8771" w:type="dxa"/>
            <w:tcBorders>
              <w:top w:val="single" w:sz="6" w:space="0" w:color="78A22F"/>
              <w:left w:val="nil"/>
              <w:bottom w:val="nil"/>
              <w:right w:val="nil"/>
            </w:tcBorders>
          </w:tcPr>
          <w:p w:rsidR="00320973" w:rsidRPr="00626D32" w:rsidRDefault="00320973" w:rsidP="00EB796A">
            <w:pPr>
              <w:pStyle w:val="BoxSpaceBelow"/>
            </w:pPr>
          </w:p>
        </w:tc>
      </w:tr>
    </w:tbl>
    <w:p w:rsidR="00E30F6D" w:rsidRDefault="00E30F6D" w:rsidP="00E30F6D">
      <w:pPr>
        <w:pStyle w:val="Heading4"/>
      </w:pPr>
      <w:r>
        <w:t>Hospital beds</w:t>
      </w:r>
    </w:p>
    <w:p w:rsidR="00320973" w:rsidRDefault="00221BB8" w:rsidP="00E30F6D">
      <w:pPr>
        <w:pStyle w:val="BodyText"/>
      </w:pPr>
      <w:r>
        <w:t>There were 58 311</w:t>
      </w:r>
      <w:r w:rsidR="00E30F6D">
        <w:t xml:space="preserve"> available beds for admitted patients in public hospitals in 201</w:t>
      </w:r>
      <w:r>
        <w:t>2-</w:t>
      </w:r>
      <w:r w:rsidR="00E30F6D">
        <w:t>1</w:t>
      </w:r>
      <w:r>
        <w:t>3</w:t>
      </w:r>
      <w:r w:rsidR="00E30F6D">
        <w:t xml:space="preserve">, equivalent to 2.6 beds per 1000 people (figure 11.5 and table </w:t>
      </w:r>
      <w:proofErr w:type="spellStart"/>
      <w:r w:rsidR="00E30F6D">
        <w:t>11A.4</w:t>
      </w:r>
      <w:proofErr w:type="spellEnd"/>
      <w:r w:rsidR="00E30F6D">
        <w:t>). The concept of an available bed is becoming less important in the overall context of hospital activity, particularly given the increasing significance of same day hospitalisations and hospital-in-the-home care (AIHW 2011). Nationally, about 8</w:t>
      </w:r>
      <w:r>
        <w:t>7</w:t>
      </w:r>
      <w:r w:rsidR="00E30F6D">
        <w:t xml:space="preserve"> per cent of beds in public acute hospitals were available for overnight-stay patients in 201</w:t>
      </w:r>
      <w:r w:rsidR="002236F0">
        <w:t>2</w:t>
      </w:r>
      <w:r w:rsidR="00E30F6D">
        <w:t>-1</w:t>
      </w:r>
      <w:r w:rsidR="002236F0">
        <w:t>3</w:t>
      </w:r>
      <w:r w:rsidR="00E30F6D">
        <w:t xml:space="preserve"> (</w:t>
      </w:r>
      <w:proofErr w:type="spellStart"/>
      <w:r w:rsidR="00E30F6D">
        <w:t>AIHW</w:t>
      </w:r>
      <w:proofErr w:type="spellEnd"/>
      <w:r w:rsidR="00E30F6D">
        <w:t xml:space="preserve"> </w:t>
      </w:r>
      <w:proofErr w:type="spellStart"/>
      <w:r w:rsidR="00E30F6D">
        <w:t>201</w:t>
      </w:r>
      <w:r>
        <w:t>4</w:t>
      </w:r>
      <w:r w:rsidR="00E30F6D">
        <w:t>a</w:t>
      </w:r>
      <w:proofErr w:type="spellEnd"/>
      <w:r w:rsidR="00E30F6D">
        <w:t>).</w:t>
      </w:r>
    </w:p>
    <w:p w:rsidR="00E30F6D" w:rsidRDefault="00E30F6D" w:rsidP="00EB79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30F6D" w:rsidTr="00EB796A">
        <w:tc>
          <w:tcPr>
            <w:tcW w:w="8771" w:type="dxa"/>
            <w:tcBorders>
              <w:top w:val="single" w:sz="6" w:space="0" w:color="78A22F"/>
              <w:left w:val="nil"/>
              <w:bottom w:val="nil"/>
              <w:right w:val="nil"/>
            </w:tcBorders>
            <w:shd w:val="clear" w:color="auto" w:fill="auto"/>
          </w:tcPr>
          <w:p w:rsidR="00E30F6D" w:rsidRPr="00176D3F" w:rsidRDefault="00E30F6D" w:rsidP="00E30F6D">
            <w:pPr>
              <w:pStyle w:val="FigureTitle"/>
            </w:pPr>
            <w:r w:rsidRPr="00784A05">
              <w:rPr>
                <w:b w:val="0"/>
              </w:rPr>
              <w:t xml:space="preserve">Figure </w:t>
            </w:r>
            <w:r>
              <w:rPr>
                <w:b w:val="0"/>
              </w:rPr>
              <w:t>11.</w:t>
            </w:r>
            <w:r w:rsidR="009A53E9">
              <w:rPr>
                <w:b w:val="0"/>
                <w:noProof/>
              </w:rPr>
              <w:t>5</w:t>
            </w:r>
            <w:r>
              <w:tab/>
            </w:r>
            <w:r w:rsidRPr="00E30F6D">
              <w:t>Available beds, public hospitals</w:t>
            </w:r>
            <w:r w:rsidRPr="00E30F6D">
              <w:rPr>
                <w:rStyle w:val="NoteLabel"/>
                <w:b/>
                <w:szCs w:val="20"/>
              </w:rPr>
              <w:t>a</w:t>
            </w:r>
            <w:r w:rsidR="00525D2E">
              <w:rPr>
                <w:rStyle w:val="NoteLabel"/>
                <w:b/>
                <w:szCs w:val="20"/>
              </w:rPr>
              <w:t>, b</w:t>
            </w:r>
          </w:p>
        </w:tc>
      </w:tr>
      <w:tr w:rsidR="00E30F6D" w:rsidTr="00EB796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30F6D" w:rsidTr="00EB796A">
              <w:trPr>
                <w:jc w:val="center"/>
              </w:trPr>
              <w:tc>
                <w:tcPr>
                  <w:tcW w:w="5000" w:type="pct"/>
                  <w:tcBorders>
                    <w:top w:val="nil"/>
                    <w:bottom w:val="nil"/>
                  </w:tcBorders>
                </w:tcPr>
                <w:p w:rsidR="00E30F6D" w:rsidRDefault="001F000D" w:rsidP="00EB796A">
                  <w:pPr>
                    <w:pStyle w:val="Figure"/>
                    <w:spacing w:before="60" w:after="60"/>
                  </w:pPr>
                  <w:r>
                    <w:rPr>
                      <w:noProof/>
                    </w:rPr>
                    <w:drawing>
                      <wp:inline distT="0" distB="0" distL="0" distR="0">
                        <wp:extent cx="5391150" cy="2705100"/>
                        <wp:effectExtent l="0" t="0" r="0" b="0"/>
                        <wp:docPr id="6" name="Picture 6" descr="Figure 11.5 Available beds, public hospital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E30F6D" w:rsidRDefault="00E30F6D" w:rsidP="00EB796A">
            <w:pPr>
              <w:pStyle w:val="Figure"/>
            </w:pPr>
          </w:p>
        </w:tc>
      </w:tr>
      <w:tr w:rsidR="00E30F6D" w:rsidRPr="00176D3F" w:rsidTr="00EB796A">
        <w:tc>
          <w:tcPr>
            <w:tcW w:w="8771" w:type="dxa"/>
            <w:tcBorders>
              <w:top w:val="nil"/>
              <w:left w:val="nil"/>
              <w:bottom w:val="nil"/>
              <w:right w:val="nil"/>
            </w:tcBorders>
            <w:shd w:val="clear" w:color="auto" w:fill="auto"/>
          </w:tcPr>
          <w:p w:rsidR="00E30F6D" w:rsidRPr="00176D3F" w:rsidRDefault="00E30F6D" w:rsidP="00711DD6">
            <w:pPr>
              <w:pStyle w:val="Note"/>
            </w:pPr>
            <w:proofErr w:type="spellStart"/>
            <w:r>
              <w:rPr>
                <w:rStyle w:val="NoteLabel"/>
              </w:rPr>
              <w:t>a</w:t>
            </w:r>
            <w:proofErr w:type="spellEnd"/>
            <w:r>
              <w:t xml:space="preserve"> </w:t>
            </w:r>
            <w:r w:rsidRPr="00E30F6D">
              <w:t>Available beds includes both average available beds for overnight and same day accommodation. Average available overnight beds is the number of beds available to provide overnight accommodation for patients (other than neonatal cots (</w:t>
            </w:r>
            <w:proofErr w:type="spellStart"/>
            <w:r w:rsidRPr="00E30F6D">
              <w:t>nonspecial</w:t>
            </w:r>
            <w:proofErr w:type="spellEnd"/>
            <w:r w:rsidRPr="00E30F6D">
              <w:t>-care) and beds occupied by hospital-in-the-home patients), averaged over the counting period. Average available same day beds is the number of beds, chairs or trolleys available to provide accommodation for same-day patients, averaged over the counting period (</w:t>
            </w:r>
            <w:proofErr w:type="spellStart"/>
            <w:r w:rsidRPr="00E30F6D">
              <w:t>HDSC</w:t>
            </w:r>
            <w:proofErr w:type="spellEnd"/>
            <w:r w:rsidRPr="00E30F6D">
              <w:t xml:space="preserve"> </w:t>
            </w:r>
            <w:r w:rsidRPr="00E919A3">
              <w:t>2012).</w:t>
            </w:r>
            <w:r w:rsidR="003542E4" w:rsidRPr="00E919A3">
              <w:t xml:space="preserve"> </w:t>
            </w:r>
            <w:r w:rsidR="003542E4" w:rsidRPr="00E919A3">
              <w:rPr>
                <w:rStyle w:val="NoteLabel"/>
              </w:rPr>
              <w:t>b</w:t>
            </w:r>
            <w:r w:rsidR="003542E4" w:rsidRPr="00E919A3">
              <w:t xml:space="preserve"> In 2012-13 a large number of SA state-funded aged care beds in country hospitals converted into Commonwealth </w:t>
            </w:r>
            <w:proofErr w:type="spellStart"/>
            <w:r w:rsidR="003542E4" w:rsidRPr="00E919A3">
              <w:t>multi-purpose</w:t>
            </w:r>
            <w:proofErr w:type="spellEnd"/>
            <w:r w:rsidR="003542E4" w:rsidRPr="00E919A3">
              <w:t xml:space="preserve"> service places. This has resulted in an apparent decrease in the numbers of available beds between 2011-12 and 2012-13.</w:t>
            </w:r>
            <w:r w:rsidR="003542E4" w:rsidRPr="003542E4">
              <w:rPr>
                <w:shd w:val="clear" w:color="auto" w:fill="BFBFBF" w:themeFill="background1" w:themeFillShade="BF"/>
              </w:rPr>
              <w:t xml:space="preserve"> </w:t>
            </w:r>
          </w:p>
        </w:tc>
      </w:tr>
      <w:tr w:rsidR="00E30F6D" w:rsidRPr="00176D3F" w:rsidTr="00EB796A">
        <w:tc>
          <w:tcPr>
            <w:tcW w:w="8771" w:type="dxa"/>
            <w:tcBorders>
              <w:top w:val="nil"/>
              <w:left w:val="nil"/>
              <w:bottom w:val="nil"/>
              <w:right w:val="nil"/>
            </w:tcBorders>
            <w:shd w:val="clear" w:color="auto" w:fill="auto"/>
          </w:tcPr>
          <w:p w:rsidR="00E30F6D" w:rsidRPr="00176D3F" w:rsidRDefault="00E30F6D" w:rsidP="00EB796A">
            <w:pPr>
              <w:pStyle w:val="Source"/>
            </w:pPr>
            <w:r>
              <w:rPr>
                <w:i/>
              </w:rPr>
              <w:t>S</w:t>
            </w:r>
            <w:r w:rsidRPr="00784A05">
              <w:rPr>
                <w:i/>
              </w:rPr>
              <w:t>ource</w:t>
            </w:r>
            <w:r w:rsidRPr="00176D3F">
              <w:t xml:space="preserve">: </w:t>
            </w:r>
            <w:r w:rsidRPr="00E30F6D">
              <w:t xml:space="preserve">AIHW (various years), </w:t>
            </w:r>
            <w:r w:rsidRPr="00E30F6D">
              <w:rPr>
                <w:i/>
              </w:rPr>
              <w:t>Australian hospital statistics</w:t>
            </w:r>
            <w:r w:rsidRPr="00E30F6D">
              <w:t xml:space="preserve">, Health Services Series, Cat. nos </w:t>
            </w:r>
            <w:proofErr w:type="spellStart"/>
            <w:r w:rsidR="00C75A0E" w:rsidRPr="00C75A0E">
              <w:t>HSE</w:t>
            </w:r>
            <w:proofErr w:type="spellEnd"/>
            <w:r w:rsidR="00C75A0E" w:rsidRPr="00C75A0E">
              <w:t xml:space="preserve"> 84, 107, 117, 134 and 145</w:t>
            </w:r>
            <w:r w:rsidRPr="00E30F6D">
              <w:t xml:space="preserve">; table </w:t>
            </w:r>
            <w:proofErr w:type="spellStart"/>
            <w:r w:rsidRPr="00E30F6D">
              <w:t>11A.5</w:t>
            </w:r>
            <w:proofErr w:type="spellEnd"/>
            <w:r w:rsidRPr="00E30F6D">
              <w:t>.</w:t>
            </w:r>
          </w:p>
        </w:tc>
      </w:tr>
      <w:tr w:rsidR="00E30F6D" w:rsidTr="00EB796A">
        <w:tc>
          <w:tcPr>
            <w:tcW w:w="8771" w:type="dxa"/>
            <w:tcBorders>
              <w:top w:val="nil"/>
              <w:left w:val="nil"/>
              <w:bottom w:val="single" w:sz="6" w:space="0" w:color="78A22F"/>
              <w:right w:val="nil"/>
            </w:tcBorders>
            <w:shd w:val="clear" w:color="auto" w:fill="auto"/>
          </w:tcPr>
          <w:p w:rsidR="00E30F6D" w:rsidRDefault="00E30F6D" w:rsidP="00EB796A">
            <w:pPr>
              <w:pStyle w:val="Figurespace"/>
            </w:pPr>
          </w:p>
        </w:tc>
      </w:tr>
      <w:tr w:rsidR="00E30F6D" w:rsidRPr="000863A5" w:rsidTr="00EB796A">
        <w:tc>
          <w:tcPr>
            <w:tcW w:w="8771" w:type="dxa"/>
            <w:tcBorders>
              <w:top w:val="single" w:sz="6" w:space="0" w:color="78A22F"/>
              <w:left w:val="nil"/>
              <w:bottom w:val="nil"/>
              <w:right w:val="nil"/>
            </w:tcBorders>
          </w:tcPr>
          <w:p w:rsidR="00E30F6D" w:rsidRPr="00626D32" w:rsidRDefault="00E30F6D" w:rsidP="00EB796A">
            <w:pPr>
              <w:pStyle w:val="BoxSpaceBelow"/>
            </w:pPr>
          </w:p>
        </w:tc>
      </w:tr>
    </w:tbl>
    <w:p w:rsidR="00E30F6D" w:rsidRDefault="00E30F6D" w:rsidP="00E30F6D">
      <w:pPr>
        <w:pStyle w:val="BodyText"/>
      </w:pPr>
      <w:r>
        <w:t xml:space="preserve">The comparability of bed numbers can be affected by the </w:t>
      </w:r>
      <w:proofErr w:type="spellStart"/>
      <w:r>
        <w:t>casemix</w:t>
      </w:r>
      <w:proofErr w:type="spellEnd"/>
      <w:r>
        <w:t xml:space="preserve"> of hospitals, including the extent to which hospitals provide same day admitted services and other specialised services. There are also differences in admission practices and how available beds are counted, both across jurisdictions and over time. </w:t>
      </w:r>
    </w:p>
    <w:p w:rsidR="00320973" w:rsidRDefault="00E30F6D" w:rsidP="00E30F6D">
      <w:pPr>
        <w:pStyle w:val="BodyText"/>
      </w:pPr>
      <w:r>
        <w:t xml:space="preserve">Nationally, more beds were available per 1000 people in remote areas (figure 11.6). The patterns of bed availability can reflect a number of factors, including patterns of availability of other healthcare services, patterns of disease and injury and the relatively poor health of </w:t>
      </w:r>
      <w:r w:rsidR="00CC4A84">
        <w:t>Aboriginal and Torres Strait Islander</w:t>
      </w:r>
      <w:r>
        <w:t xml:space="preserve"> Australians, who have higher population concentrations in remote areas. These data also need to be viewed in the context of the age and sex structure (reported in chapter 2) and the morbidity and mortality (reported in the ‘Health sector overview’) of the population in each State and Territory.</w:t>
      </w:r>
    </w:p>
    <w:p w:rsidR="00E30F6D" w:rsidRDefault="00E30F6D" w:rsidP="00EB79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30F6D" w:rsidTr="00EB796A">
        <w:tc>
          <w:tcPr>
            <w:tcW w:w="8771" w:type="dxa"/>
            <w:tcBorders>
              <w:top w:val="single" w:sz="6" w:space="0" w:color="78A22F"/>
              <w:left w:val="nil"/>
              <w:bottom w:val="nil"/>
              <w:right w:val="nil"/>
            </w:tcBorders>
            <w:shd w:val="clear" w:color="auto" w:fill="auto"/>
          </w:tcPr>
          <w:p w:rsidR="00E30F6D" w:rsidRPr="00176D3F" w:rsidRDefault="00E30F6D" w:rsidP="00E30F6D">
            <w:pPr>
              <w:pStyle w:val="FigureTitle"/>
            </w:pPr>
            <w:r w:rsidRPr="00784A05">
              <w:rPr>
                <w:b w:val="0"/>
              </w:rPr>
              <w:t xml:space="preserve">Figure </w:t>
            </w:r>
            <w:r>
              <w:rPr>
                <w:b w:val="0"/>
              </w:rPr>
              <w:t>11.</w:t>
            </w:r>
            <w:r w:rsidR="009A53E9">
              <w:rPr>
                <w:b w:val="0"/>
                <w:noProof/>
              </w:rPr>
              <w:t>6</w:t>
            </w:r>
            <w:r>
              <w:tab/>
            </w:r>
            <w:r w:rsidRPr="00E30F6D">
              <w:t>Available beds, public hospitals, by location, 201</w:t>
            </w:r>
            <w:r>
              <w:t>2-13</w:t>
            </w:r>
            <w:r w:rsidRPr="00E30F6D">
              <w:rPr>
                <w:rStyle w:val="NoteLabel"/>
                <w:b/>
                <w:szCs w:val="20"/>
              </w:rPr>
              <w:t>a, b, c</w:t>
            </w:r>
          </w:p>
        </w:tc>
      </w:tr>
      <w:tr w:rsidR="00E30F6D" w:rsidTr="00EB796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30F6D" w:rsidTr="00EB796A">
              <w:trPr>
                <w:jc w:val="center"/>
              </w:trPr>
              <w:tc>
                <w:tcPr>
                  <w:tcW w:w="5000" w:type="pct"/>
                  <w:tcBorders>
                    <w:top w:val="nil"/>
                    <w:bottom w:val="nil"/>
                  </w:tcBorders>
                </w:tcPr>
                <w:p w:rsidR="00E30F6D" w:rsidRDefault="001F000D" w:rsidP="00EB796A">
                  <w:pPr>
                    <w:pStyle w:val="Figure"/>
                    <w:spacing w:before="60" w:after="60"/>
                  </w:pPr>
                  <w:r>
                    <w:rPr>
                      <w:noProof/>
                    </w:rPr>
                    <w:drawing>
                      <wp:inline distT="0" distB="0" distL="0" distR="0">
                        <wp:extent cx="5391150" cy="2705100"/>
                        <wp:effectExtent l="0" t="0" r="0" b="0"/>
                        <wp:docPr id="7" name="Picture 7" descr="Figure 11.6 Available beds, public hospitals, by location,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E30F6D" w:rsidRDefault="00E30F6D" w:rsidP="00EB796A">
            <w:pPr>
              <w:pStyle w:val="Figure"/>
            </w:pPr>
          </w:p>
        </w:tc>
      </w:tr>
      <w:tr w:rsidR="00E30F6D" w:rsidRPr="00176D3F" w:rsidTr="00EB796A">
        <w:tc>
          <w:tcPr>
            <w:tcW w:w="8771" w:type="dxa"/>
            <w:tcBorders>
              <w:top w:val="nil"/>
              <w:left w:val="nil"/>
              <w:bottom w:val="nil"/>
              <w:right w:val="nil"/>
            </w:tcBorders>
            <w:shd w:val="clear" w:color="auto" w:fill="auto"/>
          </w:tcPr>
          <w:p w:rsidR="00E30F6D" w:rsidRPr="00176D3F" w:rsidRDefault="00E30F6D" w:rsidP="006F2BA5">
            <w:pPr>
              <w:pStyle w:val="Note"/>
            </w:pPr>
            <w:proofErr w:type="spellStart"/>
            <w:r>
              <w:rPr>
                <w:rStyle w:val="NoteLabel"/>
              </w:rPr>
              <w:t>a</w:t>
            </w:r>
            <w:proofErr w:type="spellEnd"/>
            <w:r>
              <w:t xml:space="preserve"> </w:t>
            </w:r>
            <w:r w:rsidR="00E34B32" w:rsidRPr="00E34B32">
              <w:t>Available beds includes both average available beds for overnight and same day accommodation. Average available overnight beds is the number of beds available to provide overnight accommodation for patients (other than neonatal cots (</w:t>
            </w:r>
            <w:proofErr w:type="spellStart"/>
            <w:r w:rsidR="00E34B32" w:rsidRPr="00E34B32">
              <w:t>nonspecial</w:t>
            </w:r>
            <w:proofErr w:type="spellEnd"/>
            <w:r w:rsidR="00E34B32" w:rsidRPr="00E34B32">
              <w:t>-care) and beds occupied by hospital-in-the-home patients), averaged over the counting period. Average available same day beds is the number of beds, chairs or trolleys available to provide accommodation for same-day patients, averaged over the counting period (</w:t>
            </w:r>
            <w:proofErr w:type="spellStart"/>
            <w:r w:rsidR="00E34B32" w:rsidRPr="00E34B32">
              <w:t>HDSC</w:t>
            </w:r>
            <w:proofErr w:type="spellEnd"/>
            <w:r w:rsidR="00E34B32" w:rsidRPr="00E34B32">
              <w:t xml:space="preserve"> 2012). </w:t>
            </w:r>
            <w:r w:rsidR="00E34B32" w:rsidRPr="00E34B32">
              <w:rPr>
                <w:rStyle w:val="NoteLabel"/>
              </w:rPr>
              <w:t>b</w:t>
            </w:r>
            <w:r w:rsidR="00E34B32" w:rsidRPr="00E34B32">
              <w:t xml:space="preserve"> Analysis by remoteness area is of less relevance to geographically smaller jurisdictions and those jurisdictions with small populations residing in remote areas (such as Victoria) (</w:t>
            </w:r>
            <w:proofErr w:type="spellStart"/>
            <w:r w:rsidR="00E34B32" w:rsidRPr="00E34B32">
              <w:t>AIHW</w:t>
            </w:r>
            <w:proofErr w:type="spellEnd"/>
            <w:r w:rsidR="00E34B32" w:rsidRPr="00E34B32">
              <w:t xml:space="preserve"> </w:t>
            </w:r>
            <w:proofErr w:type="spellStart"/>
            <w:r w:rsidR="00E34B32" w:rsidRPr="00E34B32">
              <w:t>201</w:t>
            </w:r>
            <w:r w:rsidR="00816E0B">
              <w:t>4</w:t>
            </w:r>
            <w:r w:rsidR="00E34B32" w:rsidRPr="00E34B32">
              <w:t>a</w:t>
            </w:r>
            <w:proofErr w:type="spellEnd"/>
            <w:r w:rsidR="00E34B32" w:rsidRPr="00E34B32">
              <w:t xml:space="preserve">). </w:t>
            </w:r>
            <w:r w:rsidR="00E34B32" w:rsidRPr="00E34B32">
              <w:rPr>
                <w:rStyle w:val="NoteLabel"/>
              </w:rPr>
              <w:t>c</w:t>
            </w:r>
            <w:r w:rsidR="006F2BA5">
              <w:rPr>
                <w:rStyle w:val="NoteLabel"/>
              </w:rPr>
              <w:t> </w:t>
            </w:r>
            <w:r w:rsidR="00E34B32" w:rsidRPr="00E34B32">
              <w:t>Tasmania and the NT do not have major cities and the ACT does not have regional and remote areas.</w:t>
            </w:r>
          </w:p>
        </w:tc>
      </w:tr>
      <w:tr w:rsidR="00E30F6D" w:rsidRPr="00176D3F" w:rsidTr="00EB796A">
        <w:tc>
          <w:tcPr>
            <w:tcW w:w="8771" w:type="dxa"/>
            <w:tcBorders>
              <w:top w:val="nil"/>
              <w:left w:val="nil"/>
              <w:bottom w:val="nil"/>
              <w:right w:val="nil"/>
            </w:tcBorders>
            <w:shd w:val="clear" w:color="auto" w:fill="auto"/>
          </w:tcPr>
          <w:p w:rsidR="00E30F6D" w:rsidRPr="00176D3F" w:rsidRDefault="00E30F6D" w:rsidP="009551A6">
            <w:pPr>
              <w:pStyle w:val="Source"/>
            </w:pPr>
            <w:r>
              <w:rPr>
                <w:i/>
              </w:rPr>
              <w:t>S</w:t>
            </w:r>
            <w:r w:rsidRPr="00784A05">
              <w:rPr>
                <w:i/>
              </w:rPr>
              <w:t>ource</w:t>
            </w:r>
            <w:r w:rsidRPr="00176D3F">
              <w:t xml:space="preserve">: </w:t>
            </w:r>
            <w:r w:rsidR="00FF13E8" w:rsidRPr="00FF13E8">
              <w:t xml:space="preserve">AIHW (2014), </w:t>
            </w:r>
            <w:r w:rsidR="00FF13E8" w:rsidRPr="00FF13E8">
              <w:rPr>
                <w:i/>
              </w:rPr>
              <w:t>Australian Hospital Statistics 2012-13</w:t>
            </w:r>
            <w:r w:rsidR="00FF13E8" w:rsidRPr="00FF13E8">
              <w:t>, Health Services Series No. 54, Cat no.</w:t>
            </w:r>
            <w:r w:rsidR="009551A6">
              <w:t> </w:t>
            </w:r>
            <w:proofErr w:type="spellStart"/>
            <w:r w:rsidR="00FF13E8" w:rsidRPr="00FF13E8">
              <w:t>HSE</w:t>
            </w:r>
            <w:proofErr w:type="spellEnd"/>
            <w:r w:rsidR="009551A6">
              <w:t> </w:t>
            </w:r>
            <w:r w:rsidR="00FF13E8" w:rsidRPr="00FF13E8">
              <w:t>145</w:t>
            </w:r>
            <w:r w:rsidRPr="00E30F6D">
              <w:t xml:space="preserve">; table </w:t>
            </w:r>
            <w:proofErr w:type="spellStart"/>
            <w:r w:rsidRPr="00E30F6D">
              <w:t>11A.5</w:t>
            </w:r>
            <w:proofErr w:type="spellEnd"/>
            <w:r w:rsidRPr="00E30F6D">
              <w:t>.</w:t>
            </w:r>
          </w:p>
        </w:tc>
      </w:tr>
      <w:tr w:rsidR="00E30F6D" w:rsidTr="00EB796A">
        <w:tc>
          <w:tcPr>
            <w:tcW w:w="8771" w:type="dxa"/>
            <w:tcBorders>
              <w:top w:val="nil"/>
              <w:left w:val="nil"/>
              <w:bottom w:val="single" w:sz="6" w:space="0" w:color="78A22F"/>
              <w:right w:val="nil"/>
            </w:tcBorders>
            <w:shd w:val="clear" w:color="auto" w:fill="auto"/>
          </w:tcPr>
          <w:p w:rsidR="00E30F6D" w:rsidRDefault="00E30F6D" w:rsidP="00EB796A">
            <w:pPr>
              <w:pStyle w:val="Figurespace"/>
            </w:pPr>
          </w:p>
        </w:tc>
      </w:tr>
      <w:tr w:rsidR="00E30F6D" w:rsidRPr="000863A5" w:rsidTr="00EB796A">
        <w:tc>
          <w:tcPr>
            <w:tcW w:w="8771" w:type="dxa"/>
            <w:tcBorders>
              <w:top w:val="single" w:sz="6" w:space="0" w:color="78A22F"/>
              <w:left w:val="nil"/>
              <w:bottom w:val="nil"/>
              <w:right w:val="nil"/>
            </w:tcBorders>
          </w:tcPr>
          <w:p w:rsidR="00E30F6D" w:rsidRPr="00626D32" w:rsidRDefault="00E30F6D" w:rsidP="00EB796A">
            <w:pPr>
              <w:pStyle w:val="BoxSpaceBelow"/>
            </w:pPr>
          </w:p>
        </w:tc>
      </w:tr>
    </w:tbl>
    <w:p w:rsidR="003F5D50" w:rsidRDefault="003F5D50" w:rsidP="003F5D50">
      <w:pPr>
        <w:pStyle w:val="Heading4"/>
      </w:pPr>
      <w:r>
        <w:t>Admitted patient care</w:t>
      </w:r>
    </w:p>
    <w:p w:rsidR="00320973" w:rsidRDefault="003F5D50" w:rsidP="003F5D50">
      <w:pPr>
        <w:pStyle w:val="BodyText"/>
      </w:pPr>
      <w:r>
        <w:t>There were approximately 5.5 million separations from public (non</w:t>
      </w:r>
      <w:r w:rsidR="00B81EBB">
        <w:t>-</w:t>
      </w:r>
      <w:r>
        <w:t>psychiatric) hospitals in 201</w:t>
      </w:r>
      <w:r w:rsidR="00F109F4">
        <w:t>2</w:t>
      </w:r>
      <w:r>
        <w:t>-1</w:t>
      </w:r>
      <w:r w:rsidR="00F109F4">
        <w:t>3</w:t>
      </w:r>
      <w:r>
        <w:t xml:space="preserve"> (table </w:t>
      </w:r>
      <w:proofErr w:type="spellStart"/>
      <w:r>
        <w:t>11A.6</w:t>
      </w:r>
      <w:proofErr w:type="spellEnd"/>
      <w:r>
        <w:t xml:space="preserve">). Nationally, this translates into </w:t>
      </w:r>
      <w:r w:rsidR="00F109F4">
        <w:t>231.6</w:t>
      </w:r>
      <w:r>
        <w:t xml:space="preserve"> separations per 1000 people (figure 11.7). Acute separations accounted for 95.</w:t>
      </w:r>
      <w:r w:rsidR="00F109F4">
        <w:t>1</w:t>
      </w:r>
      <w:r>
        <w:t xml:space="preserve"> per cent of separations from public hospitals, newborns who required acute care accounted for 1.</w:t>
      </w:r>
      <w:r w:rsidR="00F109F4">
        <w:t>4</w:t>
      </w:r>
      <w:r>
        <w:t xml:space="preserve"> per cent and rehabilitation care accounted for 1.</w:t>
      </w:r>
      <w:r w:rsidR="00F109F4">
        <w:t>9</w:t>
      </w:r>
      <w:r>
        <w:t xml:space="preserve"> per cent (table </w:t>
      </w:r>
      <w:proofErr w:type="spellStart"/>
      <w:r>
        <w:t>11A.13</w:t>
      </w:r>
      <w:proofErr w:type="spellEnd"/>
      <w:r>
        <w:t>). Palliative care, geriatric evaluation and management</w:t>
      </w:r>
      <w:r w:rsidR="00C74971">
        <w:t>,</w:t>
      </w:r>
      <w:r>
        <w:t xml:space="preserve"> and maintenance care constitute the remainder. Of the total number of separations in public (non</w:t>
      </w:r>
      <w:r w:rsidR="00B81EBB">
        <w:t>-</w:t>
      </w:r>
      <w:r>
        <w:t xml:space="preserve">psychiatric) hospitals, </w:t>
      </w:r>
      <w:r w:rsidR="00F109F4">
        <w:t>50.4</w:t>
      </w:r>
      <w:r>
        <w:t xml:space="preserve"> per cent were for same day patients. Public psychiatric hospitals accounted for around 0.2 per cent of total separations in public hospitals in 201</w:t>
      </w:r>
      <w:r w:rsidR="00F109F4">
        <w:t>2-</w:t>
      </w:r>
      <w:r>
        <w:t>1</w:t>
      </w:r>
      <w:r w:rsidR="00F109F4">
        <w:t>3</w:t>
      </w:r>
      <w:r>
        <w:t xml:space="preserve"> (table </w:t>
      </w:r>
      <w:proofErr w:type="spellStart"/>
      <w:r>
        <w:t>11A.6</w:t>
      </w:r>
      <w:proofErr w:type="spellEnd"/>
      <w:r>
        <w:t>).</w:t>
      </w:r>
    </w:p>
    <w:p w:rsidR="003F5D50" w:rsidRDefault="003F5D50" w:rsidP="00EB79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F5D50" w:rsidTr="00EB796A">
        <w:tc>
          <w:tcPr>
            <w:tcW w:w="8771" w:type="dxa"/>
            <w:tcBorders>
              <w:top w:val="single" w:sz="6" w:space="0" w:color="78A22F"/>
              <w:left w:val="nil"/>
              <w:bottom w:val="nil"/>
              <w:right w:val="nil"/>
            </w:tcBorders>
            <w:shd w:val="clear" w:color="auto" w:fill="auto"/>
          </w:tcPr>
          <w:p w:rsidR="003F5D50" w:rsidRPr="00176D3F" w:rsidRDefault="003F5D50" w:rsidP="003F5D50">
            <w:pPr>
              <w:pStyle w:val="FigureTitle"/>
            </w:pPr>
            <w:r w:rsidRPr="00784A05">
              <w:rPr>
                <w:b w:val="0"/>
              </w:rPr>
              <w:t xml:space="preserve">Figure </w:t>
            </w:r>
            <w:r>
              <w:rPr>
                <w:b w:val="0"/>
              </w:rPr>
              <w:t>11.</w:t>
            </w:r>
            <w:r w:rsidR="009A53E9">
              <w:rPr>
                <w:b w:val="0"/>
                <w:noProof/>
              </w:rPr>
              <w:t>7</w:t>
            </w:r>
            <w:r>
              <w:tab/>
            </w:r>
            <w:r w:rsidRPr="003F5D50">
              <w:t>Separation rates in public (non-psychiatric) hospitals</w:t>
            </w:r>
            <w:r w:rsidRPr="003F5D50">
              <w:rPr>
                <w:rStyle w:val="NoteLabel"/>
                <w:b/>
                <w:szCs w:val="20"/>
              </w:rPr>
              <w:t>a, b, c</w:t>
            </w:r>
            <w:r w:rsidR="00DD696A">
              <w:rPr>
                <w:rStyle w:val="NoteLabel"/>
                <w:b/>
                <w:szCs w:val="20"/>
              </w:rPr>
              <w:t>, d</w:t>
            </w:r>
          </w:p>
        </w:tc>
      </w:tr>
      <w:tr w:rsidR="003F5D50" w:rsidTr="00EB796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F5D50" w:rsidTr="00EB796A">
              <w:trPr>
                <w:jc w:val="center"/>
              </w:trPr>
              <w:tc>
                <w:tcPr>
                  <w:tcW w:w="5000" w:type="pct"/>
                  <w:tcBorders>
                    <w:top w:val="nil"/>
                    <w:bottom w:val="nil"/>
                  </w:tcBorders>
                </w:tcPr>
                <w:p w:rsidR="003F5D50" w:rsidRDefault="001F000D" w:rsidP="00EB796A">
                  <w:pPr>
                    <w:pStyle w:val="Figure"/>
                    <w:spacing w:before="60" w:after="60"/>
                  </w:pPr>
                  <w:r>
                    <w:rPr>
                      <w:noProof/>
                    </w:rPr>
                    <w:drawing>
                      <wp:inline distT="0" distB="0" distL="0" distR="0">
                        <wp:extent cx="5391150" cy="2705100"/>
                        <wp:effectExtent l="0" t="0" r="0" b="0"/>
                        <wp:docPr id="8" name="Picture 8" descr="Figure 11.7 Separation rates in public (non-psychiatric) hospital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3F5D50" w:rsidRDefault="003F5D50" w:rsidP="00EB796A">
            <w:pPr>
              <w:pStyle w:val="Figure"/>
            </w:pPr>
          </w:p>
        </w:tc>
      </w:tr>
      <w:tr w:rsidR="003F5D50" w:rsidRPr="00176D3F" w:rsidTr="00EB796A">
        <w:tc>
          <w:tcPr>
            <w:tcW w:w="8771" w:type="dxa"/>
            <w:tcBorders>
              <w:top w:val="nil"/>
              <w:left w:val="nil"/>
              <w:bottom w:val="nil"/>
              <w:right w:val="nil"/>
            </w:tcBorders>
            <w:shd w:val="clear" w:color="auto" w:fill="auto"/>
          </w:tcPr>
          <w:p w:rsidR="003F5D50" w:rsidRPr="00176D3F" w:rsidRDefault="003F5D50" w:rsidP="00722493">
            <w:pPr>
              <w:pStyle w:val="Note"/>
            </w:pPr>
            <w:proofErr w:type="spellStart"/>
            <w:r>
              <w:rPr>
                <w:rStyle w:val="NoteLabel"/>
              </w:rPr>
              <w:t>a</w:t>
            </w:r>
            <w:proofErr w:type="spellEnd"/>
            <w:r>
              <w:t xml:space="preserve"> </w:t>
            </w:r>
            <w:r w:rsidRPr="003F5D50">
              <w:t xml:space="preserve">Excludes separations for which the care type was reported as ‘newborn with no qualified days’ and records for hospital boarders (hospital boarder is defined in section 11.8) and posthumous organ procurement. </w:t>
            </w:r>
            <w:r w:rsidRPr="003F5D50">
              <w:rPr>
                <w:rStyle w:val="NoteLabel"/>
              </w:rPr>
              <w:t>b</w:t>
            </w:r>
            <w:r w:rsidRPr="003F5D50">
              <w:t xml:space="preserve"> Rates are directly age standardised to the Australian </w:t>
            </w:r>
            <w:r w:rsidRPr="00E919A3">
              <w:t xml:space="preserve">population at 30 June 2001. </w:t>
            </w:r>
            <w:r w:rsidR="00C74971" w:rsidRPr="00E919A3">
              <w:rPr>
                <w:rStyle w:val="NoteLabel"/>
              </w:rPr>
              <w:t>c </w:t>
            </w:r>
            <w:r w:rsidR="00DD696A" w:rsidRPr="00E919A3">
              <w:t>There was a change in Victorian admission policy from 1 July 2012 that has impacted the separation time series.</w:t>
            </w:r>
            <w:r w:rsidR="00DD696A" w:rsidRPr="00E919A3">
              <w:rPr>
                <w:rStyle w:val="NoteLabel"/>
              </w:rPr>
              <w:t xml:space="preserve"> d </w:t>
            </w:r>
            <w:r w:rsidR="00C74971" w:rsidRPr="00E919A3">
              <w:t>Aboriginal and Torres Strait Islander people make up a high proportion of the population</w:t>
            </w:r>
            <w:r w:rsidR="00C74971">
              <w:t xml:space="preserve"> in the NT </w:t>
            </w:r>
            <w:r w:rsidRPr="003F5D50">
              <w:t xml:space="preserve">which contributes to the high level of separations in the </w:t>
            </w:r>
            <w:r w:rsidRPr="00AE0A87">
              <w:t>NT.</w:t>
            </w:r>
            <w:r w:rsidR="00722493" w:rsidRPr="00AE0A87">
              <w:t xml:space="preserve"> Aboriginal and Torres Strait Islander people are more likely than other Australians to experience poor health (see Health sector overview).</w:t>
            </w:r>
          </w:p>
        </w:tc>
      </w:tr>
      <w:tr w:rsidR="003F5D50" w:rsidRPr="00176D3F" w:rsidTr="00EB796A">
        <w:tc>
          <w:tcPr>
            <w:tcW w:w="8771" w:type="dxa"/>
            <w:tcBorders>
              <w:top w:val="nil"/>
              <w:left w:val="nil"/>
              <w:bottom w:val="nil"/>
              <w:right w:val="nil"/>
            </w:tcBorders>
            <w:shd w:val="clear" w:color="auto" w:fill="auto"/>
          </w:tcPr>
          <w:p w:rsidR="003F5D50" w:rsidRPr="00176D3F" w:rsidRDefault="003F5D50" w:rsidP="00EB796A">
            <w:pPr>
              <w:pStyle w:val="Source"/>
            </w:pPr>
            <w:r>
              <w:rPr>
                <w:i/>
              </w:rPr>
              <w:t>S</w:t>
            </w:r>
            <w:r w:rsidRPr="00784A05">
              <w:rPr>
                <w:i/>
              </w:rPr>
              <w:t>ource</w:t>
            </w:r>
            <w:r w:rsidRPr="00176D3F">
              <w:t xml:space="preserve">: </w:t>
            </w:r>
            <w:r w:rsidRPr="003F5D50">
              <w:t xml:space="preserve">AIHW (various years), </w:t>
            </w:r>
            <w:r w:rsidRPr="003F5D50">
              <w:rPr>
                <w:i/>
              </w:rPr>
              <w:t>Australian Hospital Statistics</w:t>
            </w:r>
            <w:r w:rsidRPr="003F5D50">
              <w:t xml:space="preserve">, Health Services Series, Cat. nos </w:t>
            </w:r>
            <w:proofErr w:type="spellStart"/>
            <w:r w:rsidR="00C75A0E" w:rsidRPr="00C75A0E">
              <w:t>HSE</w:t>
            </w:r>
            <w:proofErr w:type="spellEnd"/>
            <w:r w:rsidR="00C75A0E" w:rsidRPr="00C75A0E">
              <w:t xml:space="preserve"> 84, 107, 117, 134 and 145</w:t>
            </w:r>
            <w:r w:rsidRPr="003F5D50">
              <w:t xml:space="preserve">; table </w:t>
            </w:r>
            <w:proofErr w:type="spellStart"/>
            <w:r w:rsidRPr="003F5D50">
              <w:t>11A.7</w:t>
            </w:r>
            <w:proofErr w:type="spellEnd"/>
            <w:r w:rsidRPr="003F5D50">
              <w:t>.</w:t>
            </w:r>
          </w:p>
        </w:tc>
      </w:tr>
      <w:tr w:rsidR="003F5D50" w:rsidTr="00EB796A">
        <w:tc>
          <w:tcPr>
            <w:tcW w:w="8771" w:type="dxa"/>
            <w:tcBorders>
              <w:top w:val="nil"/>
              <w:left w:val="nil"/>
              <w:bottom w:val="single" w:sz="6" w:space="0" w:color="78A22F"/>
              <w:right w:val="nil"/>
            </w:tcBorders>
            <w:shd w:val="clear" w:color="auto" w:fill="auto"/>
          </w:tcPr>
          <w:p w:rsidR="003F5D50" w:rsidRDefault="003F5D50" w:rsidP="00EB796A">
            <w:pPr>
              <w:pStyle w:val="Figurespace"/>
            </w:pPr>
          </w:p>
        </w:tc>
      </w:tr>
      <w:tr w:rsidR="003F5D50" w:rsidRPr="000863A5" w:rsidTr="00EB796A">
        <w:tc>
          <w:tcPr>
            <w:tcW w:w="8771" w:type="dxa"/>
            <w:tcBorders>
              <w:top w:val="single" w:sz="6" w:space="0" w:color="78A22F"/>
              <w:left w:val="nil"/>
              <w:bottom w:val="nil"/>
              <w:right w:val="nil"/>
            </w:tcBorders>
          </w:tcPr>
          <w:p w:rsidR="003F5D50" w:rsidRPr="00626D32" w:rsidRDefault="003F5D50" w:rsidP="00EB796A">
            <w:pPr>
              <w:pStyle w:val="BoxSpaceBelow"/>
            </w:pPr>
          </w:p>
        </w:tc>
      </w:tr>
    </w:tbl>
    <w:p w:rsidR="003F5D50" w:rsidRDefault="003F5D50" w:rsidP="003F5D50">
      <w:pPr>
        <w:pStyle w:val="BodyText"/>
      </w:pPr>
      <w:r>
        <w:t>Differences across jurisdictions in separation rates reflect variations in the health profiles of the people living in each State and Territory, the decisions made by medical staff about the type of care required and people’s access to services other than public hospitals (for example, primary care and private hospitals).</w:t>
      </w:r>
    </w:p>
    <w:p w:rsidR="00320973" w:rsidRDefault="003F5D50" w:rsidP="003F5D50">
      <w:pPr>
        <w:pStyle w:val="BodyText"/>
      </w:pPr>
      <w:r>
        <w:t>Variations in admission rates can reflect different practices in classifying patients as either admitted same day patients or outpatients. For example</w:t>
      </w:r>
      <w:r w:rsidR="00C74971">
        <w:t>,</w:t>
      </w:r>
      <w:r>
        <w:t xml:space="preserve"> in SA, chemotherapy and scope procedures are treated as outpatient rather than same day service</w:t>
      </w:r>
      <w:r w:rsidR="00C74971">
        <w:t>s</w:t>
      </w:r>
      <w:r>
        <w:t>. The extent of differences in classification practices can be inferred from the variation in the proportion of same day separations across jurisdictions for certain conditions or treatments. This is particularly true of medical separations. Significant variation across jurisdictions in the proportion of same day medical separations was evident in 201</w:t>
      </w:r>
      <w:r w:rsidR="004E0EE9">
        <w:t>2</w:t>
      </w:r>
      <w:r>
        <w:t>-1</w:t>
      </w:r>
      <w:r w:rsidR="004E0EE9">
        <w:t>3</w:t>
      </w:r>
      <w:r>
        <w:t xml:space="preserve"> (figure 11.8). Lower jurisdictional variation is likely in admission practices for surgical procedures, as reflected by the lower variability in the proportion of same day surgical separations.</w:t>
      </w:r>
    </w:p>
    <w:p w:rsidR="003F5D50" w:rsidRDefault="003F5D50" w:rsidP="00EB79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F5D50" w:rsidTr="00EB796A">
        <w:tc>
          <w:tcPr>
            <w:tcW w:w="8771" w:type="dxa"/>
            <w:tcBorders>
              <w:top w:val="single" w:sz="6" w:space="0" w:color="78A22F"/>
              <w:left w:val="nil"/>
              <w:bottom w:val="nil"/>
              <w:right w:val="nil"/>
            </w:tcBorders>
            <w:shd w:val="clear" w:color="auto" w:fill="auto"/>
          </w:tcPr>
          <w:p w:rsidR="003F5D50" w:rsidRPr="00176D3F" w:rsidRDefault="003F5D50" w:rsidP="003F5D50">
            <w:pPr>
              <w:pStyle w:val="FigureTitle"/>
            </w:pPr>
            <w:r w:rsidRPr="00784A05">
              <w:rPr>
                <w:b w:val="0"/>
              </w:rPr>
              <w:t xml:space="preserve">Figure </w:t>
            </w:r>
            <w:r>
              <w:rPr>
                <w:b w:val="0"/>
              </w:rPr>
              <w:t>11.</w:t>
            </w:r>
            <w:r w:rsidR="009A53E9">
              <w:rPr>
                <w:b w:val="0"/>
                <w:noProof/>
              </w:rPr>
              <w:t>8</w:t>
            </w:r>
            <w:r>
              <w:tab/>
            </w:r>
            <w:r w:rsidRPr="003F5D50">
              <w:t>Proportion of medical, surgical and total separations that were same day, public (non-psychiatric) hospitals, 201</w:t>
            </w:r>
            <w:r>
              <w:t>2</w:t>
            </w:r>
            <w:r w:rsidRPr="003F5D50">
              <w:t>-1</w:t>
            </w:r>
            <w:r>
              <w:t>3</w:t>
            </w:r>
            <w:r w:rsidRPr="003F5D50">
              <w:rPr>
                <w:rStyle w:val="NoteLabel"/>
                <w:b/>
                <w:szCs w:val="20"/>
              </w:rPr>
              <w:t>a</w:t>
            </w:r>
          </w:p>
        </w:tc>
      </w:tr>
      <w:tr w:rsidR="003F5D50" w:rsidTr="00EB796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F5D50" w:rsidTr="00EB796A">
              <w:trPr>
                <w:jc w:val="center"/>
              </w:trPr>
              <w:tc>
                <w:tcPr>
                  <w:tcW w:w="5000" w:type="pct"/>
                  <w:tcBorders>
                    <w:top w:val="nil"/>
                    <w:bottom w:val="nil"/>
                  </w:tcBorders>
                </w:tcPr>
                <w:p w:rsidR="003F5D50" w:rsidRDefault="001F000D" w:rsidP="00EB796A">
                  <w:pPr>
                    <w:pStyle w:val="Figure"/>
                    <w:spacing w:before="60" w:after="60"/>
                  </w:pPr>
                  <w:r>
                    <w:rPr>
                      <w:noProof/>
                    </w:rPr>
                    <w:drawing>
                      <wp:inline distT="0" distB="0" distL="0" distR="0">
                        <wp:extent cx="5391150" cy="2705100"/>
                        <wp:effectExtent l="0" t="0" r="0" b="0"/>
                        <wp:docPr id="9" name="Picture 9" descr="Figure 11.8 Proportion of medical, surgical and total separations that were same day, public (non-psychiatric) hospitals,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3F5D50" w:rsidRDefault="003F5D50" w:rsidP="00EB796A">
            <w:pPr>
              <w:pStyle w:val="Figure"/>
            </w:pPr>
          </w:p>
        </w:tc>
      </w:tr>
      <w:tr w:rsidR="003F5D50" w:rsidRPr="00176D3F" w:rsidTr="00EB796A">
        <w:tc>
          <w:tcPr>
            <w:tcW w:w="8771" w:type="dxa"/>
            <w:tcBorders>
              <w:top w:val="nil"/>
              <w:left w:val="nil"/>
              <w:bottom w:val="nil"/>
              <w:right w:val="nil"/>
            </w:tcBorders>
            <w:shd w:val="clear" w:color="auto" w:fill="auto"/>
          </w:tcPr>
          <w:p w:rsidR="003F5D50" w:rsidRPr="00176D3F" w:rsidRDefault="003F5D50" w:rsidP="00EB796A">
            <w:pPr>
              <w:pStyle w:val="Note"/>
            </w:pPr>
            <w:r>
              <w:rPr>
                <w:rStyle w:val="NoteLabel"/>
              </w:rPr>
              <w:t>a</w:t>
            </w:r>
            <w:r>
              <w:t xml:space="preserve"> </w:t>
            </w:r>
            <w:r w:rsidRPr="003F5D50">
              <w:t>‘Total’ includes medical, surgical, chemotherapy, radiotherapy, renal dialysis and ‘other’ separations based on AR-</w:t>
            </w:r>
            <w:proofErr w:type="spellStart"/>
            <w:r w:rsidRPr="003F5D50">
              <w:t>DRG</w:t>
            </w:r>
            <w:proofErr w:type="spellEnd"/>
            <w:r w:rsidRPr="003F5D50">
              <w:t xml:space="preserve"> version </w:t>
            </w:r>
            <w:proofErr w:type="spellStart"/>
            <w:r w:rsidRPr="003F5D50">
              <w:t>6.0x</w:t>
            </w:r>
            <w:proofErr w:type="spellEnd"/>
            <w:r w:rsidRPr="003F5D50">
              <w:t xml:space="preserve"> categories.</w:t>
            </w:r>
          </w:p>
        </w:tc>
      </w:tr>
      <w:tr w:rsidR="003F5D50" w:rsidRPr="00176D3F" w:rsidTr="00EB796A">
        <w:tc>
          <w:tcPr>
            <w:tcW w:w="8771" w:type="dxa"/>
            <w:tcBorders>
              <w:top w:val="nil"/>
              <w:left w:val="nil"/>
              <w:bottom w:val="nil"/>
              <w:right w:val="nil"/>
            </w:tcBorders>
            <w:shd w:val="clear" w:color="auto" w:fill="auto"/>
          </w:tcPr>
          <w:p w:rsidR="003F5D50" w:rsidRPr="00176D3F" w:rsidRDefault="003F5D50" w:rsidP="00EB796A">
            <w:pPr>
              <w:pStyle w:val="Source"/>
            </w:pPr>
            <w:r>
              <w:rPr>
                <w:i/>
              </w:rPr>
              <w:t>S</w:t>
            </w:r>
            <w:r w:rsidRPr="00784A05">
              <w:rPr>
                <w:i/>
              </w:rPr>
              <w:t>ource</w:t>
            </w:r>
            <w:r w:rsidRPr="00176D3F">
              <w:t xml:space="preserve">: </w:t>
            </w:r>
            <w:r w:rsidRPr="003F5D50">
              <w:t xml:space="preserve">AIHW (unpublished), National Hospital Morbidity Database; table </w:t>
            </w:r>
            <w:proofErr w:type="spellStart"/>
            <w:r w:rsidRPr="003F5D50">
              <w:t>11A.8</w:t>
            </w:r>
            <w:proofErr w:type="spellEnd"/>
            <w:r w:rsidRPr="003F5D50">
              <w:t>.</w:t>
            </w:r>
          </w:p>
        </w:tc>
      </w:tr>
      <w:tr w:rsidR="003F5D50" w:rsidTr="00EB796A">
        <w:tc>
          <w:tcPr>
            <w:tcW w:w="8771" w:type="dxa"/>
            <w:tcBorders>
              <w:top w:val="nil"/>
              <w:left w:val="nil"/>
              <w:bottom w:val="single" w:sz="6" w:space="0" w:color="78A22F"/>
              <w:right w:val="nil"/>
            </w:tcBorders>
            <w:shd w:val="clear" w:color="auto" w:fill="auto"/>
          </w:tcPr>
          <w:p w:rsidR="003F5D50" w:rsidRDefault="003F5D50" w:rsidP="00EB796A">
            <w:pPr>
              <w:pStyle w:val="Figurespace"/>
            </w:pPr>
          </w:p>
        </w:tc>
      </w:tr>
      <w:tr w:rsidR="003F5D50" w:rsidRPr="000863A5" w:rsidTr="00EB796A">
        <w:tc>
          <w:tcPr>
            <w:tcW w:w="8771" w:type="dxa"/>
            <w:tcBorders>
              <w:top w:val="single" w:sz="6" w:space="0" w:color="78A22F"/>
              <w:left w:val="nil"/>
              <w:bottom w:val="nil"/>
              <w:right w:val="nil"/>
            </w:tcBorders>
          </w:tcPr>
          <w:p w:rsidR="003F5D50" w:rsidRPr="00626D32" w:rsidRDefault="003F5D50" w:rsidP="00EB796A">
            <w:pPr>
              <w:pStyle w:val="BoxSpaceBelow"/>
            </w:pPr>
          </w:p>
        </w:tc>
      </w:tr>
    </w:tbl>
    <w:p w:rsidR="003F5D50" w:rsidRDefault="003F5D50" w:rsidP="003F5D50">
      <w:pPr>
        <w:pStyle w:val="BodyText"/>
      </w:pPr>
      <w:r>
        <w:t>People aged 55 years and over accounted for half of the separations in public hospitals (52.</w:t>
      </w:r>
      <w:r w:rsidR="004E0EE9">
        <w:t>6</w:t>
      </w:r>
      <w:r>
        <w:t xml:space="preserve"> per cent) in 201</w:t>
      </w:r>
      <w:r w:rsidR="004E0EE9">
        <w:t>2</w:t>
      </w:r>
      <w:r>
        <w:t>-1</w:t>
      </w:r>
      <w:r w:rsidR="004E0EE9">
        <w:t>3</w:t>
      </w:r>
      <w:r>
        <w:t>, even though they accounted for only 25.</w:t>
      </w:r>
      <w:r w:rsidR="004E0EE9">
        <w:t>6</w:t>
      </w:r>
      <w:r>
        <w:t xml:space="preserve"> per cent of the estimated resident population at 30 June 201</w:t>
      </w:r>
      <w:r w:rsidR="004E0EE9">
        <w:t>2</w:t>
      </w:r>
      <w:r>
        <w:t xml:space="preserve"> (table </w:t>
      </w:r>
      <w:proofErr w:type="spellStart"/>
      <w:r>
        <w:t>11A.9</w:t>
      </w:r>
      <w:proofErr w:type="spellEnd"/>
      <w:r>
        <w:t xml:space="preserve"> and </w:t>
      </w:r>
      <w:proofErr w:type="spellStart"/>
      <w:r>
        <w:t>AIHW</w:t>
      </w:r>
      <w:proofErr w:type="spellEnd"/>
      <w:r>
        <w:t xml:space="preserve"> </w:t>
      </w:r>
      <w:proofErr w:type="spellStart"/>
      <w:r>
        <w:t>201</w:t>
      </w:r>
      <w:r w:rsidR="004E0EE9">
        <w:t>4</w:t>
      </w:r>
      <w:r>
        <w:t>a</w:t>
      </w:r>
      <w:proofErr w:type="spellEnd"/>
      <w:r>
        <w:t xml:space="preserve">). </w:t>
      </w:r>
    </w:p>
    <w:p w:rsidR="00180AEC" w:rsidRDefault="00BA3821" w:rsidP="003F5D50">
      <w:pPr>
        <w:pStyle w:val="BodyText"/>
      </w:pPr>
      <w:r>
        <w:t>In 2012-13</w:t>
      </w:r>
      <w:r w:rsidR="00C74971">
        <w:t>,</w:t>
      </w:r>
      <w:r>
        <w:t xml:space="preserve"> t</w:t>
      </w:r>
      <w:r w:rsidR="00362AD7">
        <w:t>he m</w:t>
      </w:r>
      <w:r w:rsidR="00362AD7" w:rsidRPr="00362AD7">
        <w:t xml:space="preserve">ost common principal diagnoses </w:t>
      </w:r>
      <w:r w:rsidR="00964ADC">
        <w:t xml:space="preserve">for overnight acute separations in public hospitals </w:t>
      </w:r>
      <w:r w:rsidR="00C74971">
        <w:t>were</w:t>
      </w:r>
      <w:r w:rsidR="00964ADC">
        <w:t xml:space="preserve"> for single spontaneous delivery (4.6 per cent)</w:t>
      </w:r>
      <w:r w:rsidR="00C74971">
        <w:t>,</w:t>
      </w:r>
      <w:r w:rsidR="00964ADC">
        <w:t xml:space="preserve"> followed by s</w:t>
      </w:r>
      <w:r w:rsidR="00964ADC" w:rsidRPr="00964ADC">
        <w:t>ingle delivery by caesarean section</w:t>
      </w:r>
      <w:r w:rsidR="00964ADC">
        <w:t xml:space="preserve"> (2.3 per cent) and pain in throat and chest (2.3 per cent) </w:t>
      </w:r>
      <w:r>
        <w:t>(table </w:t>
      </w:r>
      <w:proofErr w:type="spellStart"/>
      <w:r w:rsidR="00964ADC">
        <w:t>11A.15</w:t>
      </w:r>
      <w:proofErr w:type="spellEnd"/>
      <w:r w:rsidR="00964ADC">
        <w:t xml:space="preserve">). </w:t>
      </w:r>
      <w:r w:rsidR="00964ADC" w:rsidRPr="00964ADC">
        <w:t>The most common principal diagnos</w:t>
      </w:r>
      <w:r w:rsidR="00C74971">
        <w:t>e</w:t>
      </w:r>
      <w:r w:rsidR="00964ADC" w:rsidRPr="00964ADC">
        <w:t xml:space="preserve">s for </w:t>
      </w:r>
      <w:r w:rsidR="00964ADC">
        <w:t>same day</w:t>
      </w:r>
      <w:r w:rsidR="00964ADC" w:rsidRPr="00964ADC">
        <w:t xml:space="preserve"> acute separations in public hospitals </w:t>
      </w:r>
      <w:r w:rsidR="00C74971">
        <w:t>were</w:t>
      </w:r>
      <w:r w:rsidR="00964ADC" w:rsidRPr="00964ADC">
        <w:t xml:space="preserve"> for</w:t>
      </w:r>
      <w:r w:rsidR="00964ADC">
        <w:t xml:space="preserve"> care involving dialysis (37.7 per cent), other medical care, including radiotherapy, chemotherapy, </w:t>
      </w:r>
      <w:r w:rsidR="00454145">
        <w:t>some blood transfusions and palliative care (</w:t>
      </w:r>
      <w:r w:rsidR="003F6423">
        <w:t>5.1 per cent) and pain in throat and chest (2.1 per cent)</w:t>
      </w:r>
      <w:r>
        <w:t xml:space="preserve"> (table </w:t>
      </w:r>
      <w:proofErr w:type="spellStart"/>
      <w:r w:rsidR="003F6423">
        <w:t>11A.14</w:t>
      </w:r>
      <w:proofErr w:type="spellEnd"/>
      <w:r w:rsidR="003F6423">
        <w:t>).</w:t>
      </w:r>
    </w:p>
    <w:p w:rsidR="00180AEC" w:rsidRDefault="00BA3821" w:rsidP="003F5D50">
      <w:pPr>
        <w:pStyle w:val="BodyText"/>
      </w:pPr>
      <w:r>
        <w:t xml:space="preserve">Most patient days in public hospitals in 2012-13 were for acute care (79.2 per cent) and rehabilitation care (8.9 per cent). </w:t>
      </w:r>
      <w:r w:rsidR="00126531">
        <w:t xml:space="preserve">The remainder </w:t>
      </w:r>
      <w:r w:rsidR="00211D97">
        <w:t>was</w:t>
      </w:r>
      <w:r w:rsidR="00126531">
        <w:t xml:space="preserve"> </w:t>
      </w:r>
      <w:r w:rsidR="00211D97">
        <w:t xml:space="preserve">mainly </w:t>
      </w:r>
      <w:r w:rsidR="00126531">
        <w:t xml:space="preserve">accounted for by palliative care, </w:t>
      </w:r>
      <w:r w:rsidR="00211D97" w:rsidRPr="00126531">
        <w:t xml:space="preserve">geriatric </w:t>
      </w:r>
      <w:r w:rsidR="00126531" w:rsidRPr="00126531">
        <w:t>evaluation and management</w:t>
      </w:r>
      <w:r w:rsidR="00126531">
        <w:t xml:space="preserve">, </w:t>
      </w:r>
      <w:r w:rsidR="00211D97" w:rsidRPr="00126531">
        <w:t xml:space="preserve">psychogeriatric </w:t>
      </w:r>
      <w:r w:rsidR="00126531" w:rsidRPr="00126531">
        <w:t>care</w:t>
      </w:r>
      <w:r w:rsidR="00126531">
        <w:t xml:space="preserve"> </w:t>
      </w:r>
      <w:r w:rsidR="00211D97">
        <w:t xml:space="preserve">and </w:t>
      </w:r>
      <w:r w:rsidR="00126531">
        <w:t>maintenance care</w:t>
      </w:r>
      <w:r w:rsidR="00211D97">
        <w:t xml:space="preserve"> (table </w:t>
      </w:r>
      <w:proofErr w:type="spellStart"/>
      <w:r w:rsidR="00211D97">
        <w:t>11A.16</w:t>
      </w:r>
      <w:proofErr w:type="spellEnd"/>
      <w:r w:rsidR="00211D97">
        <w:t xml:space="preserve">). </w:t>
      </w:r>
      <w:r w:rsidR="00226F28">
        <w:t xml:space="preserve">Patient days by care type for private hospitals are reported in table </w:t>
      </w:r>
      <w:proofErr w:type="spellStart"/>
      <w:r w:rsidR="00226F28">
        <w:t>11A.16</w:t>
      </w:r>
      <w:proofErr w:type="spellEnd"/>
      <w:r w:rsidR="00226F28">
        <w:t>.</w:t>
      </w:r>
    </w:p>
    <w:p w:rsidR="003F5D50" w:rsidRDefault="003F5D50" w:rsidP="003F5D50">
      <w:pPr>
        <w:pStyle w:val="Heading4"/>
      </w:pPr>
      <w:r>
        <w:t xml:space="preserve">Admitted patient care for </w:t>
      </w:r>
      <w:r w:rsidR="00CC4A84" w:rsidRPr="00CC4A84">
        <w:t xml:space="preserve">Aboriginal and Torres Strait Islander </w:t>
      </w:r>
      <w:r>
        <w:t>Australians</w:t>
      </w:r>
    </w:p>
    <w:p w:rsidR="00320973" w:rsidRDefault="003F5D50" w:rsidP="00320973">
      <w:pPr>
        <w:pStyle w:val="BodyText"/>
      </w:pPr>
      <w:r>
        <w:t xml:space="preserve">The completeness of identification </w:t>
      </w:r>
      <w:r w:rsidR="00690B2A">
        <w:t xml:space="preserve">of Aboriginal and Torres Strait </w:t>
      </w:r>
      <w:r w:rsidR="00C74971">
        <w:t xml:space="preserve">Islander </w:t>
      </w:r>
      <w:r w:rsidR="00690B2A">
        <w:t xml:space="preserve">people </w:t>
      </w:r>
      <w:r>
        <w:t>in hospital admitted patient data varies across states and territories. Efforts to improve identification are ongoing. In 201</w:t>
      </w:r>
      <w:r w:rsidR="00185790">
        <w:t>2</w:t>
      </w:r>
      <w:r>
        <w:t>-1</w:t>
      </w:r>
      <w:r w:rsidR="00185790">
        <w:t>3</w:t>
      </w:r>
      <w:r>
        <w:t xml:space="preserve">, on an age standardised basis, </w:t>
      </w:r>
      <w:r w:rsidR="00185790">
        <w:t>938.6</w:t>
      </w:r>
      <w:r>
        <w:t xml:space="preserve"> public hospital </w:t>
      </w:r>
      <w:r>
        <w:lastRenderedPageBreak/>
        <w:t xml:space="preserve">separations (including same day separations) for </w:t>
      </w:r>
      <w:r w:rsidR="00CC4A84" w:rsidRPr="00CC4A84">
        <w:t xml:space="preserve">Aboriginal and Torres Strait Islander </w:t>
      </w:r>
      <w:r>
        <w:t xml:space="preserve">Australians were reported per 1000 </w:t>
      </w:r>
      <w:r w:rsidR="00CC4A84" w:rsidRPr="00CC4A84">
        <w:t>Aboriginal and Torres Strait Islander</w:t>
      </w:r>
      <w:r w:rsidR="00CC4A84">
        <w:t xml:space="preserve"> </w:t>
      </w:r>
      <w:r w:rsidRPr="003F5D50">
        <w:t xml:space="preserve">Australians. This rate was markedly higher than the corresponding rate of </w:t>
      </w:r>
      <w:r w:rsidR="00185790">
        <w:t>237.0</w:t>
      </w:r>
      <w:r w:rsidRPr="003F5D50">
        <w:t xml:space="preserve"> per 1000 for all Australians (figure 11.9).</w:t>
      </w:r>
    </w:p>
    <w:p w:rsidR="007A6EC9" w:rsidRDefault="007A6EC9" w:rsidP="00EB79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A6EC9" w:rsidTr="00EB796A">
        <w:tc>
          <w:tcPr>
            <w:tcW w:w="8771" w:type="dxa"/>
            <w:tcBorders>
              <w:top w:val="single" w:sz="6" w:space="0" w:color="78A22F"/>
              <w:left w:val="nil"/>
              <w:bottom w:val="nil"/>
              <w:right w:val="nil"/>
            </w:tcBorders>
            <w:shd w:val="clear" w:color="auto" w:fill="auto"/>
          </w:tcPr>
          <w:p w:rsidR="007A6EC9" w:rsidRPr="00176D3F" w:rsidRDefault="007A6EC9" w:rsidP="003F23DF">
            <w:pPr>
              <w:pStyle w:val="FigureTitle"/>
            </w:pPr>
            <w:r w:rsidRPr="00784A05">
              <w:rPr>
                <w:b w:val="0"/>
              </w:rPr>
              <w:t xml:space="preserve">Figure </w:t>
            </w:r>
            <w:r>
              <w:rPr>
                <w:b w:val="0"/>
              </w:rPr>
              <w:t>11.</w:t>
            </w:r>
            <w:r w:rsidR="009A53E9">
              <w:rPr>
                <w:b w:val="0"/>
                <w:noProof/>
              </w:rPr>
              <w:t>9</w:t>
            </w:r>
            <w:r>
              <w:tab/>
            </w:r>
            <w:r w:rsidR="003F23DF" w:rsidRPr="00E919A3">
              <w:t>P</w:t>
            </w:r>
            <w:r w:rsidR="00CC4A84" w:rsidRPr="00E919A3">
              <w:t>ublic hospital separations</w:t>
            </w:r>
            <w:r w:rsidRPr="00E919A3">
              <w:t>, 201</w:t>
            </w:r>
            <w:r w:rsidR="008E1B05" w:rsidRPr="00E919A3">
              <w:t>2</w:t>
            </w:r>
            <w:r w:rsidRPr="00E919A3">
              <w:t>-1</w:t>
            </w:r>
            <w:r w:rsidR="008E1B05" w:rsidRPr="00E919A3">
              <w:t>3</w:t>
            </w:r>
            <w:r w:rsidRPr="00E919A3">
              <w:rPr>
                <w:rStyle w:val="NoteLabel"/>
                <w:b/>
                <w:szCs w:val="20"/>
              </w:rPr>
              <w:t>a, b</w:t>
            </w:r>
          </w:p>
        </w:tc>
      </w:tr>
      <w:tr w:rsidR="007A6EC9" w:rsidTr="00EB796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A6EC9" w:rsidTr="00EB796A">
              <w:trPr>
                <w:jc w:val="center"/>
              </w:trPr>
              <w:tc>
                <w:tcPr>
                  <w:tcW w:w="5000" w:type="pct"/>
                  <w:tcBorders>
                    <w:top w:val="nil"/>
                    <w:bottom w:val="nil"/>
                  </w:tcBorders>
                </w:tcPr>
                <w:p w:rsidR="007A6EC9" w:rsidRDefault="001F000D" w:rsidP="00EB796A">
                  <w:pPr>
                    <w:pStyle w:val="Figure"/>
                    <w:spacing w:before="60" w:after="60"/>
                  </w:pPr>
                  <w:r>
                    <w:rPr>
                      <w:noProof/>
                    </w:rPr>
                    <w:drawing>
                      <wp:inline distT="0" distB="0" distL="0" distR="0">
                        <wp:extent cx="5391150" cy="2705100"/>
                        <wp:effectExtent l="0" t="0" r="0" b="0"/>
                        <wp:docPr id="10" name="Picture 10" descr="Figure 11.9 Public hospital separations,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7A6EC9" w:rsidRDefault="007A6EC9" w:rsidP="00EB796A">
            <w:pPr>
              <w:pStyle w:val="Figure"/>
            </w:pPr>
          </w:p>
        </w:tc>
      </w:tr>
      <w:tr w:rsidR="007A6EC9" w:rsidRPr="00176D3F" w:rsidTr="00EB796A">
        <w:tc>
          <w:tcPr>
            <w:tcW w:w="8771" w:type="dxa"/>
            <w:tcBorders>
              <w:top w:val="nil"/>
              <w:left w:val="nil"/>
              <w:bottom w:val="nil"/>
              <w:right w:val="nil"/>
            </w:tcBorders>
            <w:shd w:val="clear" w:color="auto" w:fill="auto"/>
          </w:tcPr>
          <w:p w:rsidR="007A6EC9" w:rsidRPr="00176D3F" w:rsidRDefault="007A6EC9" w:rsidP="00EB796A">
            <w:pPr>
              <w:pStyle w:val="Note"/>
            </w:pPr>
            <w:proofErr w:type="spellStart"/>
            <w:r>
              <w:rPr>
                <w:rStyle w:val="NoteLabel"/>
              </w:rPr>
              <w:t>a</w:t>
            </w:r>
            <w:proofErr w:type="spellEnd"/>
            <w:r>
              <w:t xml:space="preserve"> </w:t>
            </w:r>
            <w:r w:rsidR="008E1B05" w:rsidRPr="008E1B05">
              <w:t xml:space="preserve">The rates are directly age standardised to the Australian population at 30 June 2001. </w:t>
            </w:r>
            <w:r w:rsidR="008E1B05" w:rsidRPr="008E1B05">
              <w:rPr>
                <w:rStyle w:val="NoteLabel"/>
              </w:rPr>
              <w:t>b</w:t>
            </w:r>
            <w:r w:rsidR="008E1B05" w:rsidRPr="008E1B05">
              <w:t xml:space="preserve"> Identification of </w:t>
            </w:r>
            <w:r w:rsidR="00CC4A84" w:rsidRPr="00CC4A84">
              <w:t xml:space="preserve">Aboriginal and Torres Strait Islander </w:t>
            </w:r>
            <w:r w:rsidR="008E1B05" w:rsidRPr="008E1B05">
              <w:t>Australians is incomplete and completeness varies across jurisdictions.</w:t>
            </w:r>
          </w:p>
        </w:tc>
      </w:tr>
      <w:tr w:rsidR="007A6EC9" w:rsidRPr="00176D3F" w:rsidTr="00EB796A">
        <w:tc>
          <w:tcPr>
            <w:tcW w:w="8771" w:type="dxa"/>
            <w:tcBorders>
              <w:top w:val="nil"/>
              <w:left w:val="nil"/>
              <w:bottom w:val="nil"/>
              <w:right w:val="nil"/>
            </w:tcBorders>
            <w:shd w:val="clear" w:color="auto" w:fill="auto"/>
          </w:tcPr>
          <w:p w:rsidR="007A6EC9" w:rsidRPr="00176D3F" w:rsidRDefault="007A6EC9" w:rsidP="00EB796A">
            <w:pPr>
              <w:pStyle w:val="Source"/>
            </w:pPr>
            <w:r>
              <w:rPr>
                <w:i/>
              </w:rPr>
              <w:t>S</w:t>
            </w:r>
            <w:r w:rsidRPr="00784A05">
              <w:rPr>
                <w:i/>
              </w:rPr>
              <w:t>ource</w:t>
            </w:r>
            <w:r w:rsidRPr="00176D3F">
              <w:t xml:space="preserve">: </w:t>
            </w:r>
            <w:r w:rsidRPr="007A6EC9">
              <w:t xml:space="preserve">AIHW (unpublished), National Hospital Morbidity Database; table </w:t>
            </w:r>
            <w:proofErr w:type="spellStart"/>
            <w:r w:rsidRPr="007A6EC9">
              <w:t>11A.11</w:t>
            </w:r>
            <w:proofErr w:type="spellEnd"/>
            <w:r w:rsidRPr="007A6EC9">
              <w:t>.</w:t>
            </w:r>
          </w:p>
        </w:tc>
      </w:tr>
      <w:tr w:rsidR="007A6EC9" w:rsidTr="00EB796A">
        <w:tc>
          <w:tcPr>
            <w:tcW w:w="8771" w:type="dxa"/>
            <w:tcBorders>
              <w:top w:val="nil"/>
              <w:left w:val="nil"/>
              <w:bottom w:val="single" w:sz="6" w:space="0" w:color="78A22F"/>
              <w:right w:val="nil"/>
            </w:tcBorders>
            <w:shd w:val="clear" w:color="auto" w:fill="auto"/>
          </w:tcPr>
          <w:p w:rsidR="007A6EC9" w:rsidRDefault="007A6EC9" w:rsidP="00EB796A">
            <w:pPr>
              <w:pStyle w:val="Figurespace"/>
            </w:pPr>
          </w:p>
        </w:tc>
      </w:tr>
      <w:tr w:rsidR="007A6EC9" w:rsidRPr="000863A5" w:rsidTr="00EB796A">
        <w:tc>
          <w:tcPr>
            <w:tcW w:w="8771" w:type="dxa"/>
            <w:tcBorders>
              <w:top w:val="single" w:sz="6" w:space="0" w:color="78A22F"/>
              <w:left w:val="nil"/>
              <w:bottom w:val="nil"/>
              <w:right w:val="nil"/>
            </w:tcBorders>
          </w:tcPr>
          <w:p w:rsidR="007A6EC9" w:rsidRPr="00626D32" w:rsidRDefault="007A6EC9" w:rsidP="00EB796A">
            <w:pPr>
              <w:pStyle w:val="BoxSpaceBelow"/>
            </w:pPr>
          </w:p>
        </w:tc>
      </w:tr>
    </w:tbl>
    <w:p w:rsidR="007A6EC9" w:rsidRDefault="007A6EC9" w:rsidP="007A6EC9">
      <w:pPr>
        <w:pStyle w:val="BodyText"/>
      </w:pPr>
      <w:r>
        <w:t xml:space="preserve">Hospital episodes of care involving dialysis accounted for a large portion of same day separations, particularly for </w:t>
      </w:r>
      <w:r w:rsidR="00CC4A84" w:rsidRPr="00CC4A84">
        <w:t xml:space="preserve">Aboriginal and Torres Strait Islander </w:t>
      </w:r>
      <w:r>
        <w:t xml:space="preserve">Australians. The hospitalisation rate for </w:t>
      </w:r>
      <w:r w:rsidR="00CC4A84" w:rsidRPr="00CC4A84">
        <w:t xml:space="preserve">Aboriginal and Torres Strait Islander </w:t>
      </w:r>
      <w:r w:rsidR="00690B2A">
        <w:t>Australians for dialysis was 12 </w:t>
      </w:r>
      <w:r>
        <w:t xml:space="preserve">times as high as the rate for </w:t>
      </w:r>
      <w:r w:rsidR="00690B2A">
        <w:t>other</w:t>
      </w:r>
      <w:r>
        <w:t xml:space="preserve"> Australians. When dialysis is excluded, the </w:t>
      </w:r>
      <w:r w:rsidR="00B64FE7" w:rsidRPr="00AE0A87">
        <w:t>same day</w:t>
      </w:r>
      <w:r w:rsidR="00B64FE7">
        <w:t xml:space="preserve"> </w:t>
      </w:r>
      <w:r>
        <w:t xml:space="preserve">hospitalisation rate for </w:t>
      </w:r>
      <w:r w:rsidR="00CC4A84" w:rsidRPr="00CC4A84">
        <w:t xml:space="preserve">Aboriginal and Torres Strait Islander </w:t>
      </w:r>
      <w:r w:rsidR="00F52708">
        <w:t>Australians in 201</w:t>
      </w:r>
      <w:r w:rsidR="00185790">
        <w:t>2</w:t>
      </w:r>
      <w:r w:rsidR="00F52708">
        <w:t>-1</w:t>
      </w:r>
      <w:r w:rsidR="00185790">
        <w:t>3</w:t>
      </w:r>
      <w:r w:rsidR="00F52708">
        <w:t xml:space="preserve"> (</w:t>
      </w:r>
      <w:r w:rsidR="004A50CE">
        <w:t>152.8</w:t>
      </w:r>
      <w:r w:rsidR="00F52708">
        <w:t> </w:t>
      </w:r>
      <w:r>
        <w:t xml:space="preserve">per 1000 of the population) was less than that for </w:t>
      </w:r>
      <w:r w:rsidR="00690B2A">
        <w:t>other</w:t>
      </w:r>
      <w:r>
        <w:t xml:space="preserve"> Australians (168.</w:t>
      </w:r>
      <w:r w:rsidR="004A50CE">
        <w:t>7</w:t>
      </w:r>
      <w:r>
        <w:t xml:space="preserve"> per 1000 of the population) (</w:t>
      </w:r>
      <w:proofErr w:type="spellStart"/>
      <w:r>
        <w:t>AIHW</w:t>
      </w:r>
      <w:proofErr w:type="spellEnd"/>
      <w:r>
        <w:t xml:space="preserve"> </w:t>
      </w:r>
      <w:proofErr w:type="spellStart"/>
      <w:r>
        <w:t>201</w:t>
      </w:r>
      <w:r w:rsidR="004A50CE">
        <w:t>4</w:t>
      </w:r>
      <w:r>
        <w:t>a</w:t>
      </w:r>
      <w:proofErr w:type="spellEnd"/>
      <w:r>
        <w:t>).</w:t>
      </w:r>
    </w:p>
    <w:p w:rsidR="007A6EC9" w:rsidRDefault="007A6EC9" w:rsidP="007A6EC9">
      <w:pPr>
        <w:pStyle w:val="BodyText"/>
      </w:pPr>
      <w:r>
        <w:t>In 201</w:t>
      </w:r>
      <w:r w:rsidR="00185790">
        <w:t>2</w:t>
      </w:r>
      <w:r>
        <w:t>-1</w:t>
      </w:r>
      <w:r w:rsidR="00185790">
        <w:t>3</w:t>
      </w:r>
      <w:r>
        <w:t xml:space="preserve">, separations for </w:t>
      </w:r>
      <w:r w:rsidR="00CC4A84" w:rsidRPr="00CC4A84">
        <w:t xml:space="preserve">Aboriginal and Torres Strait Islander </w:t>
      </w:r>
      <w:r>
        <w:t>Australians accounted for around 4.</w:t>
      </w:r>
      <w:r w:rsidR="00185790">
        <w:t>1</w:t>
      </w:r>
      <w:r>
        <w:t xml:space="preserve"> per cent of total separations and 6.</w:t>
      </w:r>
      <w:r w:rsidR="00185790">
        <w:t>4</w:t>
      </w:r>
      <w:r>
        <w:t xml:space="preserve"> per cent of separations in public hospitals (table </w:t>
      </w:r>
      <w:proofErr w:type="spellStart"/>
      <w:r>
        <w:t>11A.10</w:t>
      </w:r>
      <w:proofErr w:type="spellEnd"/>
      <w:r>
        <w:t xml:space="preserve">). </w:t>
      </w:r>
      <w:r w:rsidR="00CC4A84" w:rsidRPr="00CC4A84">
        <w:t xml:space="preserve">Aboriginal and Torres Strait Islander </w:t>
      </w:r>
      <w:r>
        <w:t>Au</w:t>
      </w:r>
      <w:r w:rsidR="004104D3">
        <w:t>stralians made up only around 3 </w:t>
      </w:r>
      <w:r>
        <w:t>per cent of the population nationally, although this rate varied significantly from 0.</w:t>
      </w:r>
      <w:r w:rsidR="004A50CE">
        <w:t>9</w:t>
      </w:r>
      <w:r>
        <w:t xml:space="preserve"> per cent in Victoria to 29.</w:t>
      </w:r>
      <w:r w:rsidR="004A50CE">
        <w:t>8</w:t>
      </w:r>
      <w:r>
        <w:t xml:space="preserve"> per cent in the NT (tables </w:t>
      </w:r>
      <w:proofErr w:type="spellStart"/>
      <w:r>
        <w:t>2A.</w:t>
      </w:r>
      <w:r w:rsidR="00185790">
        <w:t>1</w:t>
      </w:r>
      <w:proofErr w:type="spellEnd"/>
      <w:r>
        <w:t xml:space="preserve"> and </w:t>
      </w:r>
      <w:proofErr w:type="spellStart"/>
      <w:r>
        <w:t>2A.1</w:t>
      </w:r>
      <w:r w:rsidR="004A50CE">
        <w:t>4</w:t>
      </w:r>
      <w:proofErr w:type="spellEnd"/>
      <w:r>
        <w:t xml:space="preserve">). Most separations involving </w:t>
      </w:r>
      <w:r w:rsidR="00CC4A84" w:rsidRPr="00CC4A84">
        <w:t xml:space="preserve">Aboriginal and Torres Strait Islander </w:t>
      </w:r>
      <w:r>
        <w:t>Australians (9</w:t>
      </w:r>
      <w:r w:rsidR="00185790">
        <w:t>1</w:t>
      </w:r>
      <w:r>
        <w:t>.</w:t>
      </w:r>
      <w:r w:rsidR="00185790">
        <w:t>7</w:t>
      </w:r>
      <w:r>
        <w:t xml:space="preserve"> per cent) in these jurisdictions occurred in public hospitals (table </w:t>
      </w:r>
      <w:proofErr w:type="spellStart"/>
      <w:r>
        <w:t>11A.10</w:t>
      </w:r>
      <w:proofErr w:type="spellEnd"/>
      <w:r>
        <w:t xml:space="preserve">). </w:t>
      </w:r>
    </w:p>
    <w:p w:rsidR="007A6EC9" w:rsidRDefault="007A6EC9" w:rsidP="007A6EC9">
      <w:pPr>
        <w:pStyle w:val="Heading4"/>
      </w:pPr>
      <w:r>
        <w:lastRenderedPageBreak/>
        <w:t>Non-admitted patient services</w:t>
      </w:r>
    </w:p>
    <w:p w:rsidR="00320973" w:rsidRDefault="007A6EC9" w:rsidP="007A6EC9">
      <w:pPr>
        <w:pStyle w:val="BodyText"/>
      </w:pPr>
      <w:r>
        <w:t>A total of 5</w:t>
      </w:r>
      <w:r w:rsidR="00532248">
        <w:t>4</w:t>
      </w:r>
      <w:r>
        <w:t>.1 million individual occasions of service were provided to non</w:t>
      </w:r>
      <w:r w:rsidR="00B81EBB">
        <w:t>-</w:t>
      </w:r>
      <w:r>
        <w:t>admitted patients in public acute hospitals in 201</w:t>
      </w:r>
      <w:r w:rsidR="00532248">
        <w:t>2</w:t>
      </w:r>
      <w:r>
        <w:t>-1</w:t>
      </w:r>
      <w:r w:rsidR="00532248">
        <w:t>3</w:t>
      </w:r>
      <w:r>
        <w:t xml:space="preserve"> (table 11.1). In addition, public hospitals delivered </w:t>
      </w:r>
      <w:r w:rsidR="00532248">
        <w:t>516 129</w:t>
      </w:r>
      <w:r>
        <w:t xml:space="preserve"> group sessions during this time (a group session is defined as a service provided to two or more patients, excluding services provided to two or more family members) (table </w:t>
      </w:r>
      <w:proofErr w:type="spellStart"/>
      <w:r>
        <w:t>11A.1</w:t>
      </w:r>
      <w:r w:rsidR="00885D28">
        <w:t>7</w:t>
      </w:r>
      <w:proofErr w:type="spellEnd"/>
      <w:r>
        <w:t>). In public acute hospitals in 201</w:t>
      </w:r>
      <w:r w:rsidR="00532248">
        <w:t>2</w:t>
      </w:r>
      <w:r>
        <w:t>-1</w:t>
      </w:r>
      <w:r w:rsidR="00532248">
        <w:t>3</w:t>
      </w:r>
      <w:r>
        <w:t>, accident and emergency services comprised 14.</w:t>
      </w:r>
      <w:r w:rsidR="00532248">
        <w:t>6</w:t>
      </w:r>
      <w:r>
        <w:t xml:space="preserve"> per cent of all individual occasions of service to non-admitted patients. ‘Other medical, surgical and obstetric services’ (</w:t>
      </w:r>
      <w:r w:rsidR="00532248">
        <w:t>24.4</w:t>
      </w:r>
      <w:r>
        <w:t xml:space="preserve"> per cent), ‘pathology services’ (</w:t>
      </w:r>
      <w:r w:rsidR="00532248">
        <w:t>17.8</w:t>
      </w:r>
      <w:r>
        <w:t xml:space="preserve"> per cent) and ‘pharmacy’ (</w:t>
      </w:r>
      <w:r w:rsidR="00532248">
        <w:t>9.3</w:t>
      </w:r>
      <w:r>
        <w:t xml:space="preserve"> per cent) were other common types of non-admitted patient care (table 11.1).</w:t>
      </w:r>
    </w:p>
    <w:p w:rsidR="00F81BE4" w:rsidRDefault="00F81BE4" w:rsidP="00EB796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81BE4" w:rsidTr="00EB796A">
        <w:tc>
          <w:tcPr>
            <w:tcW w:w="8771" w:type="dxa"/>
            <w:tcBorders>
              <w:top w:val="single" w:sz="6" w:space="0" w:color="78A22F"/>
              <w:left w:val="nil"/>
              <w:bottom w:val="nil"/>
              <w:right w:val="nil"/>
            </w:tcBorders>
            <w:shd w:val="clear" w:color="auto" w:fill="auto"/>
          </w:tcPr>
          <w:p w:rsidR="00F81BE4" w:rsidRPr="00784A05" w:rsidRDefault="00F81BE4" w:rsidP="00B81EBB">
            <w:pPr>
              <w:pStyle w:val="TableTitle"/>
            </w:pPr>
            <w:r>
              <w:rPr>
                <w:b w:val="0"/>
              </w:rPr>
              <w:t>Table 11.</w:t>
            </w:r>
            <w:r w:rsidR="009A53E9">
              <w:rPr>
                <w:b w:val="0"/>
                <w:noProof/>
              </w:rPr>
              <w:t>1</w:t>
            </w:r>
            <w:r>
              <w:tab/>
            </w:r>
            <w:r w:rsidR="005739A0" w:rsidRPr="005739A0">
              <w:t>Non-admitted patient occasions of service, by type of non</w:t>
            </w:r>
            <w:r w:rsidR="00B81EBB">
              <w:noBreakHyphen/>
            </w:r>
            <w:r w:rsidR="005739A0" w:rsidRPr="005739A0">
              <w:t>admitted patient care, public acute hospitals, 201</w:t>
            </w:r>
            <w:r w:rsidR="005739A0">
              <w:t>2</w:t>
            </w:r>
            <w:r w:rsidR="005739A0" w:rsidRPr="005739A0">
              <w:t>-1</w:t>
            </w:r>
            <w:r w:rsidR="005739A0">
              <w:t>3</w:t>
            </w:r>
            <w:r w:rsidR="005739A0" w:rsidRPr="005739A0">
              <w:rPr>
                <w:rStyle w:val="NoteLabel"/>
                <w:b/>
                <w:szCs w:val="20"/>
              </w:rPr>
              <w:t>a</w:t>
            </w:r>
          </w:p>
        </w:tc>
      </w:tr>
      <w:tr w:rsidR="00F81BE4" w:rsidTr="00EB796A">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245"/>
              <w:gridCol w:w="674"/>
              <w:gridCol w:w="664"/>
              <w:gridCol w:w="58"/>
              <w:gridCol w:w="647"/>
              <w:gridCol w:w="61"/>
              <w:gridCol w:w="589"/>
              <w:gridCol w:w="710"/>
              <w:gridCol w:w="755"/>
              <w:gridCol w:w="728"/>
              <w:gridCol w:w="682"/>
              <w:gridCol w:w="674"/>
            </w:tblGrid>
            <w:tr w:rsidR="00316989" w:rsidTr="00D1043B">
              <w:tc>
                <w:tcPr>
                  <w:tcW w:w="1323" w:type="pct"/>
                  <w:tcBorders>
                    <w:top w:val="single" w:sz="6" w:space="0" w:color="BFBFBF"/>
                    <w:bottom w:val="single" w:sz="6" w:space="0" w:color="BFBFBF"/>
                  </w:tcBorders>
                  <w:shd w:val="clear" w:color="auto" w:fill="auto"/>
                  <w:tcMar>
                    <w:top w:w="28" w:type="dxa"/>
                  </w:tcMar>
                  <w:vAlign w:val="bottom"/>
                </w:tcPr>
                <w:p w:rsidR="00E37AEC" w:rsidRDefault="00E37AEC" w:rsidP="003F0DC1">
                  <w:pPr>
                    <w:pStyle w:val="TableColumnHeading"/>
                  </w:pPr>
                </w:p>
              </w:tc>
              <w:tc>
                <w:tcPr>
                  <w:tcW w:w="397" w:type="pct"/>
                  <w:tcBorders>
                    <w:top w:val="single" w:sz="6" w:space="0" w:color="BFBFBF"/>
                    <w:bottom w:val="single" w:sz="6" w:space="0" w:color="BFBFBF"/>
                  </w:tcBorders>
                  <w:vAlign w:val="bottom"/>
                </w:tcPr>
                <w:p w:rsidR="00E37AEC" w:rsidRDefault="00E37AEC" w:rsidP="003F0DC1">
                  <w:pPr>
                    <w:pStyle w:val="TableColumnHeading"/>
                  </w:pPr>
                  <w:r>
                    <w:t>NSW</w:t>
                  </w:r>
                </w:p>
              </w:tc>
              <w:tc>
                <w:tcPr>
                  <w:tcW w:w="425" w:type="pct"/>
                  <w:gridSpan w:val="2"/>
                  <w:tcBorders>
                    <w:top w:val="single" w:sz="6" w:space="0" w:color="BFBFBF"/>
                    <w:bottom w:val="single" w:sz="6" w:space="0" w:color="BFBFBF"/>
                  </w:tcBorders>
                  <w:vAlign w:val="bottom"/>
                </w:tcPr>
                <w:p w:rsidR="00E37AEC" w:rsidRDefault="00E37AEC" w:rsidP="003F0DC1">
                  <w:pPr>
                    <w:pStyle w:val="TableColumnHeading"/>
                  </w:pPr>
                  <w:r>
                    <w:t>Vic</w:t>
                  </w:r>
                </w:p>
              </w:tc>
              <w:tc>
                <w:tcPr>
                  <w:tcW w:w="417" w:type="pct"/>
                  <w:gridSpan w:val="2"/>
                  <w:tcBorders>
                    <w:top w:val="single" w:sz="6" w:space="0" w:color="BFBFBF"/>
                    <w:bottom w:val="single" w:sz="6" w:space="0" w:color="BFBFBF"/>
                  </w:tcBorders>
                  <w:vAlign w:val="bottom"/>
                </w:tcPr>
                <w:p w:rsidR="00E37AEC" w:rsidRDefault="00E37AEC" w:rsidP="003F0DC1">
                  <w:pPr>
                    <w:pStyle w:val="TableColumnHeading"/>
                  </w:pPr>
                  <w:r>
                    <w:t>Qld</w:t>
                  </w:r>
                </w:p>
              </w:tc>
              <w:tc>
                <w:tcPr>
                  <w:tcW w:w="347" w:type="pct"/>
                  <w:tcBorders>
                    <w:top w:val="single" w:sz="6" w:space="0" w:color="BFBFBF"/>
                    <w:bottom w:val="single" w:sz="6" w:space="0" w:color="BFBFBF"/>
                  </w:tcBorders>
                  <w:vAlign w:val="bottom"/>
                </w:tcPr>
                <w:p w:rsidR="00E37AEC" w:rsidRDefault="00E37AEC" w:rsidP="003F0DC1">
                  <w:pPr>
                    <w:pStyle w:val="TableColumnHeading"/>
                  </w:pPr>
                  <w:r>
                    <w:t>WA</w:t>
                  </w:r>
                </w:p>
              </w:tc>
              <w:tc>
                <w:tcPr>
                  <w:tcW w:w="418" w:type="pct"/>
                  <w:tcBorders>
                    <w:top w:val="single" w:sz="6" w:space="0" w:color="BFBFBF"/>
                    <w:bottom w:val="single" w:sz="6" w:space="0" w:color="BFBFBF"/>
                  </w:tcBorders>
                  <w:vAlign w:val="bottom"/>
                </w:tcPr>
                <w:p w:rsidR="00E37AEC" w:rsidRDefault="00E37AEC" w:rsidP="003F0DC1">
                  <w:pPr>
                    <w:pStyle w:val="TableColumnHeading"/>
                  </w:pPr>
                  <w:r>
                    <w:t>SA</w:t>
                  </w:r>
                </w:p>
              </w:tc>
              <w:tc>
                <w:tcPr>
                  <w:tcW w:w="445" w:type="pct"/>
                  <w:tcBorders>
                    <w:top w:val="single" w:sz="6" w:space="0" w:color="BFBFBF"/>
                    <w:bottom w:val="single" w:sz="6" w:space="0" w:color="BFBFBF"/>
                  </w:tcBorders>
                  <w:vAlign w:val="bottom"/>
                </w:tcPr>
                <w:p w:rsidR="00E37AEC" w:rsidRDefault="00E37AEC" w:rsidP="003F0DC1">
                  <w:pPr>
                    <w:pStyle w:val="TableColumnHeading"/>
                  </w:pPr>
                  <w:proofErr w:type="spellStart"/>
                  <w:r>
                    <w:t>Tas</w:t>
                  </w:r>
                  <w:proofErr w:type="spellEnd"/>
                </w:p>
              </w:tc>
              <w:tc>
                <w:tcPr>
                  <w:tcW w:w="429" w:type="pct"/>
                  <w:tcBorders>
                    <w:top w:val="single" w:sz="6" w:space="0" w:color="BFBFBF"/>
                    <w:bottom w:val="single" w:sz="6" w:space="0" w:color="BFBFBF"/>
                  </w:tcBorders>
                  <w:vAlign w:val="bottom"/>
                </w:tcPr>
                <w:p w:rsidR="00E37AEC" w:rsidRDefault="00E37AEC" w:rsidP="00316989">
                  <w:pPr>
                    <w:pStyle w:val="TableColumnHeading"/>
                  </w:pPr>
                  <w:r>
                    <w:t>ACT</w:t>
                  </w:r>
                </w:p>
              </w:tc>
              <w:tc>
                <w:tcPr>
                  <w:tcW w:w="402" w:type="pct"/>
                  <w:tcBorders>
                    <w:top w:val="single" w:sz="6" w:space="0" w:color="BFBFBF"/>
                    <w:bottom w:val="single" w:sz="6" w:space="0" w:color="BFBFBF"/>
                  </w:tcBorders>
                  <w:shd w:val="clear" w:color="auto" w:fill="auto"/>
                  <w:tcMar>
                    <w:top w:w="28" w:type="dxa"/>
                  </w:tcMar>
                  <w:vAlign w:val="bottom"/>
                </w:tcPr>
                <w:p w:rsidR="00E37AEC" w:rsidRDefault="00E37AEC" w:rsidP="003D6635">
                  <w:pPr>
                    <w:pStyle w:val="TableColumnHeading"/>
                  </w:pPr>
                  <w:r>
                    <w:t>NT</w:t>
                  </w:r>
                  <w:r w:rsidR="003D6635">
                    <w:rPr>
                      <w:rStyle w:val="NoteLabel"/>
                      <w:i w:val="0"/>
                    </w:rPr>
                    <w:t>b</w:t>
                  </w:r>
                </w:p>
              </w:tc>
              <w:tc>
                <w:tcPr>
                  <w:tcW w:w="397" w:type="pct"/>
                  <w:tcBorders>
                    <w:top w:val="single" w:sz="6" w:space="0" w:color="BFBFBF"/>
                    <w:bottom w:val="single" w:sz="6" w:space="0" w:color="BFBFBF"/>
                  </w:tcBorders>
                  <w:shd w:val="clear" w:color="auto" w:fill="auto"/>
                  <w:tcMar>
                    <w:top w:w="28" w:type="dxa"/>
                  </w:tcMar>
                  <w:vAlign w:val="bottom"/>
                </w:tcPr>
                <w:p w:rsidR="00E37AEC" w:rsidRDefault="00E37AEC" w:rsidP="003F0DC1">
                  <w:pPr>
                    <w:pStyle w:val="TableColumnHeading"/>
                    <w:ind w:right="28"/>
                  </w:pPr>
                  <w:proofErr w:type="spellStart"/>
                  <w:r>
                    <w:t>Aust</w:t>
                  </w:r>
                  <w:proofErr w:type="spellEnd"/>
                </w:p>
              </w:tc>
            </w:tr>
            <w:tr w:rsidR="00E37AEC" w:rsidTr="00E37AEC">
              <w:tc>
                <w:tcPr>
                  <w:tcW w:w="5000" w:type="pct"/>
                  <w:gridSpan w:val="12"/>
                  <w:tcBorders>
                    <w:top w:val="single" w:sz="6" w:space="0" w:color="BFBFBF"/>
                  </w:tcBorders>
                </w:tcPr>
                <w:p w:rsidR="00E37AEC" w:rsidRDefault="00E37AEC" w:rsidP="005739A0">
                  <w:pPr>
                    <w:pStyle w:val="TableUnitsRow"/>
                    <w:ind w:right="28"/>
                    <w:jc w:val="left"/>
                  </w:pPr>
                  <w:r w:rsidRPr="005739A0">
                    <w:t>Occasions of service for the most common types of non-admitted patient care as a proportion of all occasions of service for non-admitted patients (%)</w:t>
                  </w:r>
                </w:p>
              </w:tc>
            </w:tr>
            <w:tr w:rsidR="0027618F" w:rsidTr="0027618F">
              <w:tc>
                <w:tcPr>
                  <w:tcW w:w="1323" w:type="pct"/>
                </w:tcPr>
                <w:p w:rsidR="0027618F" w:rsidRDefault="0027618F" w:rsidP="00EB796A">
                  <w:pPr>
                    <w:pStyle w:val="TableBodyText"/>
                    <w:ind w:left="120"/>
                    <w:jc w:val="left"/>
                  </w:pPr>
                  <w:r w:rsidRPr="004939AA">
                    <w:t>Accident and emergency</w:t>
                  </w:r>
                </w:p>
              </w:tc>
              <w:tc>
                <w:tcPr>
                  <w:tcW w:w="397" w:type="pct"/>
                  <w:vAlign w:val="bottom"/>
                </w:tcPr>
                <w:p w:rsidR="0027618F" w:rsidRPr="00D1043B" w:rsidRDefault="0027618F" w:rsidP="00D1043B">
                  <w:pPr>
                    <w:pStyle w:val="TableUnitsRow"/>
                  </w:pPr>
                  <w:r w:rsidRPr="00D1043B">
                    <w:t xml:space="preserve">  10.6</w:t>
                  </w:r>
                </w:p>
              </w:tc>
              <w:tc>
                <w:tcPr>
                  <w:tcW w:w="391" w:type="pct"/>
                  <w:vAlign w:val="bottom"/>
                </w:tcPr>
                <w:p w:rsidR="0027618F" w:rsidRPr="00D1043B" w:rsidRDefault="0027618F" w:rsidP="00D1043B">
                  <w:pPr>
                    <w:pStyle w:val="TableUnitsRow"/>
                  </w:pPr>
                  <w:r w:rsidRPr="00D1043B">
                    <w:t xml:space="preserve">  20.9</w:t>
                  </w:r>
                </w:p>
              </w:tc>
              <w:tc>
                <w:tcPr>
                  <w:tcW w:w="415" w:type="pct"/>
                  <w:gridSpan w:val="2"/>
                  <w:vAlign w:val="bottom"/>
                </w:tcPr>
                <w:p w:rsidR="0027618F" w:rsidRPr="00D1043B" w:rsidRDefault="0027618F" w:rsidP="00D1043B">
                  <w:pPr>
                    <w:pStyle w:val="TableUnitsRow"/>
                  </w:pPr>
                  <w:r w:rsidRPr="00D1043B">
                    <w:t xml:space="preserve">  16.1</w:t>
                  </w:r>
                </w:p>
              </w:tc>
              <w:tc>
                <w:tcPr>
                  <w:tcW w:w="383" w:type="pct"/>
                  <w:gridSpan w:val="2"/>
                  <w:vAlign w:val="bottom"/>
                </w:tcPr>
                <w:p w:rsidR="0027618F" w:rsidRPr="00D1043B" w:rsidRDefault="0027618F" w:rsidP="00D1043B">
                  <w:pPr>
                    <w:pStyle w:val="TableUnitsRow"/>
                  </w:pPr>
                  <w:r w:rsidRPr="00D1043B">
                    <w:t xml:space="preserve">  16.6</w:t>
                  </w:r>
                </w:p>
              </w:tc>
              <w:tc>
                <w:tcPr>
                  <w:tcW w:w="418" w:type="pct"/>
                  <w:vAlign w:val="bottom"/>
                </w:tcPr>
                <w:p w:rsidR="0027618F" w:rsidRPr="00D1043B" w:rsidRDefault="0027618F" w:rsidP="00D1043B">
                  <w:pPr>
                    <w:pStyle w:val="TableUnitsRow"/>
                  </w:pPr>
                  <w:r w:rsidRPr="00D1043B">
                    <w:t xml:space="preserve">  25.2</w:t>
                  </w:r>
                </w:p>
              </w:tc>
              <w:tc>
                <w:tcPr>
                  <w:tcW w:w="445" w:type="pct"/>
                  <w:vAlign w:val="bottom"/>
                </w:tcPr>
                <w:p w:rsidR="0027618F" w:rsidRPr="00D1043B" w:rsidRDefault="0027618F" w:rsidP="00D1043B">
                  <w:pPr>
                    <w:pStyle w:val="TableUnitsRow"/>
                  </w:pPr>
                  <w:r w:rsidRPr="00D1043B">
                    <w:t xml:space="preserve">  33.1</w:t>
                  </w:r>
                </w:p>
              </w:tc>
              <w:tc>
                <w:tcPr>
                  <w:tcW w:w="429" w:type="pct"/>
                  <w:vAlign w:val="bottom"/>
                </w:tcPr>
                <w:p w:rsidR="0027618F" w:rsidRPr="00D1043B" w:rsidRDefault="0027618F" w:rsidP="00D1043B">
                  <w:pPr>
                    <w:pStyle w:val="TableUnitsRow"/>
                  </w:pPr>
                  <w:r w:rsidRPr="00D1043B">
                    <w:t xml:space="preserve">  6.4</w:t>
                  </w:r>
                </w:p>
              </w:tc>
              <w:tc>
                <w:tcPr>
                  <w:tcW w:w="402" w:type="pct"/>
                  <w:vAlign w:val="bottom"/>
                </w:tcPr>
                <w:p w:rsidR="0027618F" w:rsidRPr="00D1043B" w:rsidRDefault="0027618F" w:rsidP="00D1043B">
                  <w:pPr>
                    <w:pStyle w:val="TableUnitsRow"/>
                  </w:pPr>
                  <w:r w:rsidRPr="00D1043B">
                    <w:t xml:space="preserve">  24.3</w:t>
                  </w:r>
                </w:p>
              </w:tc>
              <w:tc>
                <w:tcPr>
                  <w:tcW w:w="397" w:type="pct"/>
                  <w:vAlign w:val="bottom"/>
                </w:tcPr>
                <w:p w:rsidR="0027618F" w:rsidRPr="00D1043B" w:rsidRDefault="0027618F" w:rsidP="00D1043B">
                  <w:pPr>
                    <w:pStyle w:val="TableUnitsRow"/>
                  </w:pPr>
                  <w:r w:rsidRPr="00D1043B">
                    <w:t xml:space="preserve">  14.6</w:t>
                  </w:r>
                </w:p>
              </w:tc>
            </w:tr>
            <w:tr w:rsidR="0027618F" w:rsidTr="0027618F">
              <w:tc>
                <w:tcPr>
                  <w:tcW w:w="1323" w:type="pct"/>
                </w:tcPr>
                <w:p w:rsidR="0027618F" w:rsidRDefault="0027618F" w:rsidP="00EB796A">
                  <w:pPr>
                    <w:pStyle w:val="TableBodyText"/>
                    <w:ind w:left="120"/>
                    <w:jc w:val="left"/>
                  </w:pPr>
                  <w:r>
                    <w:t>Pathology</w:t>
                  </w:r>
                </w:p>
              </w:tc>
              <w:tc>
                <w:tcPr>
                  <w:tcW w:w="397" w:type="pct"/>
                  <w:vAlign w:val="bottom"/>
                </w:tcPr>
                <w:p w:rsidR="0027618F" w:rsidRPr="00D1043B" w:rsidRDefault="0027618F" w:rsidP="00D1043B">
                  <w:pPr>
                    <w:pStyle w:val="TableUnitsRow"/>
                  </w:pPr>
                  <w:r w:rsidRPr="00D1043B">
                    <w:t xml:space="preserve">  13.3</w:t>
                  </w:r>
                </w:p>
              </w:tc>
              <w:tc>
                <w:tcPr>
                  <w:tcW w:w="391" w:type="pct"/>
                  <w:vAlign w:val="bottom"/>
                </w:tcPr>
                <w:p w:rsidR="0027618F" w:rsidRPr="00D1043B" w:rsidRDefault="0027618F" w:rsidP="00D1043B">
                  <w:pPr>
                    <w:pStyle w:val="TableUnitsRow"/>
                  </w:pPr>
                  <w:r w:rsidRPr="00D1043B">
                    <w:t xml:space="preserve">  11.1</w:t>
                  </w:r>
                </w:p>
              </w:tc>
              <w:tc>
                <w:tcPr>
                  <w:tcW w:w="415" w:type="pct"/>
                  <w:gridSpan w:val="2"/>
                  <w:vAlign w:val="bottom"/>
                </w:tcPr>
                <w:p w:rsidR="0027618F" w:rsidRPr="00D1043B" w:rsidRDefault="0027618F" w:rsidP="00D1043B">
                  <w:pPr>
                    <w:pStyle w:val="TableUnitsRow"/>
                  </w:pPr>
                  <w:r w:rsidRPr="00D1043B">
                    <w:t xml:space="preserve">  35.4</w:t>
                  </w:r>
                </w:p>
              </w:tc>
              <w:tc>
                <w:tcPr>
                  <w:tcW w:w="383" w:type="pct"/>
                  <w:gridSpan w:val="2"/>
                  <w:vAlign w:val="bottom"/>
                </w:tcPr>
                <w:p w:rsidR="0027618F" w:rsidRPr="00D1043B" w:rsidRDefault="0027618F" w:rsidP="00D1043B">
                  <w:pPr>
                    <w:pStyle w:val="TableUnitsRow"/>
                  </w:pPr>
                  <w:r w:rsidRPr="00D1043B">
                    <w:t xml:space="preserve">  14.4</w:t>
                  </w:r>
                </w:p>
              </w:tc>
              <w:tc>
                <w:tcPr>
                  <w:tcW w:w="418" w:type="pct"/>
                  <w:vAlign w:val="bottom"/>
                </w:tcPr>
                <w:p w:rsidR="0027618F" w:rsidRPr="00D1043B" w:rsidRDefault="0027618F" w:rsidP="00D1043B">
                  <w:pPr>
                    <w:pStyle w:val="TableUnitsRow"/>
                  </w:pPr>
                  <w:r w:rsidRPr="00D1043B">
                    <w:t>..</w:t>
                  </w:r>
                </w:p>
              </w:tc>
              <w:tc>
                <w:tcPr>
                  <w:tcW w:w="445" w:type="pct"/>
                  <w:vAlign w:val="bottom"/>
                </w:tcPr>
                <w:p w:rsidR="0027618F" w:rsidRPr="00D1043B" w:rsidRDefault="0027618F" w:rsidP="00D1043B">
                  <w:pPr>
                    <w:pStyle w:val="TableUnitsRow"/>
                  </w:pPr>
                  <w:r w:rsidRPr="00D1043B">
                    <w:t>..</w:t>
                  </w:r>
                </w:p>
              </w:tc>
              <w:tc>
                <w:tcPr>
                  <w:tcW w:w="429" w:type="pct"/>
                  <w:vAlign w:val="bottom"/>
                </w:tcPr>
                <w:p w:rsidR="0027618F" w:rsidRPr="00D1043B" w:rsidRDefault="0027618F" w:rsidP="00D1043B">
                  <w:pPr>
                    <w:pStyle w:val="TableUnitsRow"/>
                  </w:pPr>
                  <w:r w:rsidRPr="00D1043B">
                    <w:t xml:space="preserve">  36.5</w:t>
                  </w:r>
                </w:p>
              </w:tc>
              <w:tc>
                <w:tcPr>
                  <w:tcW w:w="402" w:type="pct"/>
                  <w:vAlign w:val="bottom"/>
                </w:tcPr>
                <w:p w:rsidR="0027618F" w:rsidRPr="00D1043B" w:rsidRDefault="0027618F" w:rsidP="00D1043B">
                  <w:pPr>
                    <w:pStyle w:val="TableUnitsRow"/>
                  </w:pPr>
                  <w:r w:rsidRPr="00D1043B">
                    <w:t xml:space="preserve">  22.0</w:t>
                  </w:r>
                </w:p>
              </w:tc>
              <w:tc>
                <w:tcPr>
                  <w:tcW w:w="397" w:type="pct"/>
                  <w:vAlign w:val="bottom"/>
                </w:tcPr>
                <w:p w:rsidR="0027618F" w:rsidRPr="00D1043B" w:rsidRDefault="0027618F" w:rsidP="00D1043B">
                  <w:pPr>
                    <w:pStyle w:val="TableUnitsRow"/>
                  </w:pPr>
                  <w:r w:rsidRPr="00D1043B">
                    <w:t xml:space="preserve">  17.8</w:t>
                  </w:r>
                </w:p>
              </w:tc>
            </w:tr>
            <w:tr w:rsidR="0027618F" w:rsidTr="0027618F">
              <w:tc>
                <w:tcPr>
                  <w:tcW w:w="1323" w:type="pct"/>
                </w:tcPr>
                <w:p w:rsidR="0027618F" w:rsidRDefault="0027618F" w:rsidP="00EB796A">
                  <w:pPr>
                    <w:pStyle w:val="TableBodyText"/>
                    <w:ind w:left="120"/>
                    <w:jc w:val="left"/>
                  </w:pPr>
                  <w:r w:rsidRPr="004939AA">
                    <w:t>Radiology and organ imaging</w:t>
                  </w:r>
                </w:p>
              </w:tc>
              <w:tc>
                <w:tcPr>
                  <w:tcW w:w="397" w:type="pct"/>
                  <w:vAlign w:val="bottom"/>
                </w:tcPr>
                <w:p w:rsidR="0027618F" w:rsidRPr="00D1043B" w:rsidRDefault="0027618F" w:rsidP="00D1043B">
                  <w:pPr>
                    <w:pStyle w:val="TableUnitsRow"/>
                  </w:pPr>
                  <w:r w:rsidRPr="00D1043B">
                    <w:t xml:space="preserve">  2.6</w:t>
                  </w:r>
                </w:p>
              </w:tc>
              <w:tc>
                <w:tcPr>
                  <w:tcW w:w="391" w:type="pct"/>
                  <w:vAlign w:val="bottom"/>
                </w:tcPr>
                <w:p w:rsidR="0027618F" w:rsidRPr="00D1043B" w:rsidRDefault="0027618F" w:rsidP="00D1043B">
                  <w:pPr>
                    <w:pStyle w:val="TableUnitsRow"/>
                  </w:pPr>
                  <w:r w:rsidRPr="00D1043B">
                    <w:t xml:space="preserve">  8.1</w:t>
                  </w:r>
                </w:p>
              </w:tc>
              <w:tc>
                <w:tcPr>
                  <w:tcW w:w="415" w:type="pct"/>
                  <w:gridSpan w:val="2"/>
                  <w:vAlign w:val="bottom"/>
                </w:tcPr>
                <w:p w:rsidR="0027618F" w:rsidRPr="00D1043B" w:rsidRDefault="0027618F" w:rsidP="00D1043B">
                  <w:pPr>
                    <w:pStyle w:val="TableUnitsRow"/>
                  </w:pPr>
                  <w:r w:rsidRPr="00D1043B">
                    <w:t xml:space="preserve">  9.1</w:t>
                  </w:r>
                </w:p>
              </w:tc>
              <w:tc>
                <w:tcPr>
                  <w:tcW w:w="383" w:type="pct"/>
                  <w:gridSpan w:val="2"/>
                  <w:vAlign w:val="bottom"/>
                </w:tcPr>
                <w:p w:rsidR="0027618F" w:rsidRPr="00D1043B" w:rsidRDefault="0027618F" w:rsidP="00D1043B">
                  <w:pPr>
                    <w:pStyle w:val="TableUnitsRow"/>
                  </w:pPr>
                  <w:r w:rsidRPr="00D1043B">
                    <w:t xml:space="preserve">  7.5</w:t>
                  </w:r>
                </w:p>
              </w:tc>
              <w:tc>
                <w:tcPr>
                  <w:tcW w:w="418" w:type="pct"/>
                  <w:vAlign w:val="bottom"/>
                </w:tcPr>
                <w:p w:rsidR="0027618F" w:rsidRPr="00D1043B" w:rsidRDefault="0027618F" w:rsidP="00D1043B">
                  <w:pPr>
                    <w:pStyle w:val="TableUnitsRow"/>
                  </w:pPr>
                  <w:r w:rsidRPr="00D1043B">
                    <w:t xml:space="preserve">  8.9</w:t>
                  </w:r>
                </w:p>
              </w:tc>
              <w:tc>
                <w:tcPr>
                  <w:tcW w:w="445" w:type="pct"/>
                  <w:vAlign w:val="bottom"/>
                </w:tcPr>
                <w:p w:rsidR="0027618F" w:rsidRPr="00D1043B" w:rsidRDefault="0027618F" w:rsidP="00D1043B">
                  <w:pPr>
                    <w:pStyle w:val="TableUnitsRow"/>
                  </w:pPr>
                  <w:r w:rsidRPr="00D1043B">
                    <w:t>..</w:t>
                  </w:r>
                </w:p>
              </w:tc>
              <w:tc>
                <w:tcPr>
                  <w:tcW w:w="429" w:type="pct"/>
                  <w:vAlign w:val="bottom"/>
                </w:tcPr>
                <w:p w:rsidR="0027618F" w:rsidRPr="00D1043B" w:rsidRDefault="0027618F" w:rsidP="00D1043B">
                  <w:pPr>
                    <w:pStyle w:val="TableUnitsRow"/>
                  </w:pPr>
                  <w:r w:rsidRPr="00D1043B">
                    <w:t xml:space="preserve">  2.2</w:t>
                  </w:r>
                </w:p>
              </w:tc>
              <w:tc>
                <w:tcPr>
                  <w:tcW w:w="402" w:type="pct"/>
                  <w:vAlign w:val="bottom"/>
                </w:tcPr>
                <w:p w:rsidR="0027618F" w:rsidRPr="00D1043B" w:rsidRDefault="0027618F" w:rsidP="00D1043B">
                  <w:pPr>
                    <w:pStyle w:val="TableUnitsRow"/>
                  </w:pPr>
                  <w:r w:rsidRPr="00D1043B">
                    <w:t xml:space="preserve">  15.3</w:t>
                  </w:r>
                </w:p>
              </w:tc>
              <w:tc>
                <w:tcPr>
                  <w:tcW w:w="397" w:type="pct"/>
                  <w:vAlign w:val="bottom"/>
                </w:tcPr>
                <w:p w:rsidR="0027618F" w:rsidRPr="00D1043B" w:rsidRDefault="0027618F" w:rsidP="00D1043B">
                  <w:pPr>
                    <w:pStyle w:val="TableUnitsRow"/>
                  </w:pPr>
                  <w:r w:rsidRPr="00D1043B">
                    <w:t xml:space="preserve">  5.6</w:t>
                  </w:r>
                </w:p>
              </w:tc>
            </w:tr>
            <w:tr w:rsidR="0027618F" w:rsidTr="0027618F">
              <w:tc>
                <w:tcPr>
                  <w:tcW w:w="1323" w:type="pct"/>
                </w:tcPr>
                <w:p w:rsidR="0027618F" w:rsidRDefault="0027618F" w:rsidP="00EB796A">
                  <w:pPr>
                    <w:pStyle w:val="TableBodyText"/>
                    <w:ind w:left="120"/>
                    <w:jc w:val="left"/>
                  </w:pPr>
                  <w:r>
                    <w:t>Pharmacy</w:t>
                  </w:r>
                  <w:r w:rsidRPr="003F0DC1">
                    <w:rPr>
                      <w:rStyle w:val="NoteLabel"/>
                    </w:rPr>
                    <w:t>c</w:t>
                  </w:r>
                </w:p>
              </w:tc>
              <w:tc>
                <w:tcPr>
                  <w:tcW w:w="397" w:type="pct"/>
                  <w:vAlign w:val="bottom"/>
                </w:tcPr>
                <w:p w:rsidR="0027618F" w:rsidRPr="00D1043B" w:rsidRDefault="0027618F" w:rsidP="00D1043B">
                  <w:pPr>
                    <w:pStyle w:val="TableUnitsRow"/>
                  </w:pPr>
                  <w:r w:rsidRPr="00D1043B">
                    <w:t xml:space="preserve">  15.4</w:t>
                  </w:r>
                </w:p>
              </w:tc>
              <w:tc>
                <w:tcPr>
                  <w:tcW w:w="391" w:type="pct"/>
                  <w:vAlign w:val="bottom"/>
                </w:tcPr>
                <w:p w:rsidR="0027618F" w:rsidRPr="00D1043B" w:rsidRDefault="0027618F" w:rsidP="00D1043B">
                  <w:pPr>
                    <w:pStyle w:val="TableUnitsRow"/>
                  </w:pPr>
                  <w:r w:rsidRPr="00D1043B">
                    <w:t xml:space="preserve">  5.3</w:t>
                  </w:r>
                </w:p>
              </w:tc>
              <w:tc>
                <w:tcPr>
                  <w:tcW w:w="415" w:type="pct"/>
                  <w:gridSpan w:val="2"/>
                  <w:vAlign w:val="bottom"/>
                </w:tcPr>
                <w:p w:rsidR="0027618F" w:rsidRPr="00D1043B" w:rsidRDefault="0027618F" w:rsidP="00D1043B">
                  <w:pPr>
                    <w:pStyle w:val="TableUnitsRow"/>
                  </w:pPr>
                  <w:r w:rsidRPr="00D1043B">
                    <w:t xml:space="preserve">  5.0</w:t>
                  </w:r>
                </w:p>
              </w:tc>
              <w:tc>
                <w:tcPr>
                  <w:tcW w:w="383" w:type="pct"/>
                  <w:gridSpan w:val="2"/>
                  <w:vAlign w:val="bottom"/>
                </w:tcPr>
                <w:p w:rsidR="0027618F" w:rsidRPr="00D1043B" w:rsidRDefault="0027618F" w:rsidP="00D1043B">
                  <w:pPr>
                    <w:pStyle w:val="TableUnitsRow"/>
                  </w:pPr>
                  <w:r w:rsidRPr="00D1043B">
                    <w:t xml:space="preserve">  4.0</w:t>
                  </w:r>
                </w:p>
              </w:tc>
              <w:tc>
                <w:tcPr>
                  <w:tcW w:w="418" w:type="pct"/>
                  <w:vAlign w:val="bottom"/>
                </w:tcPr>
                <w:p w:rsidR="0027618F" w:rsidRPr="00D1043B" w:rsidRDefault="0027618F" w:rsidP="00D1043B">
                  <w:pPr>
                    <w:pStyle w:val="TableUnitsRow"/>
                  </w:pPr>
                  <w:r w:rsidRPr="00D1043B">
                    <w:t>..</w:t>
                  </w:r>
                </w:p>
              </w:tc>
              <w:tc>
                <w:tcPr>
                  <w:tcW w:w="445" w:type="pct"/>
                  <w:vAlign w:val="bottom"/>
                </w:tcPr>
                <w:p w:rsidR="0027618F" w:rsidRPr="00D1043B" w:rsidRDefault="0027618F" w:rsidP="00D1043B">
                  <w:pPr>
                    <w:pStyle w:val="TableUnitsRow"/>
                  </w:pPr>
                  <w:r w:rsidRPr="00D1043B">
                    <w:t>..</w:t>
                  </w:r>
                </w:p>
              </w:tc>
              <w:tc>
                <w:tcPr>
                  <w:tcW w:w="429" w:type="pct"/>
                  <w:vAlign w:val="bottom"/>
                </w:tcPr>
                <w:p w:rsidR="0027618F" w:rsidRPr="00D1043B" w:rsidRDefault="0027618F" w:rsidP="00D1043B">
                  <w:pPr>
                    <w:pStyle w:val="TableUnitsRow"/>
                  </w:pPr>
                  <w:r w:rsidRPr="00D1043B">
                    <w:t xml:space="preserve">  2.3</w:t>
                  </w:r>
                </w:p>
              </w:tc>
              <w:tc>
                <w:tcPr>
                  <w:tcW w:w="402" w:type="pct"/>
                  <w:vAlign w:val="bottom"/>
                </w:tcPr>
                <w:p w:rsidR="0027618F" w:rsidRPr="00D1043B" w:rsidRDefault="0027618F" w:rsidP="00D1043B">
                  <w:pPr>
                    <w:pStyle w:val="TableUnitsRow"/>
                  </w:pPr>
                  <w:r w:rsidRPr="00D1043B">
                    <w:t xml:space="preserve">  5.9</w:t>
                  </w:r>
                </w:p>
              </w:tc>
              <w:tc>
                <w:tcPr>
                  <w:tcW w:w="397" w:type="pct"/>
                  <w:vAlign w:val="bottom"/>
                </w:tcPr>
                <w:p w:rsidR="0027618F" w:rsidRPr="00D1043B" w:rsidRDefault="0027618F" w:rsidP="00D1043B">
                  <w:pPr>
                    <w:pStyle w:val="TableUnitsRow"/>
                  </w:pPr>
                  <w:r w:rsidRPr="00D1043B">
                    <w:t xml:space="preserve">  9.3</w:t>
                  </w:r>
                </w:p>
              </w:tc>
            </w:tr>
            <w:tr w:rsidR="0027618F" w:rsidTr="0027618F">
              <w:tc>
                <w:tcPr>
                  <w:tcW w:w="1323" w:type="pct"/>
                </w:tcPr>
                <w:p w:rsidR="0027618F" w:rsidRDefault="0027618F" w:rsidP="00EB796A">
                  <w:pPr>
                    <w:pStyle w:val="TableBodyText"/>
                    <w:ind w:left="120"/>
                    <w:jc w:val="left"/>
                  </w:pPr>
                  <w:r w:rsidRPr="004939AA">
                    <w:t>Other medical/surgical/ obstetric</w:t>
                  </w:r>
                </w:p>
              </w:tc>
              <w:tc>
                <w:tcPr>
                  <w:tcW w:w="397" w:type="pct"/>
                  <w:vAlign w:val="bottom"/>
                </w:tcPr>
                <w:p w:rsidR="0027618F" w:rsidRPr="00D1043B" w:rsidRDefault="0027618F" w:rsidP="00D1043B">
                  <w:pPr>
                    <w:pStyle w:val="TableUnitsRow"/>
                  </w:pPr>
                  <w:r w:rsidRPr="00D1043B">
                    <w:t xml:space="preserve">  23.4</w:t>
                  </w:r>
                </w:p>
              </w:tc>
              <w:tc>
                <w:tcPr>
                  <w:tcW w:w="391" w:type="pct"/>
                  <w:vAlign w:val="bottom"/>
                </w:tcPr>
                <w:p w:rsidR="0027618F" w:rsidRPr="00D1043B" w:rsidRDefault="0027618F" w:rsidP="00D1043B">
                  <w:pPr>
                    <w:pStyle w:val="TableUnitsRow"/>
                  </w:pPr>
                  <w:r w:rsidRPr="00D1043B">
                    <w:t xml:space="preserve">  25.8</w:t>
                  </w:r>
                </w:p>
              </w:tc>
              <w:tc>
                <w:tcPr>
                  <w:tcW w:w="415" w:type="pct"/>
                  <w:gridSpan w:val="2"/>
                  <w:vAlign w:val="bottom"/>
                </w:tcPr>
                <w:p w:rsidR="0027618F" w:rsidRPr="00D1043B" w:rsidRDefault="0027618F" w:rsidP="00D1043B">
                  <w:pPr>
                    <w:pStyle w:val="TableUnitsRow"/>
                  </w:pPr>
                  <w:r w:rsidRPr="00D1043B">
                    <w:t xml:space="preserve">  24.1</w:t>
                  </w:r>
                </w:p>
              </w:tc>
              <w:tc>
                <w:tcPr>
                  <w:tcW w:w="383" w:type="pct"/>
                  <w:gridSpan w:val="2"/>
                  <w:vAlign w:val="bottom"/>
                </w:tcPr>
                <w:p w:rsidR="0027618F" w:rsidRPr="00D1043B" w:rsidRDefault="0027618F" w:rsidP="00D1043B">
                  <w:pPr>
                    <w:pStyle w:val="TableUnitsRow"/>
                  </w:pPr>
                  <w:r w:rsidRPr="00D1043B">
                    <w:t xml:space="preserve">  18.4</w:t>
                  </w:r>
                </w:p>
              </w:tc>
              <w:tc>
                <w:tcPr>
                  <w:tcW w:w="418" w:type="pct"/>
                  <w:vAlign w:val="bottom"/>
                </w:tcPr>
                <w:p w:rsidR="0027618F" w:rsidRPr="00D1043B" w:rsidRDefault="0027618F" w:rsidP="00D1043B">
                  <w:pPr>
                    <w:pStyle w:val="TableUnitsRow"/>
                  </w:pPr>
                  <w:r w:rsidRPr="00D1043B">
                    <w:t xml:space="preserve">  44.3</w:t>
                  </w:r>
                </w:p>
              </w:tc>
              <w:tc>
                <w:tcPr>
                  <w:tcW w:w="445" w:type="pct"/>
                  <w:vAlign w:val="bottom"/>
                </w:tcPr>
                <w:p w:rsidR="0027618F" w:rsidRPr="00D1043B" w:rsidRDefault="0027618F" w:rsidP="00D1043B">
                  <w:pPr>
                    <w:pStyle w:val="TableUnitsRow"/>
                  </w:pPr>
                  <w:r w:rsidRPr="00D1043B">
                    <w:t xml:space="preserve">  50.2</w:t>
                  </w:r>
                </w:p>
              </w:tc>
              <w:tc>
                <w:tcPr>
                  <w:tcW w:w="429" w:type="pct"/>
                  <w:vAlign w:val="bottom"/>
                </w:tcPr>
                <w:p w:rsidR="0027618F" w:rsidRPr="00D1043B" w:rsidRDefault="0027618F" w:rsidP="00D1043B">
                  <w:pPr>
                    <w:pStyle w:val="TableUnitsRow"/>
                  </w:pPr>
                  <w:r w:rsidRPr="00D1043B">
                    <w:t xml:space="preserve">  20.7</w:t>
                  </w:r>
                </w:p>
              </w:tc>
              <w:tc>
                <w:tcPr>
                  <w:tcW w:w="402" w:type="pct"/>
                  <w:vAlign w:val="bottom"/>
                </w:tcPr>
                <w:p w:rsidR="0027618F" w:rsidRPr="00D1043B" w:rsidRDefault="0027618F" w:rsidP="00D1043B">
                  <w:pPr>
                    <w:pStyle w:val="TableUnitsRow"/>
                  </w:pPr>
                  <w:r w:rsidRPr="00D1043B">
                    <w:t xml:space="preserve">  28.5</w:t>
                  </w:r>
                </w:p>
              </w:tc>
              <w:tc>
                <w:tcPr>
                  <w:tcW w:w="397" w:type="pct"/>
                  <w:vAlign w:val="bottom"/>
                </w:tcPr>
                <w:p w:rsidR="0027618F" w:rsidRPr="00D1043B" w:rsidRDefault="0027618F" w:rsidP="00D1043B">
                  <w:pPr>
                    <w:pStyle w:val="TableUnitsRow"/>
                  </w:pPr>
                  <w:r w:rsidRPr="00D1043B">
                    <w:t xml:space="preserve">  24.4</w:t>
                  </w:r>
                </w:p>
              </w:tc>
            </w:tr>
            <w:tr w:rsidR="0027618F" w:rsidTr="0027618F">
              <w:tc>
                <w:tcPr>
                  <w:tcW w:w="1323" w:type="pct"/>
                </w:tcPr>
                <w:p w:rsidR="0027618F" w:rsidRDefault="0027618F" w:rsidP="00EB796A">
                  <w:pPr>
                    <w:pStyle w:val="TableBodyText"/>
                    <w:ind w:left="120"/>
                    <w:jc w:val="left"/>
                  </w:pPr>
                  <w:r>
                    <w:t>Mental health</w:t>
                  </w:r>
                </w:p>
              </w:tc>
              <w:tc>
                <w:tcPr>
                  <w:tcW w:w="397" w:type="pct"/>
                  <w:vAlign w:val="bottom"/>
                </w:tcPr>
                <w:p w:rsidR="0027618F" w:rsidRPr="00D1043B" w:rsidRDefault="0027618F" w:rsidP="00D1043B">
                  <w:pPr>
                    <w:pStyle w:val="TableUnitsRow"/>
                  </w:pPr>
                  <w:r w:rsidRPr="00D1043B">
                    <w:t xml:space="preserve">  4.2</w:t>
                  </w:r>
                </w:p>
              </w:tc>
              <w:tc>
                <w:tcPr>
                  <w:tcW w:w="391" w:type="pct"/>
                  <w:vAlign w:val="bottom"/>
                </w:tcPr>
                <w:p w:rsidR="0027618F" w:rsidRPr="00D1043B" w:rsidRDefault="0027618F" w:rsidP="00D1043B">
                  <w:pPr>
                    <w:pStyle w:val="TableUnitsRow"/>
                  </w:pPr>
                  <w:r w:rsidRPr="00D1043B">
                    <w:t>..</w:t>
                  </w:r>
                </w:p>
              </w:tc>
              <w:tc>
                <w:tcPr>
                  <w:tcW w:w="415" w:type="pct"/>
                  <w:gridSpan w:val="2"/>
                  <w:vAlign w:val="bottom"/>
                </w:tcPr>
                <w:p w:rsidR="0027618F" w:rsidRPr="00D1043B" w:rsidRDefault="0027618F" w:rsidP="00D1043B">
                  <w:pPr>
                    <w:pStyle w:val="TableUnitsRow"/>
                  </w:pPr>
                  <w:r w:rsidRPr="00D1043B">
                    <w:t xml:space="preserve">  0.3</w:t>
                  </w:r>
                </w:p>
              </w:tc>
              <w:tc>
                <w:tcPr>
                  <w:tcW w:w="383" w:type="pct"/>
                  <w:gridSpan w:val="2"/>
                  <w:vAlign w:val="bottom"/>
                </w:tcPr>
                <w:p w:rsidR="0027618F" w:rsidRPr="00D1043B" w:rsidRDefault="0027618F" w:rsidP="00D1043B">
                  <w:pPr>
                    <w:pStyle w:val="TableUnitsRow"/>
                  </w:pPr>
                  <w:r w:rsidRPr="00D1043B">
                    <w:t xml:space="preserve">  1.7</w:t>
                  </w:r>
                </w:p>
              </w:tc>
              <w:tc>
                <w:tcPr>
                  <w:tcW w:w="418" w:type="pct"/>
                  <w:vAlign w:val="bottom"/>
                </w:tcPr>
                <w:p w:rsidR="0027618F" w:rsidRPr="00D1043B" w:rsidRDefault="0027618F" w:rsidP="00D1043B">
                  <w:pPr>
                    <w:pStyle w:val="TableUnitsRow"/>
                  </w:pPr>
                  <w:r w:rsidRPr="00D1043B">
                    <w:t xml:space="preserve">  0.6</w:t>
                  </w:r>
                </w:p>
              </w:tc>
              <w:tc>
                <w:tcPr>
                  <w:tcW w:w="445" w:type="pct"/>
                  <w:vAlign w:val="bottom"/>
                </w:tcPr>
                <w:p w:rsidR="0027618F" w:rsidRPr="00D1043B" w:rsidRDefault="0027618F" w:rsidP="00D1043B">
                  <w:pPr>
                    <w:pStyle w:val="TableUnitsRow"/>
                  </w:pPr>
                  <w:r w:rsidRPr="00D1043B">
                    <w:t xml:space="preserve">  0.9</w:t>
                  </w:r>
                </w:p>
              </w:tc>
              <w:tc>
                <w:tcPr>
                  <w:tcW w:w="429" w:type="pct"/>
                  <w:vAlign w:val="bottom"/>
                </w:tcPr>
                <w:p w:rsidR="0027618F" w:rsidRPr="00D1043B" w:rsidRDefault="0027618F" w:rsidP="00D1043B">
                  <w:pPr>
                    <w:pStyle w:val="TableUnitsRow"/>
                  </w:pPr>
                  <w:r w:rsidRPr="00D1043B">
                    <w:t xml:space="preserve">  14.1</w:t>
                  </w:r>
                </w:p>
              </w:tc>
              <w:tc>
                <w:tcPr>
                  <w:tcW w:w="402" w:type="pct"/>
                  <w:vAlign w:val="bottom"/>
                </w:tcPr>
                <w:p w:rsidR="0027618F" w:rsidRPr="00D1043B" w:rsidRDefault="0027618F" w:rsidP="00D1043B">
                  <w:pPr>
                    <w:pStyle w:val="TableUnitsRow"/>
                  </w:pPr>
                  <w:r w:rsidRPr="00D1043B">
                    <w:t>..</w:t>
                  </w:r>
                </w:p>
              </w:tc>
              <w:tc>
                <w:tcPr>
                  <w:tcW w:w="397" w:type="pct"/>
                  <w:vAlign w:val="bottom"/>
                </w:tcPr>
                <w:p w:rsidR="0027618F" w:rsidRPr="00D1043B" w:rsidRDefault="0027618F" w:rsidP="00D1043B">
                  <w:pPr>
                    <w:pStyle w:val="TableUnitsRow"/>
                  </w:pPr>
                  <w:r w:rsidRPr="00D1043B">
                    <w:t xml:space="preserve">  2.6</w:t>
                  </w:r>
                </w:p>
              </w:tc>
            </w:tr>
            <w:tr w:rsidR="0027618F" w:rsidTr="0027618F">
              <w:tc>
                <w:tcPr>
                  <w:tcW w:w="1323" w:type="pct"/>
                </w:tcPr>
                <w:p w:rsidR="0027618F" w:rsidRDefault="0027618F" w:rsidP="00EB796A">
                  <w:pPr>
                    <w:pStyle w:val="TableBodyText"/>
                    <w:ind w:left="120"/>
                    <w:jc w:val="left"/>
                  </w:pPr>
                  <w:r>
                    <w:t>Dental</w:t>
                  </w:r>
                </w:p>
              </w:tc>
              <w:tc>
                <w:tcPr>
                  <w:tcW w:w="397" w:type="pct"/>
                  <w:vAlign w:val="bottom"/>
                </w:tcPr>
                <w:p w:rsidR="0027618F" w:rsidRPr="00D1043B" w:rsidRDefault="0027618F" w:rsidP="00D1043B">
                  <w:pPr>
                    <w:pStyle w:val="TableUnitsRow"/>
                  </w:pPr>
                  <w:r w:rsidRPr="00D1043B">
                    <w:t xml:space="preserve">  1.8</w:t>
                  </w:r>
                </w:p>
              </w:tc>
              <w:tc>
                <w:tcPr>
                  <w:tcW w:w="391" w:type="pct"/>
                  <w:vAlign w:val="bottom"/>
                </w:tcPr>
                <w:p w:rsidR="0027618F" w:rsidRPr="00D1043B" w:rsidRDefault="0027618F" w:rsidP="00D1043B">
                  <w:pPr>
                    <w:pStyle w:val="TableUnitsRow"/>
                  </w:pPr>
                  <w:r w:rsidRPr="00D1043B">
                    <w:t xml:space="preserve">  5.7</w:t>
                  </w:r>
                </w:p>
              </w:tc>
              <w:tc>
                <w:tcPr>
                  <w:tcW w:w="415" w:type="pct"/>
                  <w:gridSpan w:val="2"/>
                  <w:vAlign w:val="bottom"/>
                </w:tcPr>
                <w:p w:rsidR="0027618F" w:rsidRPr="00D1043B" w:rsidRDefault="0027618F" w:rsidP="00D1043B">
                  <w:pPr>
                    <w:pStyle w:val="TableUnitsRow"/>
                  </w:pPr>
                  <w:r w:rsidRPr="00D1043B">
                    <w:t>..</w:t>
                  </w:r>
                </w:p>
              </w:tc>
              <w:tc>
                <w:tcPr>
                  <w:tcW w:w="383" w:type="pct"/>
                  <w:gridSpan w:val="2"/>
                  <w:vAlign w:val="bottom"/>
                </w:tcPr>
                <w:p w:rsidR="0027618F" w:rsidRPr="00D1043B" w:rsidRDefault="0027618F" w:rsidP="00D1043B">
                  <w:pPr>
                    <w:pStyle w:val="TableUnitsRow"/>
                  </w:pPr>
                  <w:r w:rsidRPr="00D1043B">
                    <w:t xml:space="preserve">  0.2</w:t>
                  </w:r>
                </w:p>
              </w:tc>
              <w:tc>
                <w:tcPr>
                  <w:tcW w:w="418" w:type="pct"/>
                  <w:vAlign w:val="bottom"/>
                </w:tcPr>
                <w:p w:rsidR="0027618F" w:rsidRPr="00D1043B" w:rsidRDefault="0027618F" w:rsidP="00D1043B">
                  <w:pPr>
                    <w:pStyle w:val="TableUnitsRow"/>
                  </w:pPr>
                  <w:r w:rsidRPr="00D1043B">
                    <w:t xml:space="preserve">  0.4</w:t>
                  </w:r>
                </w:p>
              </w:tc>
              <w:tc>
                <w:tcPr>
                  <w:tcW w:w="445" w:type="pct"/>
                  <w:vAlign w:val="bottom"/>
                </w:tcPr>
                <w:p w:rsidR="0027618F" w:rsidRPr="00D1043B" w:rsidRDefault="0027618F" w:rsidP="00D1043B">
                  <w:pPr>
                    <w:pStyle w:val="TableUnitsRow"/>
                  </w:pPr>
                  <w:r w:rsidRPr="00D1043B">
                    <w:t>..</w:t>
                  </w:r>
                </w:p>
              </w:tc>
              <w:tc>
                <w:tcPr>
                  <w:tcW w:w="429" w:type="pct"/>
                  <w:vAlign w:val="bottom"/>
                </w:tcPr>
                <w:p w:rsidR="0027618F" w:rsidRPr="00D1043B" w:rsidRDefault="0027618F" w:rsidP="00D1043B">
                  <w:pPr>
                    <w:pStyle w:val="TableUnitsRow"/>
                  </w:pPr>
                  <w:r w:rsidRPr="00D1043B">
                    <w:t>..</w:t>
                  </w:r>
                </w:p>
              </w:tc>
              <w:tc>
                <w:tcPr>
                  <w:tcW w:w="402" w:type="pct"/>
                  <w:vAlign w:val="bottom"/>
                </w:tcPr>
                <w:p w:rsidR="0027618F" w:rsidRPr="00D1043B" w:rsidRDefault="0027618F" w:rsidP="00D1043B">
                  <w:pPr>
                    <w:pStyle w:val="TableUnitsRow"/>
                  </w:pPr>
                  <w:r w:rsidRPr="00D1043B">
                    <w:t>..</w:t>
                  </w:r>
                </w:p>
              </w:tc>
              <w:tc>
                <w:tcPr>
                  <w:tcW w:w="397" w:type="pct"/>
                  <w:vAlign w:val="bottom"/>
                </w:tcPr>
                <w:p w:rsidR="0027618F" w:rsidRPr="00D1043B" w:rsidRDefault="0027618F" w:rsidP="00D1043B">
                  <w:pPr>
                    <w:pStyle w:val="TableUnitsRow"/>
                  </w:pPr>
                  <w:r w:rsidRPr="00D1043B">
                    <w:t xml:space="preserve">  1.7</w:t>
                  </w:r>
                </w:p>
              </w:tc>
            </w:tr>
            <w:tr w:rsidR="0027618F" w:rsidTr="0027618F">
              <w:tc>
                <w:tcPr>
                  <w:tcW w:w="1323" w:type="pct"/>
                </w:tcPr>
                <w:p w:rsidR="0027618F" w:rsidRDefault="0027618F" w:rsidP="00EB796A">
                  <w:pPr>
                    <w:pStyle w:val="TableBodyText"/>
                    <w:ind w:left="120"/>
                    <w:jc w:val="left"/>
                  </w:pPr>
                  <w:r>
                    <w:t>Allied health</w:t>
                  </w:r>
                </w:p>
              </w:tc>
              <w:tc>
                <w:tcPr>
                  <w:tcW w:w="397" w:type="pct"/>
                  <w:vAlign w:val="bottom"/>
                </w:tcPr>
                <w:p w:rsidR="0027618F" w:rsidRPr="00D1043B" w:rsidRDefault="0027618F" w:rsidP="00D1043B">
                  <w:pPr>
                    <w:pStyle w:val="TableUnitsRow"/>
                  </w:pPr>
                  <w:r w:rsidRPr="00D1043B">
                    <w:t xml:space="preserve">  3.1</w:t>
                  </w:r>
                </w:p>
              </w:tc>
              <w:tc>
                <w:tcPr>
                  <w:tcW w:w="391" w:type="pct"/>
                  <w:vAlign w:val="bottom"/>
                </w:tcPr>
                <w:p w:rsidR="0027618F" w:rsidRPr="00D1043B" w:rsidRDefault="0027618F" w:rsidP="00D1043B">
                  <w:pPr>
                    <w:pStyle w:val="TableUnitsRow"/>
                  </w:pPr>
                  <w:r w:rsidRPr="00D1043B">
                    <w:t xml:space="preserve">  12.7</w:t>
                  </w:r>
                </w:p>
              </w:tc>
              <w:tc>
                <w:tcPr>
                  <w:tcW w:w="415" w:type="pct"/>
                  <w:gridSpan w:val="2"/>
                  <w:vAlign w:val="bottom"/>
                </w:tcPr>
                <w:p w:rsidR="0027618F" w:rsidRPr="00D1043B" w:rsidRDefault="0027618F" w:rsidP="00D1043B">
                  <w:pPr>
                    <w:pStyle w:val="TableUnitsRow"/>
                  </w:pPr>
                  <w:r w:rsidRPr="00D1043B">
                    <w:t xml:space="preserve">  6.2</w:t>
                  </w:r>
                </w:p>
              </w:tc>
              <w:tc>
                <w:tcPr>
                  <w:tcW w:w="383" w:type="pct"/>
                  <w:gridSpan w:val="2"/>
                  <w:vAlign w:val="bottom"/>
                </w:tcPr>
                <w:p w:rsidR="0027618F" w:rsidRPr="00D1043B" w:rsidRDefault="0027618F" w:rsidP="00D1043B">
                  <w:pPr>
                    <w:pStyle w:val="TableUnitsRow"/>
                  </w:pPr>
                  <w:r w:rsidRPr="00D1043B">
                    <w:t xml:space="preserve">  15.3</w:t>
                  </w:r>
                </w:p>
              </w:tc>
              <w:tc>
                <w:tcPr>
                  <w:tcW w:w="418" w:type="pct"/>
                  <w:vAlign w:val="bottom"/>
                </w:tcPr>
                <w:p w:rsidR="0027618F" w:rsidRPr="00D1043B" w:rsidRDefault="0027618F" w:rsidP="00D1043B">
                  <w:pPr>
                    <w:pStyle w:val="TableUnitsRow"/>
                  </w:pPr>
                  <w:r w:rsidRPr="00D1043B">
                    <w:t xml:space="preserve">  7.9</w:t>
                  </w:r>
                </w:p>
              </w:tc>
              <w:tc>
                <w:tcPr>
                  <w:tcW w:w="445" w:type="pct"/>
                  <w:vAlign w:val="bottom"/>
                </w:tcPr>
                <w:p w:rsidR="0027618F" w:rsidRPr="00D1043B" w:rsidRDefault="0027618F" w:rsidP="00D1043B">
                  <w:pPr>
                    <w:pStyle w:val="TableUnitsRow"/>
                  </w:pPr>
                  <w:r w:rsidRPr="00D1043B">
                    <w:t xml:space="preserve">  13.0</w:t>
                  </w:r>
                </w:p>
              </w:tc>
              <w:tc>
                <w:tcPr>
                  <w:tcW w:w="429" w:type="pct"/>
                  <w:vAlign w:val="bottom"/>
                </w:tcPr>
                <w:p w:rsidR="0027618F" w:rsidRPr="00D1043B" w:rsidRDefault="0027618F" w:rsidP="00D1043B">
                  <w:pPr>
                    <w:pStyle w:val="TableUnitsRow"/>
                  </w:pPr>
                  <w:r w:rsidRPr="00D1043B">
                    <w:t xml:space="preserve">  8.5</w:t>
                  </w:r>
                </w:p>
              </w:tc>
              <w:tc>
                <w:tcPr>
                  <w:tcW w:w="402" w:type="pct"/>
                  <w:vAlign w:val="bottom"/>
                </w:tcPr>
                <w:p w:rsidR="0027618F" w:rsidRPr="00D1043B" w:rsidRDefault="0027618F" w:rsidP="00D1043B">
                  <w:pPr>
                    <w:pStyle w:val="TableUnitsRow"/>
                  </w:pPr>
                  <w:r w:rsidRPr="00D1043B">
                    <w:t xml:space="preserve">  2.9</w:t>
                  </w:r>
                </w:p>
              </w:tc>
              <w:tc>
                <w:tcPr>
                  <w:tcW w:w="397" w:type="pct"/>
                  <w:vAlign w:val="bottom"/>
                </w:tcPr>
                <w:p w:rsidR="0027618F" w:rsidRPr="00D1043B" w:rsidRDefault="0027618F" w:rsidP="00D1043B">
                  <w:pPr>
                    <w:pStyle w:val="TableUnitsRow"/>
                  </w:pPr>
                  <w:r w:rsidRPr="00D1043B">
                    <w:t xml:space="preserve">  6.9</w:t>
                  </w:r>
                </w:p>
              </w:tc>
            </w:tr>
            <w:tr w:rsidR="0027618F" w:rsidTr="0027618F">
              <w:tc>
                <w:tcPr>
                  <w:tcW w:w="1323" w:type="pct"/>
                </w:tcPr>
                <w:p w:rsidR="0027618F" w:rsidRDefault="0027618F" w:rsidP="00EB796A">
                  <w:pPr>
                    <w:pStyle w:val="TableBodyText"/>
                    <w:ind w:left="120"/>
                    <w:jc w:val="left"/>
                  </w:pPr>
                  <w:r>
                    <w:t>Other non-admitted</w:t>
                  </w:r>
                </w:p>
              </w:tc>
              <w:tc>
                <w:tcPr>
                  <w:tcW w:w="397" w:type="pct"/>
                  <w:vAlign w:val="bottom"/>
                </w:tcPr>
                <w:p w:rsidR="0027618F" w:rsidRPr="00D1043B" w:rsidRDefault="0027618F" w:rsidP="00D1043B">
                  <w:pPr>
                    <w:pStyle w:val="TableUnitsRow"/>
                  </w:pPr>
                </w:p>
              </w:tc>
              <w:tc>
                <w:tcPr>
                  <w:tcW w:w="391" w:type="pct"/>
                  <w:vAlign w:val="bottom"/>
                </w:tcPr>
                <w:p w:rsidR="0027618F" w:rsidRPr="00D1043B" w:rsidRDefault="0027618F" w:rsidP="00D1043B">
                  <w:pPr>
                    <w:pStyle w:val="TableUnitsRow"/>
                  </w:pPr>
                </w:p>
              </w:tc>
              <w:tc>
                <w:tcPr>
                  <w:tcW w:w="415" w:type="pct"/>
                  <w:gridSpan w:val="2"/>
                  <w:vAlign w:val="bottom"/>
                </w:tcPr>
                <w:p w:rsidR="0027618F" w:rsidRPr="00D1043B" w:rsidRDefault="0027618F" w:rsidP="00D1043B">
                  <w:pPr>
                    <w:pStyle w:val="TableUnitsRow"/>
                  </w:pPr>
                </w:p>
              </w:tc>
              <w:tc>
                <w:tcPr>
                  <w:tcW w:w="383" w:type="pct"/>
                  <w:gridSpan w:val="2"/>
                  <w:vAlign w:val="bottom"/>
                </w:tcPr>
                <w:p w:rsidR="0027618F" w:rsidRPr="00D1043B" w:rsidRDefault="0027618F" w:rsidP="00D1043B">
                  <w:pPr>
                    <w:pStyle w:val="TableUnitsRow"/>
                  </w:pPr>
                </w:p>
              </w:tc>
              <w:tc>
                <w:tcPr>
                  <w:tcW w:w="418" w:type="pct"/>
                  <w:vAlign w:val="bottom"/>
                </w:tcPr>
                <w:p w:rsidR="0027618F" w:rsidRPr="00D1043B" w:rsidRDefault="0027618F" w:rsidP="00D1043B">
                  <w:pPr>
                    <w:pStyle w:val="TableUnitsRow"/>
                  </w:pPr>
                </w:p>
              </w:tc>
              <w:tc>
                <w:tcPr>
                  <w:tcW w:w="445" w:type="pct"/>
                  <w:vAlign w:val="bottom"/>
                </w:tcPr>
                <w:p w:rsidR="0027618F" w:rsidRPr="00D1043B" w:rsidRDefault="0027618F" w:rsidP="00D1043B">
                  <w:pPr>
                    <w:pStyle w:val="TableUnitsRow"/>
                  </w:pPr>
                </w:p>
              </w:tc>
              <w:tc>
                <w:tcPr>
                  <w:tcW w:w="429" w:type="pct"/>
                  <w:vAlign w:val="bottom"/>
                </w:tcPr>
                <w:p w:rsidR="0027618F" w:rsidRPr="00D1043B" w:rsidRDefault="0027618F" w:rsidP="00D1043B">
                  <w:pPr>
                    <w:pStyle w:val="TableUnitsRow"/>
                  </w:pPr>
                </w:p>
              </w:tc>
              <w:tc>
                <w:tcPr>
                  <w:tcW w:w="402" w:type="pct"/>
                  <w:vAlign w:val="bottom"/>
                </w:tcPr>
                <w:p w:rsidR="0027618F" w:rsidRPr="00D1043B" w:rsidRDefault="0027618F" w:rsidP="00D1043B">
                  <w:pPr>
                    <w:pStyle w:val="TableUnitsRow"/>
                  </w:pPr>
                </w:p>
              </w:tc>
              <w:tc>
                <w:tcPr>
                  <w:tcW w:w="397" w:type="pct"/>
                  <w:vAlign w:val="bottom"/>
                </w:tcPr>
                <w:p w:rsidR="0027618F" w:rsidRPr="00D1043B" w:rsidRDefault="0027618F" w:rsidP="00D1043B">
                  <w:pPr>
                    <w:pStyle w:val="TableUnitsRow"/>
                  </w:pPr>
                </w:p>
              </w:tc>
            </w:tr>
            <w:tr w:rsidR="0027618F" w:rsidTr="0027618F">
              <w:tc>
                <w:tcPr>
                  <w:tcW w:w="1323" w:type="pct"/>
                </w:tcPr>
                <w:p w:rsidR="0027618F" w:rsidRDefault="0027618F" w:rsidP="00EB796A">
                  <w:pPr>
                    <w:pStyle w:val="TableBodyText"/>
                    <w:ind w:left="262"/>
                    <w:jc w:val="left"/>
                  </w:pPr>
                  <w:r>
                    <w:t>Community health</w:t>
                  </w:r>
                </w:p>
              </w:tc>
              <w:tc>
                <w:tcPr>
                  <w:tcW w:w="397" w:type="pct"/>
                  <w:vAlign w:val="bottom"/>
                </w:tcPr>
                <w:p w:rsidR="0027618F" w:rsidRPr="00D1043B" w:rsidRDefault="0027618F" w:rsidP="00D1043B">
                  <w:pPr>
                    <w:pStyle w:val="TableUnitsRow"/>
                  </w:pPr>
                  <w:r w:rsidRPr="00D1043B">
                    <w:t xml:space="preserve">  10.4</w:t>
                  </w:r>
                </w:p>
              </w:tc>
              <w:tc>
                <w:tcPr>
                  <w:tcW w:w="391" w:type="pct"/>
                  <w:vAlign w:val="bottom"/>
                </w:tcPr>
                <w:p w:rsidR="0027618F" w:rsidRPr="00D1043B" w:rsidRDefault="0027618F" w:rsidP="00D1043B">
                  <w:pPr>
                    <w:pStyle w:val="TableUnitsRow"/>
                  </w:pPr>
                  <w:r w:rsidRPr="00D1043B">
                    <w:t xml:space="preserve">  5.4</w:t>
                  </w:r>
                </w:p>
              </w:tc>
              <w:tc>
                <w:tcPr>
                  <w:tcW w:w="415" w:type="pct"/>
                  <w:gridSpan w:val="2"/>
                  <w:vAlign w:val="bottom"/>
                </w:tcPr>
                <w:p w:rsidR="0027618F" w:rsidRPr="00D1043B" w:rsidRDefault="0027618F" w:rsidP="00D1043B">
                  <w:pPr>
                    <w:pStyle w:val="TableUnitsRow"/>
                  </w:pPr>
                  <w:r w:rsidRPr="00D1043B">
                    <w:t xml:space="preserve">  2.1</w:t>
                  </w:r>
                </w:p>
              </w:tc>
              <w:tc>
                <w:tcPr>
                  <w:tcW w:w="383" w:type="pct"/>
                  <w:gridSpan w:val="2"/>
                  <w:vAlign w:val="bottom"/>
                </w:tcPr>
                <w:p w:rsidR="0027618F" w:rsidRPr="00D1043B" w:rsidRDefault="0027618F" w:rsidP="00D1043B">
                  <w:pPr>
                    <w:pStyle w:val="TableUnitsRow"/>
                  </w:pPr>
                  <w:r w:rsidRPr="00D1043B">
                    <w:t xml:space="preserve">  18.2</w:t>
                  </w:r>
                </w:p>
              </w:tc>
              <w:tc>
                <w:tcPr>
                  <w:tcW w:w="418" w:type="pct"/>
                  <w:vAlign w:val="bottom"/>
                </w:tcPr>
                <w:p w:rsidR="0027618F" w:rsidRPr="00D1043B" w:rsidRDefault="0027618F" w:rsidP="00D1043B">
                  <w:pPr>
                    <w:pStyle w:val="TableUnitsRow"/>
                  </w:pPr>
                  <w:r w:rsidRPr="00D1043B">
                    <w:t>..</w:t>
                  </w:r>
                </w:p>
              </w:tc>
              <w:tc>
                <w:tcPr>
                  <w:tcW w:w="445" w:type="pct"/>
                  <w:vAlign w:val="bottom"/>
                </w:tcPr>
                <w:p w:rsidR="0027618F" w:rsidRPr="00D1043B" w:rsidRDefault="0027618F" w:rsidP="00D1043B">
                  <w:pPr>
                    <w:pStyle w:val="TableUnitsRow"/>
                  </w:pPr>
                  <w:r w:rsidRPr="00D1043B">
                    <w:t xml:space="preserve">  2.8</w:t>
                  </w:r>
                </w:p>
              </w:tc>
              <w:tc>
                <w:tcPr>
                  <w:tcW w:w="429" w:type="pct"/>
                  <w:vAlign w:val="bottom"/>
                </w:tcPr>
                <w:p w:rsidR="0027618F" w:rsidRPr="00D1043B" w:rsidRDefault="0027618F" w:rsidP="00D1043B">
                  <w:pPr>
                    <w:pStyle w:val="TableUnitsRow"/>
                  </w:pPr>
                  <w:r w:rsidRPr="00D1043B">
                    <w:t xml:space="preserve">  9.1</w:t>
                  </w:r>
                </w:p>
              </w:tc>
              <w:tc>
                <w:tcPr>
                  <w:tcW w:w="402" w:type="pct"/>
                  <w:vAlign w:val="bottom"/>
                </w:tcPr>
                <w:p w:rsidR="0027618F" w:rsidRPr="00D1043B" w:rsidRDefault="0027618F" w:rsidP="00D1043B">
                  <w:pPr>
                    <w:pStyle w:val="TableUnitsRow"/>
                  </w:pPr>
                  <w:r w:rsidRPr="00D1043B">
                    <w:t>..</w:t>
                  </w:r>
                </w:p>
              </w:tc>
              <w:tc>
                <w:tcPr>
                  <w:tcW w:w="397" w:type="pct"/>
                  <w:vAlign w:val="bottom"/>
                </w:tcPr>
                <w:p w:rsidR="0027618F" w:rsidRPr="00D1043B" w:rsidRDefault="0027618F" w:rsidP="00D1043B">
                  <w:pPr>
                    <w:pStyle w:val="TableUnitsRow"/>
                  </w:pPr>
                  <w:r w:rsidRPr="00D1043B">
                    <w:t xml:space="preserve">  8.2</w:t>
                  </w:r>
                </w:p>
              </w:tc>
            </w:tr>
            <w:tr w:rsidR="0027618F" w:rsidTr="0027618F">
              <w:tc>
                <w:tcPr>
                  <w:tcW w:w="1323" w:type="pct"/>
                </w:tcPr>
                <w:p w:rsidR="0027618F" w:rsidRDefault="0027618F" w:rsidP="00EB796A">
                  <w:pPr>
                    <w:pStyle w:val="TableBodyText"/>
                    <w:ind w:left="262"/>
                    <w:jc w:val="left"/>
                  </w:pPr>
                  <w:r>
                    <w:t>District nursing</w:t>
                  </w:r>
                  <w:r w:rsidRPr="003F0DC1">
                    <w:rPr>
                      <w:rStyle w:val="NoteLabel"/>
                    </w:rPr>
                    <w:t>d</w:t>
                  </w:r>
                </w:p>
              </w:tc>
              <w:tc>
                <w:tcPr>
                  <w:tcW w:w="397" w:type="pct"/>
                  <w:vAlign w:val="bottom"/>
                </w:tcPr>
                <w:p w:rsidR="0027618F" w:rsidRPr="00D1043B" w:rsidRDefault="0027618F" w:rsidP="00D1043B">
                  <w:pPr>
                    <w:pStyle w:val="TableUnitsRow"/>
                  </w:pPr>
                  <w:r w:rsidRPr="00D1043B">
                    <w:t xml:space="preserve">  6.7</w:t>
                  </w:r>
                </w:p>
              </w:tc>
              <w:tc>
                <w:tcPr>
                  <w:tcW w:w="391" w:type="pct"/>
                  <w:vAlign w:val="bottom"/>
                </w:tcPr>
                <w:p w:rsidR="0027618F" w:rsidRPr="00D1043B" w:rsidRDefault="0027618F" w:rsidP="00D1043B">
                  <w:pPr>
                    <w:pStyle w:val="TableUnitsRow"/>
                  </w:pPr>
                  <w:r w:rsidRPr="00D1043B">
                    <w:t xml:space="preserve">  2.0</w:t>
                  </w:r>
                </w:p>
              </w:tc>
              <w:tc>
                <w:tcPr>
                  <w:tcW w:w="415" w:type="pct"/>
                  <w:gridSpan w:val="2"/>
                  <w:vAlign w:val="bottom"/>
                </w:tcPr>
                <w:p w:rsidR="0027618F" w:rsidRPr="00D1043B" w:rsidRDefault="0027618F" w:rsidP="00D1043B">
                  <w:pPr>
                    <w:pStyle w:val="TableUnitsRow"/>
                  </w:pPr>
                  <w:r w:rsidRPr="00D1043B">
                    <w:t>..</w:t>
                  </w:r>
                </w:p>
              </w:tc>
              <w:tc>
                <w:tcPr>
                  <w:tcW w:w="383" w:type="pct"/>
                  <w:gridSpan w:val="2"/>
                  <w:vAlign w:val="bottom"/>
                </w:tcPr>
                <w:p w:rsidR="0027618F" w:rsidRPr="00D1043B" w:rsidRDefault="0027618F" w:rsidP="00D1043B">
                  <w:pPr>
                    <w:pStyle w:val="TableUnitsRow"/>
                  </w:pPr>
                  <w:r w:rsidRPr="00D1043B">
                    <w:t xml:space="preserve">  2.0</w:t>
                  </w:r>
                </w:p>
              </w:tc>
              <w:tc>
                <w:tcPr>
                  <w:tcW w:w="418" w:type="pct"/>
                  <w:vAlign w:val="bottom"/>
                </w:tcPr>
                <w:p w:rsidR="0027618F" w:rsidRPr="00D1043B" w:rsidRDefault="0027618F" w:rsidP="00D1043B">
                  <w:pPr>
                    <w:pStyle w:val="TableUnitsRow"/>
                  </w:pPr>
                  <w:r w:rsidRPr="00D1043B">
                    <w:t>..</w:t>
                  </w:r>
                </w:p>
              </w:tc>
              <w:tc>
                <w:tcPr>
                  <w:tcW w:w="445" w:type="pct"/>
                  <w:vAlign w:val="bottom"/>
                </w:tcPr>
                <w:p w:rsidR="0027618F" w:rsidRPr="00D1043B" w:rsidRDefault="0027618F" w:rsidP="00D1043B">
                  <w:pPr>
                    <w:pStyle w:val="TableUnitsRow"/>
                  </w:pPr>
                  <w:r w:rsidRPr="00D1043B">
                    <w:t>..</w:t>
                  </w:r>
                </w:p>
              </w:tc>
              <w:tc>
                <w:tcPr>
                  <w:tcW w:w="429" w:type="pct"/>
                  <w:vAlign w:val="bottom"/>
                </w:tcPr>
                <w:p w:rsidR="0027618F" w:rsidRPr="00D1043B" w:rsidRDefault="0027618F" w:rsidP="00D1043B">
                  <w:pPr>
                    <w:pStyle w:val="TableUnitsRow"/>
                  </w:pPr>
                  <w:r w:rsidRPr="00D1043B">
                    <w:t>..</w:t>
                  </w:r>
                </w:p>
              </w:tc>
              <w:tc>
                <w:tcPr>
                  <w:tcW w:w="402" w:type="pct"/>
                  <w:vAlign w:val="bottom"/>
                </w:tcPr>
                <w:p w:rsidR="0027618F" w:rsidRPr="00D1043B" w:rsidRDefault="0027618F" w:rsidP="00D1043B">
                  <w:pPr>
                    <w:pStyle w:val="TableUnitsRow"/>
                  </w:pPr>
                  <w:r w:rsidRPr="00D1043B">
                    <w:t>..</w:t>
                  </w:r>
                </w:p>
              </w:tc>
              <w:tc>
                <w:tcPr>
                  <w:tcW w:w="397" w:type="pct"/>
                  <w:vAlign w:val="bottom"/>
                </w:tcPr>
                <w:p w:rsidR="0027618F" w:rsidRPr="00D1043B" w:rsidRDefault="0027618F" w:rsidP="00D1043B">
                  <w:pPr>
                    <w:pStyle w:val="TableUnitsRow"/>
                  </w:pPr>
                  <w:r w:rsidRPr="00D1043B">
                    <w:t xml:space="preserve">  3.5</w:t>
                  </w:r>
                </w:p>
              </w:tc>
            </w:tr>
            <w:tr w:rsidR="0027618F" w:rsidTr="0027618F">
              <w:tc>
                <w:tcPr>
                  <w:tcW w:w="1323" w:type="pct"/>
                </w:tcPr>
                <w:p w:rsidR="0027618F" w:rsidRPr="004939AA" w:rsidRDefault="0027618F" w:rsidP="00EB796A">
                  <w:pPr>
                    <w:pStyle w:val="TableBodyText"/>
                    <w:jc w:val="left"/>
                    <w:rPr>
                      <w:b/>
                    </w:rPr>
                  </w:pPr>
                  <w:r w:rsidRPr="004939AA">
                    <w:rPr>
                      <w:b/>
                    </w:rPr>
                    <w:t>Most common occasions of service (%)</w:t>
                  </w:r>
                </w:p>
              </w:tc>
              <w:tc>
                <w:tcPr>
                  <w:tcW w:w="397" w:type="pct"/>
                  <w:vAlign w:val="bottom"/>
                </w:tcPr>
                <w:p w:rsidR="0027618F" w:rsidRPr="00185790" w:rsidRDefault="0027618F" w:rsidP="00D1043B">
                  <w:pPr>
                    <w:pStyle w:val="TableUnitsRow"/>
                    <w:rPr>
                      <w:b/>
                    </w:rPr>
                  </w:pPr>
                  <w:r w:rsidRPr="00185790">
                    <w:rPr>
                      <w:b/>
                    </w:rPr>
                    <w:t xml:space="preserve">  91.5</w:t>
                  </w:r>
                </w:p>
              </w:tc>
              <w:tc>
                <w:tcPr>
                  <w:tcW w:w="391" w:type="pct"/>
                  <w:vAlign w:val="bottom"/>
                </w:tcPr>
                <w:p w:rsidR="0027618F" w:rsidRPr="00185790" w:rsidRDefault="0027618F" w:rsidP="00D1043B">
                  <w:pPr>
                    <w:pStyle w:val="TableUnitsRow"/>
                    <w:rPr>
                      <w:b/>
                    </w:rPr>
                  </w:pPr>
                  <w:r w:rsidRPr="00185790">
                    <w:rPr>
                      <w:b/>
                    </w:rPr>
                    <w:t xml:space="preserve">  97.2</w:t>
                  </w:r>
                </w:p>
              </w:tc>
              <w:tc>
                <w:tcPr>
                  <w:tcW w:w="415" w:type="pct"/>
                  <w:gridSpan w:val="2"/>
                  <w:vAlign w:val="bottom"/>
                </w:tcPr>
                <w:p w:rsidR="0027618F" w:rsidRPr="00185790" w:rsidRDefault="0027618F" w:rsidP="00D1043B">
                  <w:pPr>
                    <w:pStyle w:val="TableUnitsRow"/>
                    <w:rPr>
                      <w:b/>
                    </w:rPr>
                  </w:pPr>
                  <w:r w:rsidRPr="00185790">
                    <w:rPr>
                      <w:b/>
                    </w:rPr>
                    <w:t xml:space="preserve">  98.3</w:t>
                  </w:r>
                </w:p>
              </w:tc>
              <w:tc>
                <w:tcPr>
                  <w:tcW w:w="383" w:type="pct"/>
                  <w:gridSpan w:val="2"/>
                  <w:vAlign w:val="bottom"/>
                </w:tcPr>
                <w:p w:rsidR="0027618F" w:rsidRPr="00185790" w:rsidRDefault="0027618F" w:rsidP="00D1043B">
                  <w:pPr>
                    <w:pStyle w:val="TableUnitsRow"/>
                    <w:rPr>
                      <w:b/>
                    </w:rPr>
                  </w:pPr>
                  <w:r w:rsidRPr="00185790">
                    <w:rPr>
                      <w:b/>
                    </w:rPr>
                    <w:t xml:space="preserve">  98.2</w:t>
                  </w:r>
                </w:p>
              </w:tc>
              <w:tc>
                <w:tcPr>
                  <w:tcW w:w="418" w:type="pct"/>
                  <w:vAlign w:val="bottom"/>
                </w:tcPr>
                <w:p w:rsidR="0027618F" w:rsidRPr="00185790" w:rsidRDefault="0027618F" w:rsidP="00D1043B">
                  <w:pPr>
                    <w:pStyle w:val="TableUnitsRow"/>
                    <w:rPr>
                      <w:b/>
                    </w:rPr>
                  </w:pPr>
                  <w:r w:rsidRPr="00185790">
                    <w:rPr>
                      <w:b/>
                    </w:rPr>
                    <w:t xml:space="preserve">  87.4</w:t>
                  </w:r>
                </w:p>
              </w:tc>
              <w:tc>
                <w:tcPr>
                  <w:tcW w:w="445" w:type="pct"/>
                  <w:vAlign w:val="bottom"/>
                </w:tcPr>
                <w:p w:rsidR="0027618F" w:rsidRPr="00185790" w:rsidRDefault="0027618F" w:rsidP="00D1043B">
                  <w:pPr>
                    <w:pStyle w:val="TableUnitsRow"/>
                    <w:rPr>
                      <w:b/>
                    </w:rPr>
                  </w:pPr>
                  <w:r w:rsidRPr="00185790">
                    <w:rPr>
                      <w:b/>
                    </w:rPr>
                    <w:t xml:space="preserve">  100.0</w:t>
                  </w:r>
                </w:p>
              </w:tc>
              <w:tc>
                <w:tcPr>
                  <w:tcW w:w="429" w:type="pct"/>
                  <w:vAlign w:val="bottom"/>
                </w:tcPr>
                <w:p w:rsidR="0027618F" w:rsidRPr="00185790" w:rsidRDefault="0027618F" w:rsidP="00D1043B">
                  <w:pPr>
                    <w:pStyle w:val="TableUnitsRow"/>
                    <w:rPr>
                      <w:b/>
                    </w:rPr>
                  </w:pPr>
                  <w:r w:rsidRPr="00185790">
                    <w:rPr>
                      <w:b/>
                    </w:rPr>
                    <w:t xml:space="preserve">  99.8</w:t>
                  </w:r>
                </w:p>
              </w:tc>
              <w:tc>
                <w:tcPr>
                  <w:tcW w:w="402" w:type="pct"/>
                  <w:vAlign w:val="bottom"/>
                </w:tcPr>
                <w:p w:rsidR="0027618F" w:rsidRPr="00185790" w:rsidRDefault="0027618F" w:rsidP="00D1043B">
                  <w:pPr>
                    <w:pStyle w:val="TableUnitsRow"/>
                    <w:rPr>
                      <w:b/>
                    </w:rPr>
                  </w:pPr>
                  <w:r w:rsidRPr="00185790">
                    <w:rPr>
                      <w:b/>
                    </w:rPr>
                    <w:t xml:space="preserve">  98.9</w:t>
                  </w:r>
                </w:p>
              </w:tc>
              <w:tc>
                <w:tcPr>
                  <w:tcW w:w="397" w:type="pct"/>
                  <w:vAlign w:val="bottom"/>
                </w:tcPr>
                <w:p w:rsidR="0027618F" w:rsidRPr="00185790" w:rsidRDefault="0027618F" w:rsidP="00D1043B">
                  <w:pPr>
                    <w:pStyle w:val="TableUnitsRow"/>
                    <w:rPr>
                      <w:b/>
                    </w:rPr>
                  </w:pPr>
                  <w:r w:rsidRPr="00185790">
                    <w:rPr>
                      <w:b/>
                    </w:rPr>
                    <w:t xml:space="preserve">  94.7</w:t>
                  </w:r>
                </w:p>
              </w:tc>
            </w:tr>
            <w:tr w:rsidR="0027618F" w:rsidTr="0027618F">
              <w:tc>
                <w:tcPr>
                  <w:tcW w:w="1323" w:type="pct"/>
                  <w:tcBorders>
                    <w:bottom w:val="single" w:sz="6" w:space="0" w:color="BFBFBF"/>
                  </w:tcBorders>
                  <w:shd w:val="clear" w:color="auto" w:fill="auto"/>
                </w:tcPr>
                <w:p w:rsidR="0027618F" w:rsidRPr="004939AA" w:rsidRDefault="0027618F" w:rsidP="00EB796A">
                  <w:pPr>
                    <w:pStyle w:val="TableBodyText"/>
                    <w:jc w:val="left"/>
                    <w:rPr>
                      <w:b/>
                    </w:rPr>
                  </w:pPr>
                  <w:r w:rsidRPr="004939AA">
                    <w:rPr>
                      <w:b/>
                    </w:rPr>
                    <w:t>Total occasions of service (’000)</w:t>
                  </w:r>
                </w:p>
              </w:tc>
              <w:tc>
                <w:tcPr>
                  <w:tcW w:w="397" w:type="pct"/>
                  <w:tcBorders>
                    <w:bottom w:val="single" w:sz="6" w:space="0" w:color="BFBFBF"/>
                  </w:tcBorders>
                  <w:vAlign w:val="bottom"/>
                </w:tcPr>
                <w:p w:rsidR="0027618F" w:rsidRPr="00D1043B" w:rsidRDefault="0027618F" w:rsidP="00D1043B">
                  <w:pPr>
                    <w:pStyle w:val="TableUnitsRow"/>
                    <w:rPr>
                      <w:b/>
                    </w:rPr>
                  </w:pPr>
                  <w:r w:rsidRPr="00D1043B">
                    <w:rPr>
                      <w:b/>
                    </w:rPr>
                    <w:t>24 412</w:t>
                  </w:r>
                </w:p>
              </w:tc>
              <w:tc>
                <w:tcPr>
                  <w:tcW w:w="391" w:type="pct"/>
                  <w:tcBorders>
                    <w:bottom w:val="single" w:sz="6" w:space="0" w:color="BFBFBF"/>
                  </w:tcBorders>
                  <w:vAlign w:val="bottom"/>
                </w:tcPr>
                <w:p w:rsidR="0027618F" w:rsidRPr="00D1043B" w:rsidRDefault="0027618F" w:rsidP="00D1043B">
                  <w:pPr>
                    <w:pStyle w:val="TableUnitsRow"/>
                    <w:rPr>
                      <w:b/>
                    </w:rPr>
                  </w:pPr>
                  <w:r w:rsidRPr="00D1043B">
                    <w:rPr>
                      <w:b/>
                    </w:rPr>
                    <w:t>7 925</w:t>
                  </w:r>
                </w:p>
              </w:tc>
              <w:tc>
                <w:tcPr>
                  <w:tcW w:w="415" w:type="pct"/>
                  <w:gridSpan w:val="2"/>
                  <w:tcBorders>
                    <w:bottom w:val="single" w:sz="6" w:space="0" w:color="BFBFBF"/>
                  </w:tcBorders>
                  <w:vAlign w:val="bottom"/>
                </w:tcPr>
                <w:p w:rsidR="0027618F" w:rsidRPr="00D1043B" w:rsidRDefault="0027618F" w:rsidP="00D1043B">
                  <w:pPr>
                    <w:pStyle w:val="TableUnitsRow"/>
                    <w:rPr>
                      <w:b/>
                    </w:rPr>
                  </w:pPr>
                  <w:r w:rsidRPr="00D1043B">
                    <w:rPr>
                      <w:b/>
                    </w:rPr>
                    <w:t>10 835</w:t>
                  </w:r>
                </w:p>
              </w:tc>
              <w:tc>
                <w:tcPr>
                  <w:tcW w:w="383" w:type="pct"/>
                  <w:gridSpan w:val="2"/>
                  <w:tcBorders>
                    <w:bottom w:val="single" w:sz="6" w:space="0" w:color="BFBFBF"/>
                  </w:tcBorders>
                  <w:vAlign w:val="bottom"/>
                </w:tcPr>
                <w:p w:rsidR="0027618F" w:rsidRPr="00D1043B" w:rsidRDefault="0027618F" w:rsidP="00D1043B">
                  <w:pPr>
                    <w:pStyle w:val="TableUnitsRow"/>
                    <w:rPr>
                      <w:b/>
                    </w:rPr>
                  </w:pPr>
                  <w:r w:rsidRPr="00D1043B">
                    <w:rPr>
                      <w:b/>
                    </w:rPr>
                    <w:t>5 823</w:t>
                  </w:r>
                </w:p>
              </w:tc>
              <w:tc>
                <w:tcPr>
                  <w:tcW w:w="418" w:type="pct"/>
                  <w:tcBorders>
                    <w:bottom w:val="single" w:sz="6" w:space="0" w:color="BFBFBF"/>
                  </w:tcBorders>
                  <w:vAlign w:val="bottom"/>
                </w:tcPr>
                <w:p w:rsidR="0027618F" w:rsidRPr="00D1043B" w:rsidRDefault="0027618F" w:rsidP="00D1043B">
                  <w:pPr>
                    <w:pStyle w:val="TableUnitsRow"/>
                    <w:rPr>
                      <w:b/>
                    </w:rPr>
                  </w:pPr>
                  <w:r w:rsidRPr="00D1043B">
                    <w:rPr>
                      <w:b/>
                    </w:rPr>
                    <w:t>2 168</w:t>
                  </w:r>
                </w:p>
              </w:tc>
              <w:tc>
                <w:tcPr>
                  <w:tcW w:w="445" w:type="pct"/>
                  <w:tcBorders>
                    <w:bottom w:val="single" w:sz="6" w:space="0" w:color="BFBFBF"/>
                  </w:tcBorders>
                  <w:vAlign w:val="bottom"/>
                </w:tcPr>
                <w:p w:rsidR="0027618F" w:rsidRPr="00D1043B" w:rsidRDefault="0027618F" w:rsidP="00D1043B">
                  <w:pPr>
                    <w:pStyle w:val="TableUnitsRow"/>
                    <w:rPr>
                      <w:b/>
                    </w:rPr>
                  </w:pPr>
                  <w:r w:rsidRPr="00D1043B">
                    <w:rPr>
                      <w:b/>
                    </w:rPr>
                    <w:t>482</w:t>
                  </w:r>
                </w:p>
              </w:tc>
              <w:tc>
                <w:tcPr>
                  <w:tcW w:w="429" w:type="pct"/>
                  <w:tcBorders>
                    <w:bottom w:val="single" w:sz="6" w:space="0" w:color="BFBFBF"/>
                  </w:tcBorders>
                  <w:vAlign w:val="bottom"/>
                </w:tcPr>
                <w:p w:rsidR="0027618F" w:rsidRPr="00D1043B" w:rsidRDefault="0027618F" w:rsidP="00D1043B">
                  <w:pPr>
                    <w:pStyle w:val="TableUnitsRow"/>
                    <w:rPr>
                      <w:b/>
                    </w:rPr>
                  </w:pPr>
                  <w:r w:rsidRPr="00D1043B">
                    <w:rPr>
                      <w:b/>
                    </w:rPr>
                    <w:t>1 870</w:t>
                  </w:r>
                </w:p>
              </w:tc>
              <w:tc>
                <w:tcPr>
                  <w:tcW w:w="402" w:type="pct"/>
                  <w:tcBorders>
                    <w:bottom w:val="single" w:sz="6" w:space="0" w:color="BFBFBF"/>
                  </w:tcBorders>
                  <w:shd w:val="clear" w:color="auto" w:fill="auto"/>
                  <w:vAlign w:val="bottom"/>
                </w:tcPr>
                <w:p w:rsidR="0027618F" w:rsidRPr="00D1043B" w:rsidRDefault="0027618F" w:rsidP="00D1043B">
                  <w:pPr>
                    <w:pStyle w:val="TableUnitsRow"/>
                    <w:rPr>
                      <w:b/>
                    </w:rPr>
                  </w:pPr>
                  <w:r w:rsidRPr="00D1043B">
                    <w:rPr>
                      <w:b/>
                    </w:rPr>
                    <w:t>600</w:t>
                  </w:r>
                </w:p>
              </w:tc>
              <w:tc>
                <w:tcPr>
                  <w:tcW w:w="397" w:type="pct"/>
                  <w:tcBorders>
                    <w:bottom w:val="single" w:sz="6" w:space="0" w:color="BFBFBF"/>
                  </w:tcBorders>
                  <w:shd w:val="clear" w:color="auto" w:fill="auto"/>
                  <w:vAlign w:val="bottom"/>
                </w:tcPr>
                <w:p w:rsidR="0027618F" w:rsidRPr="00D1043B" w:rsidRDefault="0027618F" w:rsidP="00D1043B">
                  <w:pPr>
                    <w:pStyle w:val="TableUnitsRow"/>
                    <w:rPr>
                      <w:b/>
                    </w:rPr>
                  </w:pPr>
                  <w:r w:rsidRPr="00D1043B">
                    <w:rPr>
                      <w:b/>
                    </w:rPr>
                    <w:t>54 115</w:t>
                  </w:r>
                </w:p>
              </w:tc>
            </w:tr>
          </w:tbl>
          <w:p w:rsidR="00F81BE4" w:rsidRDefault="00F81BE4" w:rsidP="00EB796A">
            <w:pPr>
              <w:pStyle w:val="Box"/>
            </w:pPr>
          </w:p>
        </w:tc>
      </w:tr>
      <w:tr w:rsidR="00F81BE4" w:rsidTr="00EB796A">
        <w:trPr>
          <w:cantSplit/>
        </w:trPr>
        <w:tc>
          <w:tcPr>
            <w:tcW w:w="8771" w:type="dxa"/>
            <w:tcBorders>
              <w:top w:val="nil"/>
              <w:left w:val="nil"/>
              <w:bottom w:val="nil"/>
              <w:right w:val="nil"/>
            </w:tcBorders>
            <w:shd w:val="clear" w:color="auto" w:fill="auto"/>
          </w:tcPr>
          <w:p w:rsidR="00F81BE4" w:rsidRDefault="00F81BE4" w:rsidP="003D6635">
            <w:pPr>
              <w:pStyle w:val="Note"/>
              <w:rPr>
                <w:i/>
              </w:rPr>
            </w:pPr>
            <w:proofErr w:type="spellStart"/>
            <w:r w:rsidRPr="008E77FE">
              <w:rPr>
                <w:rStyle w:val="NoteLabel"/>
              </w:rPr>
              <w:t>a</w:t>
            </w:r>
            <w:proofErr w:type="spellEnd"/>
            <w:r>
              <w:t xml:space="preserve"> </w:t>
            </w:r>
            <w:r w:rsidR="005739A0" w:rsidRPr="005739A0">
              <w:t xml:space="preserve">Individual non-admitted patient care services. Excludes group sessions. Reporting arrangements vary significantly across jurisdictions. </w:t>
            </w:r>
            <w:r w:rsidR="005739A0" w:rsidRPr="005739A0">
              <w:rPr>
                <w:rStyle w:val="NoteLabel"/>
              </w:rPr>
              <w:t>b</w:t>
            </w:r>
            <w:r w:rsidR="005739A0" w:rsidRPr="005739A0">
              <w:t xml:space="preserve"> Radiology data for the NT are underestimated and pathology data relate to only three of the five hospitals. </w:t>
            </w:r>
            <w:r w:rsidR="005739A0" w:rsidRPr="005739A0">
              <w:rPr>
                <w:rStyle w:val="NoteLabel"/>
              </w:rPr>
              <w:t>c</w:t>
            </w:r>
            <w:r w:rsidR="005739A0" w:rsidRPr="005739A0">
              <w:t xml:space="preserve"> Justice Health in NSW reported a large number of occasions of service that may not be typical of pharmacy. </w:t>
            </w:r>
            <w:r w:rsidR="005739A0" w:rsidRPr="005739A0">
              <w:rPr>
                <w:rStyle w:val="NoteLabel"/>
              </w:rPr>
              <w:t>d</w:t>
            </w:r>
            <w:r w:rsidR="005739A0" w:rsidRPr="005739A0">
              <w:t xml:space="preserve"> Justice Health in NSW reported a large number of occasions of service that may not be typical of district nursing.  </w:t>
            </w:r>
            <w:r w:rsidR="005739A0" w:rsidRPr="005739A0">
              <w:rPr>
                <w:b/>
              </w:rPr>
              <w:t>..</w:t>
            </w:r>
            <w:r w:rsidR="005739A0" w:rsidRPr="005739A0">
              <w:t xml:space="preserve"> Not applicable. </w:t>
            </w:r>
          </w:p>
        </w:tc>
      </w:tr>
      <w:tr w:rsidR="00F81BE4" w:rsidTr="00EB796A">
        <w:trPr>
          <w:cantSplit/>
        </w:trPr>
        <w:tc>
          <w:tcPr>
            <w:tcW w:w="8771" w:type="dxa"/>
            <w:tcBorders>
              <w:top w:val="nil"/>
              <w:left w:val="nil"/>
              <w:bottom w:val="nil"/>
              <w:right w:val="nil"/>
            </w:tcBorders>
            <w:shd w:val="clear" w:color="auto" w:fill="auto"/>
          </w:tcPr>
          <w:p w:rsidR="00F81BE4" w:rsidRDefault="00F81BE4" w:rsidP="009551A6">
            <w:pPr>
              <w:pStyle w:val="Source"/>
            </w:pPr>
            <w:r>
              <w:rPr>
                <w:i/>
              </w:rPr>
              <w:t>Source</w:t>
            </w:r>
            <w:r w:rsidRPr="00167F06">
              <w:t xml:space="preserve">: </w:t>
            </w:r>
            <w:r w:rsidR="00FF13E8" w:rsidRPr="00FF13E8">
              <w:t xml:space="preserve">AIHW (2014), </w:t>
            </w:r>
            <w:r w:rsidR="00FF13E8" w:rsidRPr="00FF13E8">
              <w:rPr>
                <w:i/>
              </w:rPr>
              <w:t>Australian Hospital Statistics 2012-13</w:t>
            </w:r>
            <w:r w:rsidR="00FF13E8" w:rsidRPr="00FF13E8">
              <w:t>, Health Services Series No. 54, Cat no.</w:t>
            </w:r>
            <w:r w:rsidR="009551A6">
              <w:t> </w:t>
            </w:r>
            <w:proofErr w:type="spellStart"/>
            <w:r w:rsidR="00FF13E8" w:rsidRPr="00FF13E8">
              <w:t>HSE</w:t>
            </w:r>
            <w:proofErr w:type="spellEnd"/>
            <w:r w:rsidR="00DA2079">
              <w:t> </w:t>
            </w:r>
            <w:r w:rsidR="00FF13E8" w:rsidRPr="00FF13E8">
              <w:t>145</w:t>
            </w:r>
            <w:r w:rsidR="005739A0" w:rsidRPr="005739A0">
              <w:t xml:space="preserve">; table </w:t>
            </w:r>
            <w:proofErr w:type="spellStart"/>
            <w:r w:rsidR="005739A0" w:rsidRPr="005739A0">
              <w:t>11A.1</w:t>
            </w:r>
            <w:r w:rsidR="00885D28">
              <w:t>7</w:t>
            </w:r>
            <w:proofErr w:type="spellEnd"/>
            <w:r w:rsidR="005739A0" w:rsidRPr="005739A0">
              <w:t>.</w:t>
            </w:r>
          </w:p>
        </w:tc>
      </w:tr>
      <w:tr w:rsidR="00F81BE4" w:rsidTr="00EB796A">
        <w:trPr>
          <w:cantSplit/>
        </w:trPr>
        <w:tc>
          <w:tcPr>
            <w:tcW w:w="8771" w:type="dxa"/>
            <w:tcBorders>
              <w:top w:val="nil"/>
              <w:left w:val="nil"/>
              <w:bottom w:val="single" w:sz="6" w:space="0" w:color="78A22F"/>
              <w:right w:val="nil"/>
            </w:tcBorders>
            <w:shd w:val="clear" w:color="auto" w:fill="auto"/>
          </w:tcPr>
          <w:p w:rsidR="00F81BE4" w:rsidRDefault="00F81BE4" w:rsidP="00EB796A">
            <w:pPr>
              <w:pStyle w:val="Box"/>
              <w:spacing w:before="0" w:line="120" w:lineRule="exact"/>
            </w:pPr>
          </w:p>
        </w:tc>
      </w:tr>
      <w:tr w:rsidR="00F81BE4" w:rsidRPr="000863A5" w:rsidTr="00EB796A">
        <w:tc>
          <w:tcPr>
            <w:tcW w:w="8771" w:type="dxa"/>
            <w:tcBorders>
              <w:top w:val="single" w:sz="6" w:space="0" w:color="78A22F"/>
              <w:left w:val="nil"/>
              <w:bottom w:val="nil"/>
              <w:right w:val="nil"/>
            </w:tcBorders>
          </w:tcPr>
          <w:p w:rsidR="00F81BE4" w:rsidRPr="00626D32" w:rsidRDefault="00F81BE4" w:rsidP="00EB796A">
            <w:pPr>
              <w:pStyle w:val="BoxSpaceBelow"/>
            </w:pPr>
          </w:p>
        </w:tc>
      </w:tr>
    </w:tbl>
    <w:p w:rsidR="00F81BE4" w:rsidRDefault="00F81BE4" w:rsidP="00F81BE4">
      <w:pPr>
        <w:pStyle w:val="BodyText"/>
      </w:pPr>
      <w:r>
        <w:t xml:space="preserve">There is considerable variation among states and territories and across reporting years in </w:t>
      </w:r>
      <w:r w:rsidR="00DA2079">
        <w:t>collection of</w:t>
      </w:r>
      <w:r>
        <w:t xml:space="preserve"> non-admitted patient occasions of service. Differing admission practices </w:t>
      </w:r>
      <w:r>
        <w:lastRenderedPageBreak/>
        <w:t>across states and territories also lead to variation among jurisdictions in the services reported (</w:t>
      </w:r>
      <w:proofErr w:type="spellStart"/>
      <w:r>
        <w:t>AIHW</w:t>
      </w:r>
      <w:proofErr w:type="spellEnd"/>
      <w:r>
        <w:t xml:space="preserve"> </w:t>
      </w:r>
      <w:proofErr w:type="spellStart"/>
      <w:r>
        <w:t>201</w:t>
      </w:r>
      <w:r w:rsidR="00816E0B">
        <w:t>4</w:t>
      </w:r>
      <w:r>
        <w:t>a</w:t>
      </w:r>
      <w:proofErr w:type="spellEnd"/>
      <w:r>
        <w:t>).</w:t>
      </w:r>
    </w:p>
    <w:p w:rsidR="00F81BE4" w:rsidRDefault="00F81BE4" w:rsidP="00F81BE4">
      <w:pPr>
        <w:pStyle w:val="Heading4"/>
      </w:pPr>
      <w:r>
        <w:t>Staff</w:t>
      </w:r>
    </w:p>
    <w:p w:rsidR="00320973" w:rsidRDefault="00F81BE4" w:rsidP="00F81BE4">
      <w:pPr>
        <w:pStyle w:val="BodyText"/>
      </w:pPr>
      <w:r>
        <w:t>In 201</w:t>
      </w:r>
      <w:r w:rsidR="00532248">
        <w:t>2</w:t>
      </w:r>
      <w:r>
        <w:t>-1</w:t>
      </w:r>
      <w:r w:rsidR="00532248">
        <w:t>3</w:t>
      </w:r>
      <w:r>
        <w:t>, nurses comprised the single largest group of full time equivalent (FTE) staff employed in public hospitals (5.</w:t>
      </w:r>
      <w:r w:rsidR="00532248">
        <w:t>4</w:t>
      </w:r>
      <w:r>
        <w:t xml:space="preserve"> per 1000 people) (figure 11.10). Comparing data on FTE staff across jurisdictions should be undertaken with care, because these data are affected by differences across jurisdictions in the recording and </w:t>
      </w:r>
      <w:r w:rsidR="002006A1">
        <w:t>classification</w:t>
      </w:r>
      <w:r>
        <w:t xml:space="preserve"> of staff. The outsourcing of services with a large labour related component (for example, food services and domestic services) can have a large impact on hospital staffing figures and can explain some of the differences in FTE staff in some staffing categories across jurisdictions (AIHW 2011).</w:t>
      </w:r>
    </w:p>
    <w:p w:rsidR="00F81BE4" w:rsidRDefault="00F81BE4" w:rsidP="00EB79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81BE4" w:rsidTr="00EB796A">
        <w:tc>
          <w:tcPr>
            <w:tcW w:w="8771" w:type="dxa"/>
            <w:tcBorders>
              <w:top w:val="single" w:sz="6" w:space="0" w:color="78A22F"/>
              <w:left w:val="nil"/>
              <w:bottom w:val="nil"/>
              <w:right w:val="nil"/>
            </w:tcBorders>
            <w:shd w:val="clear" w:color="auto" w:fill="auto"/>
          </w:tcPr>
          <w:p w:rsidR="00F81BE4" w:rsidRPr="00176D3F" w:rsidRDefault="00F81BE4" w:rsidP="00007065">
            <w:pPr>
              <w:pStyle w:val="FigureTitle"/>
            </w:pPr>
            <w:r w:rsidRPr="00784A05">
              <w:rPr>
                <w:b w:val="0"/>
              </w:rPr>
              <w:t xml:space="preserve">Figure </w:t>
            </w:r>
            <w:r>
              <w:rPr>
                <w:b w:val="0"/>
              </w:rPr>
              <w:t>11.</w:t>
            </w:r>
            <w:r w:rsidR="009A53E9">
              <w:rPr>
                <w:b w:val="0"/>
                <w:noProof/>
              </w:rPr>
              <w:t>10</w:t>
            </w:r>
            <w:r>
              <w:tab/>
            </w:r>
            <w:r w:rsidR="00853D5A">
              <w:t xml:space="preserve">Average FTE staff per 1000 people, public hospitals, </w:t>
            </w:r>
            <w:r w:rsidR="00532248">
              <w:br/>
            </w:r>
            <w:r w:rsidR="00853D5A">
              <w:t>2012-13</w:t>
            </w:r>
            <w:r w:rsidR="002006A1">
              <w:rPr>
                <w:rStyle w:val="NoteLabel"/>
                <w:b/>
                <w:szCs w:val="20"/>
              </w:rPr>
              <w:t>a, b, c, d</w:t>
            </w:r>
            <w:r w:rsidR="00EF6342">
              <w:rPr>
                <w:rStyle w:val="NoteLabel"/>
                <w:b/>
                <w:szCs w:val="20"/>
              </w:rPr>
              <w:t>, e</w:t>
            </w:r>
          </w:p>
        </w:tc>
      </w:tr>
      <w:tr w:rsidR="00F81BE4" w:rsidTr="00EB796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81BE4" w:rsidTr="00EB796A">
              <w:trPr>
                <w:jc w:val="center"/>
              </w:trPr>
              <w:tc>
                <w:tcPr>
                  <w:tcW w:w="5000" w:type="pct"/>
                  <w:tcBorders>
                    <w:top w:val="nil"/>
                    <w:bottom w:val="nil"/>
                  </w:tcBorders>
                </w:tcPr>
                <w:p w:rsidR="00F81BE4" w:rsidRDefault="001F000D" w:rsidP="00EB796A">
                  <w:pPr>
                    <w:pStyle w:val="Figure"/>
                    <w:spacing w:before="60" w:after="60"/>
                  </w:pPr>
                  <w:r>
                    <w:rPr>
                      <w:noProof/>
                    </w:rPr>
                    <w:drawing>
                      <wp:inline distT="0" distB="0" distL="0" distR="0">
                        <wp:extent cx="5391150" cy="2705100"/>
                        <wp:effectExtent l="0" t="0" r="0" b="0"/>
                        <wp:docPr id="11" name="Picture 11" descr="Figure 11.10 Average FTE staff per 1000 people, public hospitals, &#10;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F81BE4" w:rsidRDefault="00F81BE4" w:rsidP="00EB796A">
            <w:pPr>
              <w:pStyle w:val="Figure"/>
            </w:pPr>
          </w:p>
        </w:tc>
      </w:tr>
      <w:tr w:rsidR="00F81BE4" w:rsidRPr="00176D3F" w:rsidTr="00EB796A">
        <w:tc>
          <w:tcPr>
            <w:tcW w:w="8771" w:type="dxa"/>
            <w:tcBorders>
              <w:top w:val="nil"/>
              <w:left w:val="nil"/>
              <w:bottom w:val="nil"/>
              <w:right w:val="nil"/>
            </w:tcBorders>
            <w:shd w:val="clear" w:color="auto" w:fill="auto"/>
          </w:tcPr>
          <w:p w:rsidR="00F81BE4" w:rsidRPr="00176D3F" w:rsidRDefault="00F81BE4" w:rsidP="00EF6342">
            <w:pPr>
              <w:pStyle w:val="Note"/>
            </w:pPr>
            <w:r>
              <w:rPr>
                <w:rStyle w:val="NoteLabel"/>
              </w:rPr>
              <w:t>a</w:t>
            </w:r>
            <w:r>
              <w:t xml:space="preserve"> </w:t>
            </w:r>
            <w:r w:rsidR="005739A0" w:rsidRPr="005739A0">
              <w:t xml:space="preserve">‘Other staff’ include diagnostic and allied health professionals, other personal care staff, administrative and clerical staff, and domestic and other staff. </w:t>
            </w:r>
            <w:r w:rsidR="005739A0" w:rsidRPr="005739A0">
              <w:rPr>
                <w:rStyle w:val="NoteLabel"/>
              </w:rPr>
              <w:t>b</w:t>
            </w:r>
            <w:r w:rsidR="005739A0">
              <w:t xml:space="preserve"> </w:t>
            </w:r>
            <w:r w:rsidR="005739A0" w:rsidRPr="002901E9">
              <w:t>Staff per 1000 people are calculated from ABS population data at 31 December 201</w:t>
            </w:r>
            <w:r w:rsidR="003D6635" w:rsidRPr="002901E9">
              <w:t>2</w:t>
            </w:r>
            <w:r w:rsidR="005739A0" w:rsidRPr="002901E9">
              <w:t xml:space="preserve"> (table </w:t>
            </w:r>
            <w:proofErr w:type="spellStart"/>
            <w:r w:rsidR="005739A0" w:rsidRPr="002901E9">
              <w:t>2A.2</w:t>
            </w:r>
            <w:proofErr w:type="spellEnd"/>
            <w:r w:rsidR="005739A0" w:rsidRPr="002901E9">
              <w:t xml:space="preserve">). </w:t>
            </w:r>
            <w:r w:rsidR="006B16C7" w:rsidRPr="002901E9">
              <w:t>Pop</w:t>
            </w:r>
            <w:r w:rsidR="006B16C7" w:rsidRPr="00B56D2D">
              <w:t>ulation data used to derive rates are revised to the final 2011 Census rebased estimates and projections. Population data for All Australians for all years are estimates. See chapter 2 (table</w:t>
            </w:r>
            <w:r w:rsidR="002901E9">
              <w:t xml:space="preserve"> </w:t>
            </w:r>
            <w:proofErr w:type="spellStart"/>
            <w:r w:rsidR="002901E9">
              <w:t>2A.</w:t>
            </w:r>
            <w:r w:rsidR="006B16C7" w:rsidRPr="00B56D2D">
              <w:t>2</w:t>
            </w:r>
            <w:proofErr w:type="spellEnd"/>
            <w:r w:rsidR="006B16C7" w:rsidRPr="00B56D2D">
              <w:t>) for details.</w:t>
            </w:r>
            <w:r w:rsidR="002901E9">
              <w:t xml:space="preserve"> </w:t>
            </w:r>
            <w:r w:rsidR="005739A0" w:rsidRPr="005739A0">
              <w:rPr>
                <w:rStyle w:val="NoteLabel"/>
              </w:rPr>
              <w:t>c</w:t>
            </w:r>
            <w:r w:rsidR="005739A0" w:rsidRPr="005739A0">
              <w:t xml:space="preserve"> Queensland pathology services staff employed by the State pathology service are not included. </w:t>
            </w:r>
            <w:r w:rsidR="002006A1" w:rsidRPr="005739A0">
              <w:rPr>
                <w:rStyle w:val="NoteLabel"/>
              </w:rPr>
              <w:t>d</w:t>
            </w:r>
            <w:r w:rsidR="005739A0" w:rsidRPr="005739A0">
              <w:t xml:space="preserve"> Data for two small Tasmanian hospitals are not included.</w:t>
            </w:r>
            <w:r w:rsidR="00EF6342">
              <w:t xml:space="preserve"> </w:t>
            </w:r>
            <w:r w:rsidR="00EF6342" w:rsidRPr="00AE0A87">
              <w:rPr>
                <w:rStyle w:val="NoteLabel"/>
              </w:rPr>
              <w:t>e </w:t>
            </w:r>
            <w:r w:rsidR="00EF6342" w:rsidRPr="00AE0A87">
              <w:t>Caution should be used in comparing data for the ACT with other jurisdictions as the ACT workforce serves many residents of southern NSW in addition to ACT residents, while only ACT residents are captured in the denominator.</w:t>
            </w:r>
          </w:p>
        </w:tc>
      </w:tr>
      <w:tr w:rsidR="00F81BE4" w:rsidRPr="00176D3F" w:rsidTr="00EB796A">
        <w:tc>
          <w:tcPr>
            <w:tcW w:w="8771" w:type="dxa"/>
            <w:tcBorders>
              <w:top w:val="nil"/>
              <w:left w:val="nil"/>
              <w:bottom w:val="nil"/>
              <w:right w:val="nil"/>
            </w:tcBorders>
            <w:shd w:val="clear" w:color="auto" w:fill="auto"/>
          </w:tcPr>
          <w:p w:rsidR="00F81BE4" w:rsidRPr="00176D3F" w:rsidRDefault="00F81BE4" w:rsidP="009551A6">
            <w:pPr>
              <w:pStyle w:val="Source"/>
            </w:pPr>
            <w:r>
              <w:rPr>
                <w:i/>
              </w:rPr>
              <w:t>S</w:t>
            </w:r>
            <w:r w:rsidRPr="00784A05">
              <w:rPr>
                <w:i/>
              </w:rPr>
              <w:t>ource</w:t>
            </w:r>
            <w:r w:rsidRPr="00176D3F">
              <w:t xml:space="preserve">: </w:t>
            </w:r>
            <w:r w:rsidR="00FF13E8" w:rsidRPr="00FF13E8">
              <w:t xml:space="preserve">AIHW (2014), </w:t>
            </w:r>
            <w:r w:rsidR="00FF13E8" w:rsidRPr="00FF13E8">
              <w:rPr>
                <w:i/>
              </w:rPr>
              <w:t>Australian Hospital Statistics 2012-13</w:t>
            </w:r>
            <w:r w:rsidR="00FF13E8" w:rsidRPr="00FF13E8">
              <w:t>, Health Services Series No. 54, Cat no.</w:t>
            </w:r>
            <w:r w:rsidR="009551A6">
              <w:t> </w:t>
            </w:r>
            <w:proofErr w:type="spellStart"/>
            <w:r w:rsidR="00FF13E8" w:rsidRPr="00FF13E8">
              <w:t>HSE</w:t>
            </w:r>
            <w:proofErr w:type="spellEnd"/>
            <w:r w:rsidR="009551A6">
              <w:t> </w:t>
            </w:r>
            <w:r w:rsidR="00FF13E8" w:rsidRPr="00FF13E8">
              <w:t>145</w:t>
            </w:r>
            <w:r w:rsidR="005739A0" w:rsidRPr="005739A0">
              <w:t>; ABS (unpublished), Australian Demographic Statistics, December Quarter 201</w:t>
            </w:r>
            <w:r w:rsidR="00A972C2">
              <w:t>2</w:t>
            </w:r>
            <w:r w:rsidR="005739A0" w:rsidRPr="005739A0">
              <w:t xml:space="preserve">, Cat. no. 3101.0; tables </w:t>
            </w:r>
            <w:proofErr w:type="spellStart"/>
            <w:r w:rsidR="005739A0" w:rsidRPr="005739A0">
              <w:t>11A.12</w:t>
            </w:r>
            <w:proofErr w:type="spellEnd"/>
            <w:r w:rsidR="005739A0" w:rsidRPr="005739A0">
              <w:t xml:space="preserve"> and </w:t>
            </w:r>
            <w:proofErr w:type="spellStart"/>
            <w:r w:rsidR="005739A0" w:rsidRPr="005739A0">
              <w:t>2A.2</w:t>
            </w:r>
            <w:proofErr w:type="spellEnd"/>
            <w:r w:rsidR="005739A0" w:rsidRPr="005739A0">
              <w:t>.</w:t>
            </w:r>
          </w:p>
        </w:tc>
      </w:tr>
      <w:tr w:rsidR="00F81BE4" w:rsidTr="00EB796A">
        <w:tc>
          <w:tcPr>
            <w:tcW w:w="8771" w:type="dxa"/>
            <w:tcBorders>
              <w:top w:val="nil"/>
              <w:left w:val="nil"/>
              <w:bottom w:val="single" w:sz="6" w:space="0" w:color="78A22F"/>
              <w:right w:val="nil"/>
            </w:tcBorders>
            <w:shd w:val="clear" w:color="auto" w:fill="auto"/>
          </w:tcPr>
          <w:p w:rsidR="00F81BE4" w:rsidRDefault="00F81BE4" w:rsidP="00EB796A">
            <w:pPr>
              <w:pStyle w:val="Figurespace"/>
            </w:pPr>
          </w:p>
        </w:tc>
      </w:tr>
      <w:tr w:rsidR="00F81BE4" w:rsidRPr="000863A5" w:rsidTr="00EB796A">
        <w:tc>
          <w:tcPr>
            <w:tcW w:w="8771" w:type="dxa"/>
            <w:tcBorders>
              <w:top w:val="single" w:sz="6" w:space="0" w:color="78A22F"/>
              <w:left w:val="nil"/>
              <w:bottom w:val="nil"/>
              <w:right w:val="nil"/>
            </w:tcBorders>
          </w:tcPr>
          <w:p w:rsidR="00F81BE4" w:rsidRPr="00626D32" w:rsidRDefault="00F81BE4" w:rsidP="00EB796A">
            <w:pPr>
              <w:pStyle w:val="BoxSpaceBelow"/>
            </w:pPr>
          </w:p>
        </w:tc>
      </w:tr>
    </w:tbl>
    <w:p w:rsidR="00320973" w:rsidRDefault="00F81BE4" w:rsidP="00F81BE4">
      <w:pPr>
        <w:pStyle w:val="Heading2"/>
      </w:pPr>
      <w:bookmarkStart w:id="6" w:name="_Toc397611340"/>
      <w:r>
        <w:lastRenderedPageBreak/>
        <w:t>11.</w:t>
      </w:r>
      <w:r w:rsidR="009A53E9">
        <w:rPr>
          <w:noProof/>
        </w:rPr>
        <w:t>2</w:t>
      </w:r>
      <w:r>
        <w:tab/>
      </w:r>
      <w:r w:rsidRPr="00F81BE4">
        <w:t>Framework of performance indicators for public hospitals</w:t>
      </w:r>
      <w:bookmarkEnd w:id="6"/>
    </w:p>
    <w:p w:rsidR="00F81BE4" w:rsidRDefault="00F81BE4" w:rsidP="00F81BE4">
      <w:pPr>
        <w:pStyle w:val="BodyText"/>
      </w:pPr>
      <w:r>
        <w:t xml:space="preserve">Performance is reported against objectives that are common to public hospitals in all jurisdictions (box 11.1). The Health sector overview explains the performance indicator framework for health services as a whole, including the </w:t>
      </w:r>
      <w:proofErr w:type="spellStart"/>
      <w:r>
        <w:t>subdimensions</w:t>
      </w:r>
      <w:proofErr w:type="spellEnd"/>
      <w:r>
        <w:t xml:space="preserve"> of quality and sustainability that have been added to the standard Review framework. </w:t>
      </w:r>
    </w:p>
    <w:p w:rsidR="00F81BE4" w:rsidRDefault="00F81BE4" w:rsidP="00F81BE4">
      <w:pPr>
        <w:pStyle w:val="BodyText"/>
      </w:pPr>
      <w:proofErr w:type="spellStart"/>
      <w:r>
        <w:t>COAG</w:t>
      </w:r>
      <w:proofErr w:type="spellEnd"/>
      <w:r>
        <w:t xml:space="preserve"> has agreed six National Agreements to enhance accountability to the public for the outcomes achieved or outputs delivered by a range of government services (see chapter 1 for more detail on reforms to federal financial relations). </w:t>
      </w:r>
    </w:p>
    <w:p w:rsidR="0047053E" w:rsidRDefault="00F81BE4" w:rsidP="00F81BE4">
      <w:pPr>
        <w:pStyle w:val="BodyText"/>
      </w:pPr>
      <w:r>
        <w:t>The National Healthcare Agreement (NHA) covers the area of health and aged care, and health indicators in the National Indigenous Reform Agreement (</w:t>
      </w:r>
      <w:proofErr w:type="spellStart"/>
      <w:r>
        <w:t>NIRA</w:t>
      </w:r>
      <w:proofErr w:type="spellEnd"/>
      <w:r>
        <w:t xml:space="preserve">) establish specific outcomes for reducing the level of disadvantage experienced by </w:t>
      </w:r>
      <w:r w:rsidR="00CC4A84" w:rsidRPr="00CC4A84">
        <w:t xml:space="preserve">Aboriginal and Torres Strait Islander </w:t>
      </w:r>
      <w:r>
        <w:t>Australians. Both agreements include sets of performance indicators</w:t>
      </w:r>
      <w:r w:rsidR="0047053E">
        <w:t xml:space="preserve">. </w:t>
      </w:r>
      <w:r w:rsidR="0047053E" w:rsidRPr="0047053E">
        <w:t xml:space="preserve">The Steering Committee collates </w:t>
      </w:r>
      <w:proofErr w:type="spellStart"/>
      <w:r w:rsidR="0047053E" w:rsidRPr="0047053E">
        <w:t>NIRA</w:t>
      </w:r>
      <w:proofErr w:type="spellEnd"/>
      <w:r w:rsidR="0047053E" w:rsidRPr="0047053E">
        <w:t xml:space="preserve"> performance information for analysis by the Department of Prime Minister and Cabinet. Performance indicators reported in this chapter are aligned with </w:t>
      </w:r>
      <w:r w:rsidR="0047053E">
        <w:t>health</w:t>
      </w:r>
      <w:r w:rsidR="0047053E" w:rsidRPr="0047053E">
        <w:t xml:space="preserve"> performance indicators in the most recent version of the N</w:t>
      </w:r>
      <w:r w:rsidR="0047053E">
        <w:t>H</w:t>
      </w:r>
      <w:r w:rsidR="0047053E" w:rsidRPr="0047053E">
        <w:t>A, where relevant.</w:t>
      </w:r>
    </w:p>
    <w:p w:rsidR="008F1E67" w:rsidRDefault="008F1E6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F1E67" w:rsidTr="00EB796A">
        <w:tc>
          <w:tcPr>
            <w:tcW w:w="8771" w:type="dxa"/>
            <w:tcBorders>
              <w:top w:val="single" w:sz="6" w:space="0" w:color="78A22F"/>
              <w:left w:val="nil"/>
              <w:bottom w:val="nil"/>
              <w:right w:val="nil"/>
            </w:tcBorders>
            <w:shd w:val="clear" w:color="auto" w:fill="F2F2F2"/>
          </w:tcPr>
          <w:p w:rsidR="008F1E67" w:rsidRDefault="008F1E67">
            <w:pPr>
              <w:pStyle w:val="BoxTitle"/>
            </w:pPr>
            <w:r>
              <w:rPr>
                <w:b w:val="0"/>
              </w:rPr>
              <w:t>Box 11.</w:t>
            </w:r>
            <w:r w:rsidR="009A53E9">
              <w:rPr>
                <w:b w:val="0"/>
                <w:noProof/>
              </w:rPr>
              <w:t>1</w:t>
            </w:r>
            <w:r>
              <w:tab/>
            </w:r>
            <w:r w:rsidRPr="008F1E67">
              <w:t>Objectives for public hospitals</w:t>
            </w:r>
          </w:p>
        </w:tc>
      </w:tr>
      <w:tr w:rsidR="008F1E67" w:rsidTr="00EB796A">
        <w:trPr>
          <w:cantSplit/>
        </w:trPr>
        <w:tc>
          <w:tcPr>
            <w:tcW w:w="8771" w:type="dxa"/>
            <w:tcBorders>
              <w:top w:val="nil"/>
              <w:left w:val="nil"/>
              <w:bottom w:val="nil"/>
              <w:right w:val="nil"/>
            </w:tcBorders>
            <w:shd w:val="clear" w:color="auto" w:fill="F2F2F2"/>
          </w:tcPr>
          <w:p w:rsidR="008F1E67" w:rsidRDefault="008F1E67" w:rsidP="008F1E67">
            <w:pPr>
              <w:pStyle w:val="Box"/>
            </w:pPr>
            <w:r>
              <w:t>The common government objectives for public hospitals are to provide acute and specialist services that are:</w:t>
            </w:r>
          </w:p>
          <w:p w:rsidR="008F1E67" w:rsidRDefault="008F1E67" w:rsidP="008F1E67">
            <w:pPr>
              <w:pStyle w:val="BoxListBullet"/>
            </w:pPr>
            <w:r>
              <w:t>safe and of high quality</w:t>
            </w:r>
          </w:p>
          <w:p w:rsidR="008F1E67" w:rsidRDefault="008F1E67" w:rsidP="008F1E67">
            <w:pPr>
              <w:pStyle w:val="BoxListBullet"/>
            </w:pPr>
            <w:r>
              <w:t>appropriate and responsive to individual needs</w:t>
            </w:r>
          </w:p>
          <w:p w:rsidR="008F1E67" w:rsidRDefault="008F1E67" w:rsidP="008F1E67">
            <w:pPr>
              <w:pStyle w:val="BoxListBullet"/>
            </w:pPr>
            <w:r>
              <w:t>affordable, timely and accessible</w:t>
            </w:r>
          </w:p>
          <w:p w:rsidR="008F1E67" w:rsidRDefault="008F1E67" w:rsidP="008F1E67">
            <w:pPr>
              <w:pStyle w:val="BoxListBullet"/>
            </w:pPr>
            <w:r>
              <w:t>equitably and efficiently delivered.</w:t>
            </w:r>
          </w:p>
        </w:tc>
      </w:tr>
      <w:tr w:rsidR="008F1E67" w:rsidTr="00EB796A">
        <w:trPr>
          <w:cantSplit/>
        </w:trPr>
        <w:tc>
          <w:tcPr>
            <w:tcW w:w="8771" w:type="dxa"/>
            <w:tcBorders>
              <w:top w:val="nil"/>
              <w:left w:val="nil"/>
              <w:bottom w:val="single" w:sz="6" w:space="0" w:color="78A22F"/>
              <w:right w:val="nil"/>
            </w:tcBorders>
            <w:shd w:val="clear" w:color="auto" w:fill="F2F2F2"/>
          </w:tcPr>
          <w:p w:rsidR="008F1E67" w:rsidRDefault="008F1E67">
            <w:pPr>
              <w:pStyle w:val="Box"/>
              <w:spacing w:before="0" w:line="120" w:lineRule="exact"/>
            </w:pPr>
          </w:p>
        </w:tc>
      </w:tr>
      <w:tr w:rsidR="008F1E67" w:rsidRPr="000863A5" w:rsidTr="00EB796A">
        <w:tc>
          <w:tcPr>
            <w:tcW w:w="8771" w:type="dxa"/>
            <w:tcBorders>
              <w:top w:val="single" w:sz="6" w:space="0" w:color="78A22F"/>
              <w:left w:val="nil"/>
              <w:bottom w:val="nil"/>
              <w:right w:val="nil"/>
            </w:tcBorders>
          </w:tcPr>
          <w:p w:rsidR="008F1E67" w:rsidRPr="00626D32" w:rsidRDefault="008F1E67" w:rsidP="00EB796A">
            <w:pPr>
              <w:pStyle w:val="BoxSpaceBelow"/>
            </w:pPr>
          </w:p>
        </w:tc>
      </w:tr>
    </w:tbl>
    <w:p w:rsidR="003542AE" w:rsidRDefault="003542AE" w:rsidP="008F1E67">
      <w:pPr>
        <w:pStyle w:val="BodyText"/>
      </w:pPr>
      <w:r w:rsidRPr="003542AE">
        <w:t xml:space="preserve">The performance indicator framework provides information on equity, efficiency and effectiveness, and distinguishes the outputs and outcomes of </w:t>
      </w:r>
      <w:r>
        <w:t>public hospital</w:t>
      </w:r>
      <w:r w:rsidRPr="003542AE">
        <w:t xml:space="preserve"> services (figure 1</w:t>
      </w:r>
      <w:r w:rsidR="000A6A0C">
        <w:t>1</w:t>
      </w:r>
      <w:r w:rsidRPr="003542AE">
        <w:t>.</w:t>
      </w:r>
      <w:r>
        <w:t>11</w:t>
      </w:r>
      <w:r w:rsidRPr="003542AE">
        <w:t xml:space="preserve">). The performance indicator framework shows which data are comparable in the 2015 Report. For data that are not considered directly comparable, text includes relevant caveats and supporting commentary. Chapter 1 discusses data </w:t>
      </w:r>
      <w:r w:rsidRPr="00E919A3">
        <w:t xml:space="preserve">comparability </w:t>
      </w:r>
      <w:r w:rsidR="002D7A62" w:rsidRPr="00E919A3">
        <w:t xml:space="preserve">and data completeness </w:t>
      </w:r>
      <w:r w:rsidRPr="00E919A3">
        <w:t>from</w:t>
      </w:r>
      <w:r w:rsidRPr="003542AE">
        <w:t xml:space="preserve"> a Report-wide perspective (section 1.6).</w:t>
      </w:r>
    </w:p>
    <w:p w:rsidR="003542AE" w:rsidRDefault="003542AE" w:rsidP="008F1E67">
      <w:pPr>
        <w:pStyle w:val="BodyText"/>
      </w:pPr>
      <w:r w:rsidRPr="003542AE">
        <w:t>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ethnic-status) (chapter 2).</w:t>
      </w:r>
    </w:p>
    <w:p w:rsidR="008F1E67" w:rsidRDefault="008F1E67" w:rsidP="00EB79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F1E67" w:rsidTr="00EB796A">
        <w:tc>
          <w:tcPr>
            <w:tcW w:w="8771" w:type="dxa"/>
            <w:tcBorders>
              <w:top w:val="single" w:sz="6" w:space="0" w:color="78A22F"/>
              <w:left w:val="nil"/>
              <w:bottom w:val="nil"/>
              <w:right w:val="nil"/>
            </w:tcBorders>
            <w:shd w:val="clear" w:color="auto" w:fill="auto"/>
          </w:tcPr>
          <w:p w:rsidR="008F1E67" w:rsidRPr="00176D3F" w:rsidRDefault="008F1E67" w:rsidP="008F1E67">
            <w:pPr>
              <w:pStyle w:val="FigureTitle"/>
            </w:pPr>
            <w:r w:rsidRPr="00784A05">
              <w:rPr>
                <w:b w:val="0"/>
              </w:rPr>
              <w:t xml:space="preserve">Figure </w:t>
            </w:r>
            <w:r>
              <w:rPr>
                <w:b w:val="0"/>
              </w:rPr>
              <w:t>11.</w:t>
            </w:r>
            <w:r w:rsidR="009A53E9">
              <w:rPr>
                <w:b w:val="0"/>
                <w:noProof/>
              </w:rPr>
              <w:t>11</w:t>
            </w:r>
            <w:r>
              <w:tab/>
            </w:r>
            <w:r w:rsidRPr="008F1E67">
              <w:t>Public hospitals performance indicator framework</w:t>
            </w:r>
          </w:p>
        </w:tc>
      </w:tr>
      <w:tr w:rsidR="008F1E67" w:rsidTr="00EB796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F1E67" w:rsidTr="00EB796A">
              <w:trPr>
                <w:jc w:val="center"/>
              </w:trPr>
              <w:tc>
                <w:tcPr>
                  <w:tcW w:w="5000" w:type="pct"/>
                  <w:tcBorders>
                    <w:top w:val="nil"/>
                    <w:bottom w:val="nil"/>
                  </w:tcBorders>
                </w:tcPr>
                <w:p w:rsidR="008F1E67" w:rsidRDefault="001F000D" w:rsidP="00EB796A">
                  <w:pPr>
                    <w:pStyle w:val="Figure"/>
                    <w:spacing w:before="60" w:after="60"/>
                  </w:pPr>
                  <w:r>
                    <w:rPr>
                      <w:noProof/>
                    </w:rPr>
                    <w:drawing>
                      <wp:inline distT="0" distB="0" distL="0" distR="0">
                        <wp:extent cx="5314950" cy="6115050"/>
                        <wp:effectExtent l="0" t="0" r="0" b="0"/>
                        <wp:docPr id="12" name="Picture 12" descr="Figure 11.11 Public hospitals performance indicator framework&#10; &#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14950" cy="6115050"/>
                                </a:xfrm>
                                <a:prstGeom prst="rect">
                                  <a:avLst/>
                                </a:prstGeom>
                                <a:noFill/>
                                <a:ln>
                                  <a:noFill/>
                                </a:ln>
                              </pic:spPr>
                            </pic:pic>
                          </a:graphicData>
                        </a:graphic>
                      </wp:inline>
                    </w:drawing>
                  </w:r>
                </w:p>
              </w:tc>
            </w:tr>
          </w:tbl>
          <w:p w:rsidR="008F1E67" w:rsidRDefault="008F1E67" w:rsidP="00EB796A">
            <w:pPr>
              <w:pStyle w:val="Figure"/>
            </w:pPr>
          </w:p>
        </w:tc>
      </w:tr>
      <w:tr w:rsidR="008F1E67" w:rsidTr="00EB796A">
        <w:tc>
          <w:tcPr>
            <w:tcW w:w="8771" w:type="dxa"/>
            <w:tcBorders>
              <w:top w:val="nil"/>
              <w:left w:val="nil"/>
              <w:bottom w:val="single" w:sz="6" w:space="0" w:color="78A22F"/>
              <w:right w:val="nil"/>
            </w:tcBorders>
            <w:shd w:val="clear" w:color="auto" w:fill="auto"/>
          </w:tcPr>
          <w:p w:rsidR="008F1E67" w:rsidRDefault="008F1E67" w:rsidP="00EB796A">
            <w:pPr>
              <w:pStyle w:val="Figurespace"/>
            </w:pPr>
          </w:p>
        </w:tc>
      </w:tr>
      <w:tr w:rsidR="008F1E67" w:rsidRPr="000863A5" w:rsidTr="00EB796A">
        <w:tc>
          <w:tcPr>
            <w:tcW w:w="8771" w:type="dxa"/>
            <w:tcBorders>
              <w:top w:val="single" w:sz="6" w:space="0" w:color="78A22F"/>
              <w:left w:val="nil"/>
              <w:bottom w:val="nil"/>
              <w:right w:val="nil"/>
            </w:tcBorders>
          </w:tcPr>
          <w:p w:rsidR="008F1E67" w:rsidRPr="00626D32" w:rsidRDefault="008F1E67" w:rsidP="00EB796A">
            <w:pPr>
              <w:pStyle w:val="BoxSpaceBelow"/>
            </w:pPr>
          </w:p>
        </w:tc>
      </w:tr>
    </w:tbl>
    <w:p w:rsidR="002256CE" w:rsidRDefault="002256CE" w:rsidP="00320973">
      <w:pPr>
        <w:pStyle w:val="BodyText"/>
      </w:pPr>
      <w:r w:rsidRPr="002256CE">
        <w:t xml:space="preserve">Data quality information (DQI) is being progressively introduced for all indicators in the Report. The purpose of DQI is to provide structured and consistent information about quality aspects of data used to report on performance indicators, in addition to material in the chapter or sector overview and attachment tables. DQI in this Report cover the seven dimensions in the ABS’ data quality framework (institutional environment, relevance, timeliness, accuracy, coherence, accessibility and interpretability) in addition to dimensions that define and describe performance indicators in a consistent manner, and </w:t>
      </w:r>
      <w:r w:rsidRPr="002256CE">
        <w:lastRenderedPageBreak/>
        <w:t>key data gaps and issues identified by the Steering Committee. All DQI for the 2015 Report can be fo</w:t>
      </w:r>
      <w:r w:rsidR="008C0550">
        <w:t xml:space="preserve">und at </w:t>
      </w:r>
      <w:proofErr w:type="spellStart"/>
      <w:r w:rsidR="008C0550">
        <w:t>www.pc.gov.au</w:t>
      </w:r>
      <w:proofErr w:type="spellEnd"/>
      <w:r w:rsidRPr="002256CE">
        <w:t>/</w:t>
      </w:r>
      <w:proofErr w:type="spellStart"/>
      <w:r w:rsidRPr="002256CE">
        <w:t>rogs</w:t>
      </w:r>
      <w:proofErr w:type="spellEnd"/>
      <w:r w:rsidRPr="002256CE">
        <w:t>/2015.</w:t>
      </w:r>
    </w:p>
    <w:p w:rsidR="007A6EC9" w:rsidRDefault="008F1E67" w:rsidP="008F1E67">
      <w:pPr>
        <w:pStyle w:val="Heading2"/>
      </w:pPr>
      <w:bookmarkStart w:id="7" w:name="_Toc397611341"/>
      <w:r>
        <w:t>11.</w:t>
      </w:r>
      <w:r w:rsidR="009A53E9">
        <w:rPr>
          <w:noProof/>
        </w:rPr>
        <w:t>3</w:t>
      </w:r>
      <w:r>
        <w:tab/>
      </w:r>
      <w:r w:rsidRPr="008F1E67">
        <w:t>Key performance indicator results for public hospitals</w:t>
      </w:r>
      <w:bookmarkEnd w:id="7"/>
    </w:p>
    <w:p w:rsidR="008F1E67" w:rsidRDefault="008F1E67" w:rsidP="008F1E67">
      <w:pPr>
        <w:pStyle w:val="BodyText"/>
      </w:pPr>
      <w:r>
        <w:t xml:space="preserve">Different delivery contexts, locations and types of client can affect the equity, effectiveness and efficiency of health services. </w:t>
      </w:r>
    </w:p>
    <w:p w:rsidR="008F1E67" w:rsidRDefault="008F1E67" w:rsidP="008F1E67">
      <w:pPr>
        <w:pStyle w:val="BodyText"/>
      </w:pPr>
      <w:r>
        <w:t>As discussed in section 11.1, public hospitals provide a range of services to admitted patients, including some sub</w:t>
      </w:r>
      <w:r w:rsidR="00C27472">
        <w:t>-</w:t>
      </w:r>
      <w:r>
        <w:t>acute and non</w:t>
      </w:r>
      <w:r w:rsidR="00C27472">
        <w:t>-</w:t>
      </w:r>
      <w:r>
        <w:t>acute services such as rehabilitation and palliative care. The extent to which these sub</w:t>
      </w:r>
      <w:r w:rsidR="00C27472">
        <w:t>-</w:t>
      </w:r>
      <w:r>
        <w:t>acute and non</w:t>
      </w:r>
      <w:r w:rsidR="00C27472">
        <w:t>-</w:t>
      </w:r>
      <w:r>
        <w:t>acute treatments can be identified and excluded from the data differs across jurisdictions. Similarly, psychiatric treatments are provided in public (non</w:t>
      </w:r>
      <w:r w:rsidR="00B81EBB">
        <w:t>-</w:t>
      </w:r>
      <w:r>
        <w:t>psychiatric) hospitals at different rates across jurisdictions.</w:t>
      </w:r>
    </w:p>
    <w:p w:rsidR="008F1E67" w:rsidRDefault="008F1E67" w:rsidP="008F1E67">
      <w:pPr>
        <w:pStyle w:val="Heading3"/>
      </w:pPr>
      <w:r>
        <w:t>Outputs</w:t>
      </w:r>
    </w:p>
    <w:p w:rsidR="008F1E67" w:rsidRDefault="008F1E67" w:rsidP="008F1E67">
      <w:pPr>
        <w:pStyle w:val="BodyText"/>
      </w:pPr>
      <w:r>
        <w:t>Outputs are the services delivered (while outcomes are the impact of these services on the status of an individual or group) (see chapter 1, section 1.5).</w:t>
      </w:r>
    </w:p>
    <w:p w:rsidR="008F1E67" w:rsidRDefault="008F1E67" w:rsidP="008F1E67">
      <w:pPr>
        <w:pStyle w:val="Heading3"/>
      </w:pPr>
      <w:r>
        <w:t>Equity — access</w:t>
      </w:r>
    </w:p>
    <w:p w:rsidR="008F1E67" w:rsidRDefault="008F1E67" w:rsidP="008F1E67">
      <w:pPr>
        <w:pStyle w:val="BodyText"/>
      </w:pPr>
      <w:r>
        <w:t>Equity indicators measure how well a service is meeting the needs of certain groups in society (see chapter 1). Public hospitals have a significant influence on the equity of the overall healthcare system. While access to public hospital services is important to the community in general, it is particularly important for people of low socioeconomic status (and others) who can have difficulty in accessing alternative services, such as those provided by private hospitals.</w:t>
      </w:r>
    </w:p>
    <w:p w:rsidR="008F1E67" w:rsidRDefault="008F1E67" w:rsidP="008F1E67">
      <w:pPr>
        <w:pStyle w:val="Heading4"/>
      </w:pPr>
      <w:r>
        <w:t>Equity of access by special needs groups</w:t>
      </w:r>
    </w:p>
    <w:p w:rsidR="008F1E67" w:rsidRPr="008F1E67" w:rsidRDefault="008F1E67" w:rsidP="008F1E67">
      <w:pPr>
        <w:pStyle w:val="BodyText"/>
      </w:pPr>
      <w:r>
        <w:t>‘Equity of access by special needs groups’ is an indicator of governments’ objective to provide accessible services (box 11.2).</w:t>
      </w:r>
    </w:p>
    <w:p w:rsidR="008F1E67" w:rsidRDefault="008F1E6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F1E67" w:rsidTr="00EB796A">
        <w:tc>
          <w:tcPr>
            <w:tcW w:w="8771" w:type="dxa"/>
            <w:tcBorders>
              <w:top w:val="single" w:sz="6" w:space="0" w:color="78A22F"/>
              <w:left w:val="nil"/>
              <w:bottom w:val="nil"/>
              <w:right w:val="nil"/>
            </w:tcBorders>
            <w:shd w:val="clear" w:color="auto" w:fill="F2F2F2"/>
          </w:tcPr>
          <w:p w:rsidR="008F1E67" w:rsidRDefault="008F1E67">
            <w:pPr>
              <w:pStyle w:val="BoxTitle"/>
            </w:pPr>
            <w:r>
              <w:rPr>
                <w:b w:val="0"/>
              </w:rPr>
              <w:t>Box 11.</w:t>
            </w:r>
            <w:r w:rsidR="009A53E9">
              <w:rPr>
                <w:b w:val="0"/>
                <w:noProof/>
              </w:rPr>
              <w:t>2</w:t>
            </w:r>
            <w:r>
              <w:tab/>
            </w:r>
            <w:r w:rsidRPr="008F1E67">
              <w:t>Equity of access by special needs groups</w:t>
            </w:r>
          </w:p>
        </w:tc>
      </w:tr>
      <w:tr w:rsidR="008F1E67" w:rsidTr="00EB796A">
        <w:trPr>
          <w:cantSplit/>
        </w:trPr>
        <w:tc>
          <w:tcPr>
            <w:tcW w:w="8771" w:type="dxa"/>
            <w:tcBorders>
              <w:top w:val="nil"/>
              <w:left w:val="nil"/>
              <w:bottom w:val="nil"/>
              <w:right w:val="nil"/>
            </w:tcBorders>
            <w:shd w:val="clear" w:color="auto" w:fill="F2F2F2"/>
          </w:tcPr>
          <w:p w:rsidR="008F1E67" w:rsidRDefault="008F1E67" w:rsidP="008F1E67">
            <w:pPr>
              <w:pStyle w:val="Box"/>
            </w:pPr>
            <w:r>
              <w:t>‘Equity of access by special needs groups’ measures the performance of agencies providing services for identified special needs groups</w:t>
            </w:r>
            <w:r w:rsidR="00C27472">
              <w:t xml:space="preserve"> including</w:t>
            </w:r>
            <w:r>
              <w:t xml:space="preserve">: </w:t>
            </w:r>
            <w:r w:rsidR="00CC4A84" w:rsidRPr="00CC4A84">
              <w:t xml:space="preserve">Aboriginal and Torres Strait Islander </w:t>
            </w:r>
            <w:r>
              <w:t xml:space="preserve">Australians; people living in communities outside the capital cities (that is, people living in other metropolitan areas, or rural and remote communities); and people from culturally and linguistically diverse </w:t>
            </w:r>
            <w:r w:rsidR="00C27472">
              <w:t>backgrounds</w:t>
            </w:r>
            <w:r>
              <w:t xml:space="preserve">. </w:t>
            </w:r>
            <w:r w:rsidR="00BC7D36">
              <w:t>Chapter 1 outlines special needs groups in more detail.</w:t>
            </w:r>
          </w:p>
          <w:p w:rsidR="008F1E67" w:rsidRDefault="008F1E67" w:rsidP="008F1E67">
            <w:pPr>
              <w:pStyle w:val="Box"/>
            </w:pPr>
            <w:r>
              <w:t>Equity of access by special needs groups has been identified as a key area for development in future Reports. Data for the emergency department waiting times and waiting times for admitted patient services indicators are reported by Indigenous status and remoteness.</w:t>
            </w:r>
          </w:p>
        </w:tc>
      </w:tr>
      <w:tr w:rsidR="008F1E67" w:rsidTr="00EB796A">
        <w:trPr>
          <w:cantSplit/>
        </w:trPr>
        <w:tc>
          <w:tcPr>
            <w:tcW w:w="8771" w:type="dxa"/>
            <w:tcBorders>
              <w:top w:val="nil"/>
              <w:left w:val="nil"/>
              <w:bottom w:val="single" w:sz="6" w:space="0" w:color="78A22F"/>
              <w:right w:val="nil"/>
            </w:tcBorders>
            <w:shd w:val="clear" w:color="auto" w:fill="F2F2F2"/>
          </w:tcPr>
          <w:p w:rsidR="008F1E67" w:rsidRDefault="008F1E67">
            <w:pPr>
              <w:pStyle w:val="Box"/>
              <w:spacing w:before="0" w:line="120" w:lineRule="exact"/>
            </w:pPr>
          </w:p>
        </w:tc>
      </w:tr>
      <w:tr w:rsidR="008F1E67" w:rsidRPr="000863A5" w:rsidTr="00EB796A">
        <w:tc>
          <w:tcPr>
            <w:tcW w:w="8771" w:type="dxa"/>
            <w:tcBorders>
              <w:top w:val="single" w:sz="6" w:space="0" w:color="78A22F"/>
              <w:left w:val="nil"/>
              <w:bottom w:val="nil"/>
              <w:right w:val="nil"/>
            </w:tcBorders>
          </w:tcPr>
          <w:p w:rsidR="008F1E67" w:rsidRPr="00626D32" w:rsidRDefault="008F1E67" w:rsidP="00EB796A">
            <w:pPr>
              <w:pStyle w:val="BoxSpaceBelow"/>
            </w:pPr>
          </w:p>
        </w:tc>
      </w:tr>
    </w:tbl>
    <w:p w:rsidR="008F1E67" w:rsidRDefault="008F1E67" w:rsidP="008F1E67">
      <w:pPr>
        <w:pStyle w:val="Heading3"/>
      </w:pPr>
      <w:r>
        <w:t xml:space="preserve">Effectiveness — access </w:t>
      </w:r>
    </w:p>
    <w:p w:rsidR="008F1E67" w:rsidRDefault="008F1E67" w:rsidP="008F1E67">
      <w:pPr>
        <w:pStyle w:val="Heading4"/>
      </w:pPr>
      <w:r>
        <w:t>Emergency department waiting times</w:t>
      </w:r>
    </w:p>
    <w:p w:rsidR="007A6EC9" w:rsidRDefault="008F1E67" w:rsidP="008F1E67">
      <w:pPr>
        <w:pStyle w:val="BodyText"/>
      </w:pPr>
      <w:r>
        <w:t>‘Emergency department waiting times’ is an indicator of governments’ objective to provide accessible services (box 11.3).</w:t>
      </w:r>
    </w:p>
    <w:p w:rsidR="008F1E67" w:rsidRDefault="008F1E6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F1E67" w:rsidTr="007F72D1">
        <w:tc>
          <w:tcPr>
            <w:tcW w:w="8771" w:type="dxa"/>
            <w:tcBorders>
              <w:top w:val="single" w:sz="6" w:space="0" w:color="78A22F"/>
              <w:left w:val="nil"/>
              <w:bottom w:val="nil"/>
              <w:right w:val="nil"/>
            </w:tcBorders>
            <w:shd w:val="clear" w:color="auto" w:fill="F2F2F2"/>
          </w:tcPr>
          <w:p w:rsidR="008F1E67" w:rsidRDefault="008F1E67">
            <w:pPr>
              <w:pStyle w:val="BoxTitle"/>
            </w:pPr>
            <w:r>
              <w:rPr>
                <w:b w:val="0"/>
              </w:rPr>
              <w:t>Box 11.</w:t>
            </w:r>
            <w:r w:rsidR="009A53E9">
              <w:rPr>
                <w:b w:val="0"/>
                <w:noProof/>
              </w:rPr>
              <w:t>3</w:t>
            </w:r>
            <w:r>
              <w:tab/>
            </w:r>
            <w:r w:rsidRPr="008F1E67">
              <w:t>Emergency department waiting times</w:t>
            </w:r>
          </w:p>
        </w:tc>
      </w:tr>
      <w:tr w:rsidR="008F1E67" w:rsidTr="007F72D1">
        <w:trPr>
          <w:cantSplit/>
        </w:trPr>
        <w:tc>
          <w:tcPr>
            <w:tcW w:w="8771" w:type="dxa"/>
            <w:tcBorders>
              <w:top w:val="nil"/>
              <w:left w:val="nil"/>
              <w:bottom w:val="nil"/>
              <w:right w:val="nil"/>
            </w:tcBorders>
            <w:shd w:val="clear" w:color="auto" w:fill="F2F2F2"/>
          </w:tcPr>
          <w:p w:rsidR="009A67FB" w:rsidRDefault="009A67FB" w:rsidP="009A67FB">
            <w:pPr>
              <w:pStyle w:val="Box"/>
            </w:pPr>
            <w:r w:rsidRPr="009A67FB">
              <w:t>‘</w:t>
            </w:r>
            <w:r>
              <w:t>Emergency department waiting times</w:t>
            </w:r>
            <w:r w:rsidRPr="009A67FB">
              <w:t xml:space="preserve">’ is defined by the following </w:t>
            </w:r>
            <w:r>
              <w:t>two</w:t>
            </w:r>
            <w:r w:rsidRPr="009A67FB">
              <w:t xml:space="preserve"> measures:</w:t>
            </w:r>
          </w:p>
          <w:p w:rsidR="009A67FB" w:rsidRDefault="009A67FB" w:rsidP="009A67FB">
            <w:pPr>
              <w:pStyle w:val="BoxListBullet"/>
            </w:pPr>
            <w:r w:rsidRPr="009A67FB">
              <w:t>Emergency department waiting times by triage category</w:t>
            </w:r>
          </w:p>
          <w:p w:rsidR="009A67FB" w:rsidRDefault="009A67FB" w:rsidP="009A67FB">
            <w:pPr>
              <w:pStyle w:val="BoxListBullet"/>
            </w:pPr>
            <w:r w:rsidRPr="009A67FB">
              <w:t xml:space="preserve">Proportion of </w:t>
            </w:r>
            <w:r w:rsidR="008A7B2C" w:rsidRPr="009A67FB">
              <w:t xml:space="preserve">emergency </w:t>
            </w:r>
            <w:r w:rsidRPr="009A67FB">
              <w:t>department presentations with length of stay of 4 hours or less</w:t>
            </w:r>
            <w:r>
              <w:t>.</w:t>
            </w:r>
          </w:p>
          <w:p w:rsidR="00525D2E" w:rsidRDefault="00525D2E" w:rsidP="00525D2E">
            <w:pPr>
              <w:pStyle w:val="BoxHeading2"/>
            </w:pPr>
            <w:r w:rsidRPr="009A67FB">
              <w:t>Emergency department waiting times by triage category</w:t>
            </w:r>
          </w:p>
          <w:p w:rsidR="00C27472" w:rsidRDefault="00525D2E" w:rsidP="00C27472">
            <w:pPr>
              <w:pStyle w:val="Box"/>
            </w:pPr>
            <w:r>
              <w:t xml:space="preserve">Emergency department waiting times by triage category is calculated by </w:t>
            </w:r>
            <w:r w:rsidR="00C27472">
              <w:t>subtracting the time at which the patient presents at the emergency department (that is, the time at which the patient is clerically registered or triaged, whichever occurs earlier) from the time of commencement of service by a treating medical officer or nurse. Patients who do not wait for care after being triaged or clerically registered are excluded from the data.</w:t>
            </w:r>
          </w:p>
          <w:p w:rsidR="008F1E67" w:rsidRDefault="00525D2E" w:rsidP="008F1E67">
            <w:pPr>
              <w:pStyle w:val="Box"/>
            </w:pPr>
            <w:r>
              <w:t xml:space="preserve"> </w:t>
            </w:r>
            <w:r w:rsidR="008F1E67">
              <w:t>‘Emergency department waiting times</w:t>
            </w:r>
            <w:r w:rsidR="00C27472">
              <w:t xml:space="preserve"> by triage category</w:t>
            </w:r>
            <w:r w:rsidR="008F1E67">
              <w:t>' is defined as the proportion of patients seen within the benchmarks set by the Australasian Triage Scale. The Australasian Triage Scale is a scale for rating clinical urgency, designed for use in hospital-based emergency services in Australia and New Zealand.</w:t>
            </w:r>
          </w:p>
          <w:p w:rsidR="007E68BD" w:rsidRDefault="007E68BD" w:rsidP="007E68BD">
            <w:pPr>
              <w:pStyle w:val="Continued"/>
            </w:pPr>
            <w:r>
              <w:t>(Continued on next page)</w:t>
            </w:r>
          </w:p>
        </w:tc>
      </w:tr>
      <w:tr w:rsidR="008F1E67" w:rsidTr="007F72D1">
        <w:trPr>
          <w:cantSplit/>
        </w:trPr>
        <w:tc>
          <w:tcPr>
            <w:tcW w:w="8771" w:type="dxa"/>
            <w:tcBorders>
              <w:top w:val="nil"/>
              <w:left w:val="nil"/>
              <w:bottom w:val="single" w:sz="6" w:space="0" w:color="78A22F"/>
              <w:right w:val="nil"/>
            </w:tcBorders>
            <w:shd w:val="clear" w:color="auto" w:fill="F2F2F2"/>
          </w:tcPr>
          <w:p w:rsidR="008F1E67" w:rsidRDefault="008F1E67">
            <w:pPr>
              <w:pStyle w:val="Box"/>
              <w:spacing w:before="0" w:line="120" w:lineRule="exact"/>
            </w:pPr>
          </w:p>
        </w:tc>
      </w:tr>
      <w:tr w:rsidR="008F1E67" w:rsidRPr="000863A5" w:rsidTr="007F72D1">
        <w:tc>
          <w:tcPr>
            <w:tcW w:w="8771" w:type="dxa"/>
            <w:tcBorders>
              <w:top w:val="single" w:sz="6" w:space="0" w:color="78A22F"/>
              <w:left w:val="nil"/>
              <w:bottom w:val="nil"/>
              <w:right w:val="nil"/>
            </w:tcBorders>
          </w:tcPr>
          <w:p w:rsidR="008F1E67" w:rsidRPr="00626D32" w:rsidRDefault="008F1E67" w:rsidP="007F72D1">
            <w:pPr>
              <w:pStyle w:val="BoxSpaceBelow"/>
            </w:pPr>
          </w:p>
        </w:tc>
      </w:tr>
    </w:tbl>
    <w:p w:rsidR="007E68BD" w:rsidRDefault="007E68B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E68BD" w:rsidTr="00CC4A84">
        <w:tc>
          <w:tcPr>
            <w:tcW w:w="8771" w:type="dxa"/>
            <w:tcBorders>
              <w:top w:val="single" w:sz="6" w:space="0" w:color="78A22F"/>
              <w:left w:val="nil"/>
              <w:bottom w:val="nil"/>
              <w:right w:val="nil"/>
            </w:tcBorders>
            <w:shd w:val="clear" w:color="auto" w:fill="F2F2F2"/>
          </w:tcPr>
          <w:p w:rsidR="007E68BD" w:rsidRDefault="007E68BD" w:rsidP="00A70042">
            <w:pPr>
              <w:pStyle w:val="BoxTitle"/>
            </w:pPr>
            <w:r>
              <w:rPr>
                <w:b w:val="0"/>
              </w:rPr>
              <w:t>Box 11.</w:t>
            </w:r>
            <w:r w:rsidR="00A70042">
              <w:rPr>
                <w:b w:val="0"/>
              </w:rPr>
              <w:t>3</w:t>
            </w:r>
            <w:r>
              <w:tab/>
            </w:r>
            <w:r w:rsidRPr="00A70042">
              <w:rPr>
                <w:sz w:val="18"/>
                <w:szCs w:val="18"/>
              </w:rPr>
              <w:t>(</w:t>
            </w:r>
            <w:r w:rsidR="00A70042" w:rsidRPr="00A70042">
              <w:rPr>
                <w:sz w:val="18"/>
                <w:szCs w:val="18"/>
              </w:rPr>
              <w:t>continued</w:t>
            </w:r>
            <w:r w:rsidRPr="00A70042">
              <w:rPr>
                <w:sz w:val="18"/>
                <w:szCs w:val="18"/>
              </w:rPr>
              <w:t>)</w:t>
            </w:r>
          </w:p>
        </w:tc>
      </w:tr>
      <w:tr w:rsidR="007E68BD" w:rsidTr="00CC4A84">
        <w:trPr>
          <w:cantSplit/>
        </w:trPr>
        <w:tc>
          <w:tcPr>
            <w:tcW w:w="8771" w:type="dxa"/>
            <w:tcBorders>
              <w:top w:val="nil"/>
              <w:left w:val="nil"/>
              <w:bottom w:val="nil"/>
              <w:right w:val="nil"/>
            </w:tcBorders>
            <w:shd w:val="clear" w:color="auto" w:fill="F2F2F2"/>
          </w:tcPr>
          <w:p w:rsidR="00AE0A87" w:rsidRDefault="00AE0A87" w:rsidP="00AE0A87">
            <w:pPr>
              <w:pStyle w:val="Box"/>
            </w:pPr>
            <w:r>
              <w:t>The benchmarks, set according to triage category, are as follows:</w:t>
            </w:r>
          </w:p>
          <w:p w:rsidR="00AE0A87" w:rsidRDefault="00AE0A87" w:rsidP="00AE0A87">
            <w:pPr>
              <w:pStyle w:val="BoxListBullet"/>
            </w:pPr>
            <w:r>
              <w:t>triage category 1: need for resuscitation — patients seen immediately</w:t>
            </w:r>
          </w:p>
          <w:p w:rsidR="00AE0A87" w:rsidRDefault="00AE0A87" w:rsidP="00AE0A87">
            <w:pPr>
              <w:pStyle w:val="BoxListBullet"/>
            </w:pPr>
            <w:r>
              <w:t>triage category 2: emergency — patients seen within 10 minutes</w:t>
            </w:r>
          </w:p>
          <w:p w:rsidR="00AE0A87" w:rsidRDefault="00AE0A87" w:rsidP="00AE0A87">
            <w:pPr>
              <w:pStyle w:val="BoxListBullet"/>
            </w:pPr>
            <w:r>
              <w:t>triage category 3: urgent — patients seen within 30 minutes</w:t>
            </w:r>
          </w:p>
          <w:p w:rsidR="00AE0A87" w:rsidRDefault="00AE0A87" w:rsidP="00AE0A87">
            <w:pPr>
              <w:pStyle w:val="BoxListBullet"/>
            </w:pPr>
            <w:r>
              <w:t>triage category 4: semi-urgent — patients seen within 60 minutes</w:t>
            </w:r>
          </w:p>
          <w:p w:rsidR="00AE0A87" w:rsidRDefault="00AE0A87" w:rsidP="00AE0A87">
            <w:pPr>
              <w:pStyle w:val="BoxListBullet"/>
            </w:pPr>
            <w:r>
              <w:t>triage category 5: non-urgent — patients seen within 120 minutes (</w:t>
            </w:r>
            <w:proofErr w:type="spellStart"/>
            <w:r>
              <w:t>HDSC</w:t>
            </w:r>
            <w:proofErr w:type="spellEnd"/>
            <w:r>
              <w:t xml:space="preserve"> 2008).</w:t>
            </w:r>
          </w:p>
          <w:p w:rsidR="00AE0A87" w:rsidRDefault="00AE0A87" w:rsidP="00AE0A87">
            <w:pPr>
              <w:pStyle w:val="Box"/>
            </w:pPr>
            <w:r>
              <w:t xml:space="preserve">A high or increasing proportion of patients seen within the benchmarks set for each triage category is desirable. </w:t>
            </w:r>
          </w:p>
          <w:p w:rsidR="00AE0A87" w:rsidRDefault="00AE0A87" w:rsidP="00AE0A87">
            <w:pPr>
              <w:pStyle w:val="Box"/>
            </w:pPr>
            <w:r>
              <w:t>Data reported for this indicator are:</w:t>
            </w:r>
          </w:p>
          <w:p w:rsidR="00AE0A87" w:rsidRDefault="00AE0A87" w:rsidP="00AE0A87">
            <w:pPr>
              <w:pStyle w:val="BoxListBullet"/>
            </w:pPr>
            <w:r>
              <w:t>comparable (subject to caveats) within jurisdictions over time but are not comparable across jurisdictions</w:t>
            </w:r>
          </w:p>
          <w:p w:rsidR="00AE0A87" w:rsidRDefault="00AE0A87" w:rsidP="00AE0A87">
            <w:pPr>
              <w:pStyle w:val="BoxListBullet"/>
            </w:pPr>
            <w:r>
              <w:t>complete (subject to caveats) for the current reporting period. All required 2013-14 data are available for all jurisdictions.</w:t>
            </w:r>
          </w:p>
          <w:p w:rsidR="00AE0A87" w:rsidRDefault="00AE0A87" w:rsidP="00AE0A87">
            <w:pPr>
              <w:pStyle w:val="Box"/>
            </w:pPr>
            <w:r w:rsidRPr="00BC6024">
              <w:t>Data quality information for this measure</w:t>
            </w:r>
            <w:r>
              <w:t xml:space="preserve"> is at </w:t>
            </w:r>
            <w:proofErr w:type="spellStart"/>
            <w:r>
              <w:t>www.pc.gov.au</w:t>
            </w:r>
            <w:proofErr w:type="spellEnd"/>
            <w:r w:rsidRPr="00BC6024">
              <w:t>/</w:t>
            </w:r>
            <w:proofErr w:type="spellStart"/>
            <w:r w:rsidRPr="00BC6024">
              <w:t>rogs</w:t>
            </w:r>
            <w:proofErr w:type="spellEnd"/>
            <w:r w:rsidRPr="00BC6024">
              <w:t>/2015.</w:t>
            </w:r>
          </w:p>
          <w:p w:rsidR="007E68BD" w:rsidRDefault="007E68BD" w:rsidP="007E68BD">
            <w:pPr>
              <w:pStyle w:val="BoxHeading2"/>
            </w:pPr>
            <w:r>
              <w:t xml:space="preserve">Proportion of </w:t>
            </w:r>
            <w:r w:rsidR="008A7B2C">
              <w:t xml:space="preserve">emergency </w:t>
            </w:r>
            <w:r>
              <w:t>department presentations with length of stay of 4 hours or less</w:t>
            </w:r>
          </w:p>
          <w:p w:rsidR="001076E0" w:rsidRDefault="007E68BD" w:rsidP="007E68BD">
            <w:pPr>
              <w:pStyle w:val="Box"/>
            </w:pPr>
            <w:r>
              <w:t xml:space="preserve">‘Proportion of Emergency department presentations with length of stay of 4 hours or less’ is defined as the </w:t>
            </w:r>
            <w:r w:rsidR="001076E0" w:rsidRPr="001076E0">
              <w:t>percentage of presentations to public hospital emergency departments where the time from presentation to physical departure is less than or equal to four hours.</w:t>
            </w:r>
            <w:r w:rsidR="00C562EC">
              <w:t xml:space="preserve"> </w:t>
            </w:r>
            <w:r w:rsidR="00C562EC" w:rsidRPr="00E919A3">
              <w:t>It is a measure of the duration of the emergency department service rather than a waiting time for emergency department care.</w:t>
            </w:r>
          </w:p>
          <w:p w:rsidR="007E68BD" w:rsidRDefault="007E68BD" w:rsidP="007E68BD">
            <w:pPr>
              <w:pStyle w:val="Box"/>
            </w:pPr>
            <w:r w:rsidRPr="00E919A3">
              <w:t xml:space="preserve">A high or increasing proportion of patients </w:t>
            </w:r>
            <w:r w:rsidR="00E27FFE" w:rsidRPr="00E919A3">
              <w:t>with a length of stay</w:t>
            </w:r>
            <w:r w:rsidRPr="00E919A3">
              <w:t xml:space="preserve"> </w:t>
            </w:r>
            <w:r w:rsidR="00E27FFE" w:rsidRPr="00E919A3">
              <w:t>of</w:t>
            </w:r>
            <w:r w:rsidRPr="00E919A3">
              <w:t xml:space="preserve"> four hours </w:t>
            </w:r>
            <w:r w:rsidR="00E27FFE" w:rsidRPr="00E919A3">
              <w:t xml:space="preserve">or less </w:t>
            </w:r>
            <w:r w:rsidRPr="00E919A3">
              <w:t xml:space="preserve">is desirable. </w:t>
            </w:r>
          </w:p>
          <w:p w:rsidR="007E68BD" w:rsidRDefault="007E68BD" w:rsidP="007E68BD">
            <w:pPr>
              <w:pStyle w:val="Box"/>
            </w:pPr>
            <w:r>
              <w:t>Data reported for this indicator are:</w:t>
            </w:r>
          </w:p>
          <w:p w:rsidR="007E68BD" w:rsidRDefault="007E68BD" w:rsidP="007E68BD">
            <w:pPr>
              <w:pStyle w:val="BoxListBullet"/>
            </w:pPr>
            <w:r>
              <w:t>comparable (subject to caveats) within jurisdictions over time but are not comparable across jurisdictions</w:t>
            </w:r>
          </w:p>
          <w:p w:rsidR="007E68BD" w:rsidRDefault="007E68BD" w:rsidP="007E68BD">
            <w:pPr>
              <w:pStyle w:val="BoxListBullet"/>
            </w:pPr>
            <w:r>
              <w:t>complete (subject to caveats) for the current reporting period. All required 201</w:t>
            </w:r>
            <w:r w:rsidR="00E70026">
              <w:t>3</w:t>
            </w:r>
            <w:r>
              <w:t>-1</w:t>
            </w:r>
            <w:r w:rsidR="00E70026">
              <w:t>4</w:t>
            </w:r>
            <w:r>
              <w:t xml:space="preserve"> data are available for all jurisdictions.</w:t>
            </w:r>
          </w:p>
          <w:p w:rsidR="007E68BD" w:rsidRDefault="00BC6024" w:rsidP="00BC6024">
            <w:pPr>
              <w:pStyle w:val="Box"/>
            </w:pPr>
            <w:r w:rsidRPr="00BC6024">
              <w:t>Data quality information for this measure</w:t>
            </w:r>
            <w:r w:rsidR="008C0550">
              <w:t xml:space="preserve"> is at </w:t>
            </w:r>
            <w:proofErr w:type="spellStart"/>
            <w:r w:rsidR="008C0550">
              <w:t>www.pc.gov.au</w:t>
            </w:r>
            <w:proofErr w:type="spellEnd"/>
            <w:r w:rsidRPr="00BC6024">
              <w:t>/</w:t>
            </w:r>
            <w:proofErr w:type="spellStart"/>
            <w:r w:rsidRPr="00BC6024">
              <w:t>rogs</w:t>
            </w:r>
            <w:proofErr w:type="spellEnd"/>
            <w:r w:rsidRPr="00BC6024">
              <w:t>/2015.</w:t>
            </w:r>
          </w:p>
        </w:tc>
      </w:tr>
      <w:tr w:rsidR="007E68BD" w:rsidTr="00CC4A84">
        <w:trPr>
          <w:cantSplit/>
        </w:trPr>
        <w:tc>
          <w:tcPr>
            <w:tcW w:w="8771" w:type="dxa"/>
            <w:tcBorders>
              <w:top w:val="nil"/>
              <w:left w:val="nil"/>
              <w:bottom w:val="single" w:sz="6" w:space="0" w:color="78A22F"/>
              <w:right w:val="nil"/>
            </w:tcBorders>
            <w:shd w:val="clear" w:color="auto" w:fill="F2F2F2"/>
          </w:tcPr>
          <w:p w:rsidR="007E68BD" w:rsidRDefault="007E68BD">
            <w:pPr>
              <w:pStyle w:val="Box"/>
              <w:spacing w:before="0" w:line="120" w:lineRule="exact"/>
            </w:pPr>
          </w:p>
        </w:tc>
      </w:tr>
      <w:tr w:rsidR="007E68BD" w:rsidRPr="000863A5" w:rsidTr="00CC4A84">
        <w:tc>
          <w:tcPr>
            <w:tcW w:w="8771" w:type="dxa"/>
            <w:tcBorders>
              <w:top w:val="single" w:sz="6" w:space="0" w:color="78A22F"/>
              <w:left w:val="nil"/>
              <w:bottom w:val="nil"/>
              <w:right w:val="nil"/>
            </w:tcBorders>
          </w:tcPr>
          <w:p w:rsidR="007E68BD" w:rsidRPr="00626D32" w:rsidRDefault="007E68BD" w:rsidP="00CC4A84">
            <w:pPr>
              <w:pStyle w:val="BoxSpaceBelow"/>
            </w:pPr>
          </w:p>
        </w:tc>
      </w:tr>
    </w:tbl>
    <w:p w:rsidR="000D26EC" w:rsidRDefault="000D26EC" w:rsidP="00807705">
      <w:pPr>
        <w:pStyle w:val="Heading5"/>
      </w:pPr>
      <w:r>
        <w:t>Emergency department waiting times by triage category</w:t>
      </w:r>
    </w:p>
    <w:p w:rsidR="008F1E67" w:rsidRDefault="008F1E67" w:rsidP="008F1E67">
      <w:pPr>
        <w:pStyle w:val="BodyText"/>
      </w:pPr>
      <w:r>
        <w:t xml:space="preserve">The comparability of emergency department waiting times data across jurisdictions can be influenced by differences in data coverage (table 11.2) and clinical practices — in particular, the allocation of cases to urgency categories. The proportion of patients in each triage category who were subsequently admitted can indicate the comparability of triage categorisations across jurisdictions and thus the comparability of the waiting times data (table </w:t>
      </w:r>
      <w:proofErr w:type="spellStart"/>
      <w:r>
        <w:t>11A.1</w:t>
      </w:r>
      <w:r w:rsidR="00885D28">
        <w:t>8</w:t>
      </w:r>
      <w:proofErr w:type="spellEnd"/>
      <w:r>
        <w:t>).</w:t>
      </w:r>
    </w:p>
    <w:p w:rsidR="008F1E67" w:rsidRDefault="008F1E67" w:rsidP="001B73E8">
      <w:pPr>
        <w:pStyle w:val="BodyText"/>
      </w:pPr>
      <w:r>
        <w:lastRenderedPageBreak/>
        <w:t>Nationally, in 201</w:t>
      </w:r>
      <w:r w:rsidR="00863D1A">
        <w:t>3</w:t>
      </w:r>
      <w:r>
        <w:t>-1</w:t>
      </w:r>
      <w:r w:rsidR="00863D1A">
        <w:t>4</w:t>
      </w:r>
      <w:r w:rsidRPr="00E919A3">
        <w:t xml:space="preserve">, </w:t>
      </w:r>
      <w:r w:rsidR="004C251D" w:rsidRPr="00E919A3">
        <w:t>100</w:t>
      </w:r>
      <w:r>
        <w:t xml:space="preserve"> per cent of patients in triage category 1 were seen within the clinically appropriate timeframe, and </w:t>
      </w:r>
      <w:r w:rsidR="004C251D" w:rsidRPr="00E919A3">
        <w:t>82</w:t>
      </w:r>
      <w:r w:rsidRPr="00E919A3">
        <w:t xml:space="preserve"> </w:t>
      </w:r>
      <w:r>
        <w:t>per cent of patients in triage category 2 were seen within the clinically appropriate timeframe. For all triage categories combined</w:t>
      </w:r>
      <w:r w:rsidRPr="00E919A3">
        <w:t xml:space="preserve">, </w:t>
      </w:r>
      <w:r w:rsidR="004C251D" w:rsidRPr="00E919A3">
        <w:t>75</w:t>
      </w:r>
      <w:r w:rsidR="00BC7D36">
        <w:t> </w:t>
      </w:r>
      <w:r>
        <w:t xml:space="preserve">per cent of patients were seen within triage category timeframes (table 11.2). Emergency department waiting times for peer group A and B hospitals are reported in table </w:t>
      </w:r>
      <w:proofErr w:type="spellStart"/>
      <w:r>
        <w:t>11A.1</w:t>
      </w:r>
      <w:r w:rsidR="00885D28">
        <w:t>9</w:t>
      </w:r>
      <w:proofErr w:type="spellEnd"/>
      <w:r>
        <w:t>.</w:t>
      </w:r>
    </w:p>
    <w:p w:rsidR="00EB796A" w:rsidRDefault="00EB796A" w:rsidP="00EB796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EB796A" w:rsidTr="00EB796A">
        <w:tc>
          <w:tcPr>
            <w:tcW w:w="8771" w:type="dxa"/>
            <w:tcBorders>
              <w:top w:val="single" w:sz="6" w:space="0" w:color="78A22F"/>
              <w:left w:val="nil"/>
              <w:bottom w:val="nil"/>
              <w:right w:val="nil"/>
            </w:tcBorders>
            <w:shd w:val="clear" w:color="auto" w:fill="auto"/>
          </w:tcPr>
          <w:p w:rsidR="00EB796A" w:rsidRPr="00784A05" w:rsidRDefault="00EB796A" w:rsidP="00EB796A">
            <w:pPr>
              <w:pStyle w:val="TableTitle"/>
            </w:pPr>
            <w:r>
              <w:rPr>
                <w:b w:val="0"/>
              </w:rPr>
              <w:t>Table 11.</w:t>
            </w:r>
            <w:r w:rsidR="009A53E9">
              <w:rPr>
                <w:b w:val="0"/>
                <w:noProof/>
              </w:rPr>
              <w:t>2</w:t>
            </w:r>
            <w:r>
              <w:tab/>
            </w:r>
            <w:r w:rsidRPr="00EB796A">
              <w:t>Emergency department patients seen within triage category timeframes, public hospitals (per cent)</w:t>
            </w:r>
            <w:r w:rsidRPr="00164049">
              <w:rPr>
                <w:rStyle w:val="NoteLabel"/>
                <w:b/>
                <w:szCs w:val="20"/>
              </w:rPr>
              <w:t>a</w:t>
            </w:r>
          </w:p>
        </w:tc>
      </w:tr>
      <w:tr w:rsidR="00EB796A" w:rsidTr="00EB796A">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04"/>
              <w:gridCol w:w="708"/>
              <w:gridCol w:w="710"/>
              <w:gridCol w:w="708"/>
              <w:gridCol w:w="708"/>
              <w:gridCol w:w="710"/>
              <w:gridCol w:w="708"/>
              <w:gridCol w:w="710"/>
              <w:gridCol w:w="713"/>
              <w:gridCol w:w="708"/>
            </w:tblGrid>
            <w:tr w:rsidR="00164049" w:rsidTr="00B76090">
              <w:tc>
                <w:tcPr>
                  <w:tcW w:w="1240" w:type="pct"/>
                  <w:tcBorders>
                    <w:top w:val="single" w:sz="6" w:space="0" w:color="BFBFBF"/>
                    <w:bottom w:val="single" w:sz="6" w:space="0" w:color="BFBFBF"/>
                  </w:tcBorders>
                  <w:shd w:val="clear" w:color="auto" w:fill="auto"/>
                  <w:tcMar>
                    <w:top w:w="28" w:type="dxa"/>
                  </w:tcMar>
                </w:tcPr>
                <w:p w:rsidR="00E37AEC" w:rsidRDefault="0025128B" w:rsidP="00EB796A">
                  <w:pPr>
                    <w:pStyle w:val="TableColumnHeading"/>
                    <w:jc w:val="left"/>
                  </w:pPr>
                  <w:r>
                    <w:t>Triage category</w:t>
                  </w:r>
                </w:p>
              </w:tc>
              <w:tc>
                <w:tcPr>
                  <w:tcW w:w="417" w:type="pct"/>
                  <w:tcBorders>
                    <w:top w:val="single" w:sz="6" w:space="0" w:color="BFBFBF"/>
                    <w:bottom w:val="single" w:sz="6" w:space="0" w:color="BFBFBF"/>
                  </w:tcBorders>
                </w:tcPr>
                <w:p w:rsidR="00E37AEC" w:rsidRDefault="00E37AEC" w:rsidP="00EB796A">
                  <w:pPr>
                    <w:pStyle w:val="TableColumnHeading"/>
                  </w:pPr>
                  <w:r>
                    <w:t>NSW</w:t>
                  </w:r>
                </w:p>
              </w:tc>
              <w:tc>
                <w:tcPr>
                  <w:tcW w:w="418" w:type="pct"/>
                  <w:tcBorders>
                    <w:top w:val="single" w:sz="6" w:space="0" w:color="BFBFBF"/>
                    <w:bottom w:val="single" w:sz="6" w:space="0" w:color="BFBFBF"/>
                  </w:tcBorders>
                </w:tcPr>
                <w:p w:rsidR="00E37AEC" w:rsidRDefault="00E37AEC" w:rsidP="00EB796A">
                  <w:pPr>
                    <w:pStyle w:val="TableColumnHeading"/>
                  </w:pPr>
                  <w:r>
                    <w:t>Vic</w:t>
                  </w:r>
                </w:p>
              </w:tc>
              <w:tc>
                <w:tcPr>
                  <w:tcW w:w="417" w:type="pct"/>
                  <w:tcBorders>
                    <w:top w:val="single" w:sz="6" w:space="0" w:color="BFBFBF"/>
                    <w:bottom w:val="single" w:sz="6" w:space="0" w:color="BFBFBF"/>
                  </w:tcBorders>
                </w:tcPr>
                <w:p w:rsidR="00E37AEC" w:rsidRDefault="00E37AEC" w:rsidP="00EB796A">
                  <w:pPr>
                    <w:pStyle w:val="TableColumnHeading"/>
                  </w:pPr>
                  <w:r>
                    <w:t>Qld</w:t>
                  </w:r>
                </w:p>
              </w:tc>
              <w:tc>
                <w:tcPr>
                  <w:tcW w:w="417" w:type="pct"/>
                  <w:tcBorders>
                    <w:top w:val="single" w:sz="6" w:space="0" w:color="BFBFBF"/>
                    <w:bottom w:val="single" w:sz="6" w:space="0" w:color="BFBFBF"/>
                  </w:tcBorders>
                </w:tcPr>
                <w:p w:rsidR="00E37AEC" w:rsidRDefault="00E37AEC" w:rsidP="00604654">
                  <w:pPr>
                    <w:pStyle w:val="TableColumnHeading"/>
                  </w:pPr>
                  <w:r>
                    <w:t>WA</w:t>
                  </w:r>
                </w:p>
              </w:tc>
              <w:tc>
                <w:tcPr>
                  <w:tcW w:w="418" w:type="pct"/>
                  <w:tcBorders>
                    <w:top w:val="single" w:sz="6" w:space="0" w:color="BFBFBF"/>
                    <w:bottom w:val="single" w:sz="6" w:space="0" w:color="BFBFBF"/>
                  </w:tcBorders>
                </w:tcPr>
                <w:p w:rsidR="00E37AEC" w:rsidRDefault="00E37AEC" w:rsidP="00604654">
                  <w:pPr>
                    <w:pStyle w:val="TableColumnHeading"/>
                  </w:pPr>
                  <w:r>
                    <w:t>SA</w:t>
                  </w:r>
                </w:p>
              </w:tc>
              <w:tc>
                <w:tcPr>
                  <w:tcW w:w="417" w:type="pct"/>
                  <w:tcBorders>
                    <w:top w:val="single" w:sz="6" w:space="0" w:color="BFBFBF"/>
                    <w:bottom w:val="single" w:sz="6" w:space="0" w:color="BFBFBF"/>
                  </w:tcBorders>
                </w:tcPr>
                <w:p w:rsidR="00E37AEC" w:rsidRDefault="00E37AEC" w:rsidP="00604654">
                  <w:pPr>
                    <w:pStyle w:val="TableColumnHeading"/>
                  </w:pPr>
                  <w:proofErr w:type="spellStart"/>
                  <w:r>
                    <w:t>Tas</w:t>
                  </w:r>
                  <w:proofErr w:type="spellEnd"/>
                </w:p>
              </w:tc>
              <w:tc>
                <w:tcPr>
                  <w:tcW w:w="418" w:type="pct"/>
                  <w:tcBorders>
                    <w:top w:val="single" w:sz="6" w:space="0" w:color="BFBFBF"/>
                    <w:bottom w:val="single" w:sz="6" w:space="0" w:color="BFBFBF"/>
                  </w:tcBorders>
                </w:tcPr>
                <w:p w:rsidR="00E37AEC" w:rsidRDefault="00E37AEC" w:rsidP="00604654">
                  <w:pPr>
                    <w:pStyle w:val="TableColumnHeading"/>
                  </w:pPr>
                  <w:r>
                    <w:t>ACT</w:t>
                  </w:r>
                </w:p>
              </w:tc>
              <w:tc>
                <w:tcPr>
                  <w:tcW w:w="420" w:type="pct"/>
                  <w:tcBorders>
                    <w:top w:val="single" w:sz="6" w:space="0" w:color="BFBFBF"/>
                    <w:bottom w:val="single" w:sz="6" w:space="0" w:color="BFBFBF"/>
                  </w:tcBorders>
                  <w:shd w:val="clear" w:color="auto" w:fill="auto"/>
                  <w:tcMar>
                    <w:top w:w="28" w:type="dxa"/>
                  </w:tcMar>
                </w:tcPr>
                <w:p w:rsidR="00E37AEC" w:rsidRDefault="00E37AEC" w:rsidP="00EB796A">
                  <w:pPr>
                    <w:pStyle w:val="TableColumnHeading"/>
                  </w:pPr>
                  <w:r>
                    <w:t>NT</w:t>
                  </w:r>
                </w:p>
              </w:tc>
              <w:tc>
                <w:tcPr>
                  <w:tcW w:w="417" w:type="pct"/>
                  <w:tcBorders>
                    <w:top w:val="single" w:sz="6" w:space="0" w:color="BFBFBF"/>
                    <w:bottom w:val="single" w:sz="6" w:space="0" w:color="BFBFBF"/>
                  </w:tcBorders>
                  <w:shd w:val="clear" w:color="auto" w:fill="auto"/>
                  <w:tcMar>
                    <w:top w:w="28" w:type="dxa"/>
                  </w:tcMar>
                </w:tcPr>
                <w:p w:rsidR="00E37AEC" w:rsidRDefault="00E37AEC" w:rsidP="00EB796A">
                  <w:pPr>
                    <w:pStyle w:val="TableColumnHeading"/>
                    <w:ind w:right="28"/>
                  </w:pPr>
                  <w:proofErr w:type="spellStart"/>
                  <w:r>
                    <w:t>Aust</w:t>
                  </w:r>
                  <w:proofErr w:type="spellEnd"/>
                </w:p>
              </w:tc>
            </w:tr>
            <w:tr w:rsidR="00164049" w:rsidTr="00B76090">
              <w:tc>
                <w:tcPr>
                  <w:tcW w:w="1240" w:type="pct"/>
                  <w:tcBorders>
                    <w:top w:val="single" w:sz="6" w:space="0" w:color="BFBFBF"/>
                  </w:tcBorders>
                </w:tcPr>
                <w:p w:rsidR="00E37AEC" w:rsidRDefault="00B76090" w:rsidP="00EB796A">
                  <w:pPr>
                    <w:pStyle w:val="TableUnitsRow"/>
                    <w:jc w:val="left"/>
                  </w:pPr>
                  <w:r>
                    <w:t>2012-13</w:t>
                  </w:r>
                </w:p>
              </w:tc>
              <w:tc>
                <w:tcPr>
                  <w:tcW w:w="417" w:type="pct"/>
                  <w:tcBorders>
                    <w:top w:val="single" w:sz="6" w:space="0" w:color="BFBFBF"/>
                  </w:tcBorders>
                </w:tcPr>
                <w:p w:rsidR="00E37AEC" w:rsidRDefault="00E37AEC" w:rsidP="00EB796A">
                  <w:pPr>
                    <w:pStyle w:val="TableUnitsRow"/>
                  </w:pPr>
                </w:p>
              </w:tc>
              <w:tc>
                <w:tcPr>
                  <w:tcW w:w="418" w:type="pct"/>
                  <w:tcBorders>
                    <w:top w:val="single" w:sz="6" w:space="0" w:color="BFBFBF"/>
                  </w:tcBorders>
                </w:tcPr>
                <w:p w:rsidR="00E37AEC" w:rsidRDefault="00E37AEC" w:rsidP="00EB796A">
                  <w:pPr>
                    <w:pStyle w:val="TableUnitsRow"/>
                  </w:pPr>
                </w:p>
              </w:tc>
              <w:tc>
                <w:tcPr>
                  <w:tcW w:w="417" w:type="pct"/>
                  <w:tcBorders>
                    <w:top w:val="single" w:sz="6" w:space="0" w:color="BFBFBF"/>
                  </w:tcBorders>
                </w:tcPr>
                <w:p w:rsidR="00E37AEC" w:rsidRDefault="00E37AEC" w:rsidP="00EB796A">
                  <w:pPr>
                    <w:pStyle w:val="TableUnitsRow"/>
                  </w:pPr>
                </w:p>
              </w:tc>
              <w:tc>
                <w:tcPr>
                  <w:tcW w:w="417" w:type="pct"/>
                  <w:tcBorders>
                    <w:top w:val="single" w:sz="6" w:space="0" w:color="BFBFBF"/>
                  </w:tcBorders>
                </w:tcPr>
                <w:p w:rsidR="00E37AEC" w:rsidRDefault="00E37AEC" w:rsidP="00EB796A">
                  <w:pPr>
                    <w:pStyle w:val="TableUnitsRow"/>
                  </w:pPr>
                </w:p>
              </w:tc>
              <w:tc>
                <w:tcPr>
                  <w:tcW w:w="418" w:type="pct"/>
                  <w:tcBorders>
                    <w:top w:val="single" w:sz="6" w:space="0" w:color="BFBFBF"/>
                  </w:tcBorders>
                </w:tcPr>
                <w:p w:rsidR="00E37AEC" w:rsidRDefault="00E37AEC" w:rsidP="00EB796A">
                  <w:pPr>
                    <w:pStyle w:val="TableUnitsRow"/>
                  </w:pPr>
                </w:p>
              </w:tc>
              <w:tc>
                <w:tcPr>
                  <w:tcW w:w="417" w:type="pct"/>
                  <w:tcBorders>
                    <w:top w:val="single" w:sz="6" w:space="0" w:color="BFBFBF"/>
                  </w:tcBorders>
                </w:tcPr>
                <w:p w:rsidR="00E37AEC" w:rsidRDefault="00E37AEC" w:rsidP="00EB796A">
                  <w:pPr>
                    <w:pStyle w:val="TableUnitsRow"/>
                  </w:pPr>
                </w:p>
              </w:tc>
              <w:tc>
                <w:tcPr>
                  <w:tcW w:w="418" w:type="pct"/>
                  <w:tcBorders>
                    <w:top w:val="single" w:sz="6" w:space="0" w:color="BFBFBF"/>
                  </w:tcBorders>
                </w:tcPr>
                <w:p w:rsidR="00E37AEC" w:rsidRDefault="00E37AEC" w:rsidP="00EB796A">
                  <w:pPr>
                    <w:pStyle w:val="TableUnitsRow"/>
                  </w:pPr>
                </w:p>
              </w:tc>
              <w:tc>
                <w:tcPr>
                  <w:tcW w:w="420" w:type="pct"/>
                  <w:tcBorders>
                    <w:top w:val="single" w:sz="6" w:space="0" w:color="BFBFBF"/>
                  </w:tcBorders>
                </w:tcPr>
                <w:p w:rsidR="00E37AEC" w:rsidRDefault="00E37AEC" w:rsidP="00EB796A">
                  <w:pPr>
                    <w:pStyle w:val="TableUnitsRow"/>
                  </w:pPr>
                </w:p>
              </w:tc>
              <w:tc>
                <w:tcPr>
                  <w:tcW w:w="417" w:type="pct"/>
                  <w:tcBorders>
                    <w:top w:val="single" w:sz="6" w:space="0" w:color="BFBFBF"/>
                  </w:tcBorders>
                </w:tcPr>
                <w:p w:rsidR="00E37AEC" w:rsidRDefault="00E37AEC" w:rsidP="00EB796A">
                  <w:pPr>
                    <w:pStyle w:val="TableUnitsRow"/>
                    <w:ind w:right="28"/>
                  </w:pPr>
                </w:p>
              </w:tc>
            </w:tr>
            <w:tr w:rsidR="00AB33DA" w:rsidTr="00393026">
              <w:tc>
                <w:tcPr>
                  <w:tcW w:w="1240" w:type="pct"/>
                </w:tcPr>
                <w:p w:rsidR="00AB33DA" w:rsidRDefault="00AB33DA" w:rsidP="00B76090">
                  <w:pPr>
                    <w:pStyle w:val="TableBodyText"/>
                    <w:jc w:val="left"/>
                  </w:pPr>
                  <w:r>
                    <w:t xml:space="preserve">  1 — Resuscitation</w:t>
                  </w:r>
                  <w:r w:rsidRPr="00B76090">
                    <w:rPr>
                      <w:rStyle w:val="NoteLabel"/>
                    </w:rPr>
                    <w:t>b</w:t>
                  </w:r>
                </w:p>
              </w:tc>
              <w:tc>
                <w:tcPr>
                  <w:tcW w:w="417" w:type="pct"/>
                  <w:vAlign w:val="center"/>
                </w:tcPr>
                <w:p w:rsidR="00AB33DA" w:rsidRPr="00AB33DA" w:rsidRDefault="00AB33DA" w:rsidP="00AB33DA">
                  <w:pPr>
                    <w:pStyle w:val="TableBodyText"/>
                  </w:pPr>
                  <w:r w:rsidRPr="00AB33DA">
                    <w:t>100</w:t>
                  </w:r>
                </w:p>
              </w:tc>
              <w:tc>
                <w:tcPr>
                  <w:tcW w:w="418" w:type="pct"/>
                  <w:vAlign w:val="center"/>
                </w:tcPr>
                <w:p w:rsidR="00AB33DA" w:rsidRPr="00AB33DA" w:rsidRDefault="00AB33DA" w:rsidP="00AB33DA">
                  <w:pPr>
                    <w:pStyle w:val="TableBodyText"/>
                  </w:pPr>
                  <w:r w:rsidRPr="00AB33DA">
                    <w:t>100</w:t>
                  </w:r>
                </w:p>
              </w:tc>
              <w:tc>
                <w:tcPr>
                  <w:tcW w:w="417" w:type="pct"/>
                  <w:vAlign w:val="center"/>
                </w:tcPr>
                <w:p w:rsidR="00AB33DA" w:rsidRPr="00AB33DA" w:rsidRDefault="00AB33DA" w:rsidP="00AB33DA">
                  <w:pPr>
                    <w:pStyle w:val="TableBodyText"/>
                  </w:pPr>
                  <w:r w:rsidRPr="00AB33DA">
                    <w:t>100</w:t>
                  </w:r>
                </w:p>
              </w:tc>
              <w:tc>
                <w:tcPr>
                  <w:tcW w:w="417" w:type="pct"/>
                  <w:vAlign w:val="center"/>
                </w:tcPr>
                <w:p w:rsidR="00AB33DA" w:rsidRPr="00AB33DA" w:rsidRDefault="00AB33DA" w:rsidP="00AB33DA">
                  <w:pPr>
                    <w:pStyle w:val="TableBodyText"/>
                  </w:pPr>
                  <w:r w:rsidRPr="00AB33DA">
                    <w:t>100</w:t>
                  </w:r>
                </w:p>
              </w:tc>
              <w:tc>
                <w:tcPr>
                  <w:tcW w:w="418" w:type="pct"/>
                  <w:vAlign w:val="center"/>
                </w:tcPr>
                <w:p w:rsidR="00AB33DA" w:rsidRPr="00AB33DA" w:rsidRDefault="00AB33DA" w:rsidP="00AB33DA">
                  <w:pPr>
                    <w:pStyle w:val="TableBodyText"/>
                  </w:pPr>
                  <w:r w:rsidRPr="00AB33DA">
                    <w:t>100</w:t>
                  </w:r>
                </w:p>
              </w:tc>
              <w:tc>
                <w:tcPr>
                  <w:tcW w:w="417" w:type="pct"/>
                  <w:vAlign w:val="center"/>
                </w:tcPr>
                <w:p w:rsidR="00AB33DA" w:rsidRPr="00AB33DA" w:rsidRDefault="00AB33DA" w:rsidP="00AB33DA">
                  <w:pPr>
                    <w:pStyle w:val="TableBodyText"/>
                  </w:pPr>
                  <w:r w:rsidRPr="00AB33DA">
                    <w:t>100</w:t>
                  </w:r>
                </w:p>
              </w:tc>
              <w:tc>
                <w:tcPr>
                  <w:tcW w:w="418" w:type="pct"/>
                  <w:vAlign w:val="center"/>
                </w:tcPr>
                <w:p w:rsidR="00AB33DA" w:rsidRPr="00AB33DA" w:rsidRDefault="00AB33DA" w:rsidP="00AB33DA">
                  <w:pPr>
                    <w:pStyle w:val="TableBodyText"/>
                  </w:pPr>
                  <w:r w:rsidRPr="00AB33DA">
                    <w:t>100</w:t>
                  </w:r>
                </w:p>
              </w:tc>
              <w:tc>
                <w:tcPr>
                  <w:tcW w:w="420" w:type="pct"/>
                  <w:vAlign w:val="center"/>
                </w:tcPr>
                <w:p w:rsidR="00AB33DA" w:rsidRPr="00AB33DA" w:rsidRDefault="00AB33DA" w:rsidP="00AB33DA">
                  <w:pPr>
                    <w:pStyle w:val="TableBodyText"/>
                  </w:pPr>
                  <w:r w:rsidRPr="00AB33DA">
                    <w:t>100</w:t>
                  </w:r>
                </w:p>
              </w:tc>
              <w:tc>
                <w:tcPr>
                  <w:tcW w:w="417" w:type="pct"/>
                  <w:vAlign w:val="center"/>
                </w:tcPr>
                <w:p w:rsidR="00AB33DA" w:rsidRPr="00AB33DA" w:rsidRDefault="00AB33DA" w:rsidP="00AB33DA">
                  <w:pPr>
                    <w:pStyle w:val="TableBodyText"/>
                  </w:pPr>
                  <w:r w:rsidRPr="00AB33DA">
                    <w:t>100</w:t>
                  </w:r>
                </w:p>
              </w:tc>
            </w:tr>
            <w:tr w:rsidR="00AB33DA" w:rsidTr="00393026">
              <w:tc>
                <w:tcPr>
                  <w:tcW w:w="1240" w:type="pct"/>
                </w:tcPr>
                <w:p w:rsidR="00AB33DA" w:rsidRDefault="00AB33DA" w:rsidP="00B76090">
                  <w:pPr>
                    <w:pStyle w:val="TableBodyText"/>
                    <w:jc w:val="left"/>
                  </w:pPr>
                  <w:r>
                    <w:t xml:space="preserve">  2 — Emergency</w:t>
                  </w:r>
                </w:p>
              </w:tc>
              <w:tc>
                <w:tcPr>
                  <w:tcW w:w="417" w:type="pct"/>
                  <w:vAlign w:val="center"/>
                </w:tcPr>
                <w:p w:rsidR="00AB33DA" w:rsidRPr="00AB33DA" w:rsidRDefault="00AB33DA" w:rsidP="00AB33DA">
                  <w:pPr>
                    <w:pStyle w:val="TableBodyText"/>
                  </w:pPr>
                  <w:r w:rsidRPr="00AB33DA">
                    <w:t>83</w:t>
                  </w:r>
                </w:p>
              </w:tc>
              <w:tc>
                <w:tcPr>
                  <w:tcW w:w="418" w:type="pct"/>
                  <w:vAlign w:val="center"/>
                </w:tcPr>
                <w:p w:rsidR="00AB33DA" w:rsidRPr="00AB33DA" w:rsidRDefault="00AB33DA" w:rsidP="00AB33DA">
                  <w:pPr>
                    <w:pStyle w:val="TableBodyText"/>
                  </w:pPr>
                  <w:r w:rsidRPr="00AB33DA">
                    <w:t>84</w:t>
                  </w:r>
                </w:p>
              </w:tc>
              <w:tc>
                <w:tcPr>
                  <w:tcW w:w="417" w:type="pct"/>
                  <w:vAlign w:val="center"/>
                </w:tcPr>
                <w:p w:rsidR="00AB33DA" w:rsidRPr="00AB33DA" w:rsidRDefault="00AB33DA" w:rsidP="00AB33DA">
                  <w:pPr>
                    <w:pStyle w:val="TableBodyText"/>
                  </w:pPr>
                  <w:r w:rsidRPr="00AB33DA">
                    <w:t>84</w:t>
                  </w:r>
                </w:p>
              </w:tc>
              <w:tc>
                <w:tcPr>
                  <w:tcW w:w="417" w:type="pct"/>
                  <w:vAlign w:val="center"/>
                </w:tcPr>
                <w:p w:rsidR="00AB33DA" w:rsidRPr="00AB33DA" w:rsidRDefault="00AB33DA" w:rsidP="00AB33DA">
                  <w:pPr>
                    <w:pStyle w:val="TableBodyText"/>
                  </w:pPr>
                  <w:r w:rsidRPr="00AB33DA">
                    <w:t>81</w:t>
                  </w:r>
                </w:p>
              </w:tc>
              <w:tc>
                <w:tcPr>
                  <w:tcW w:w="418" w:type="pct"/>
                  <w:vAlign w:val="center"/>
                </w:tcPr>
                <w:p w:rsidR="00AB33DA" w:rsidRPr="00AB33DA" w:rsidRDefault="00AB33DA" w:rsidP="00AB33DA">
                  <w:pPr>
                    <w:pStyle w:val="TableBodyText"/>
                  </w:pPr>
                  <w:r w:rsidRPr="00AB33DA">
                    <w:t>75</w:t>
                  </w:r>
                </w:p>
              </w:tc>
              <w:tc>
                <w:tcPr>
                  <w:tcW w:w="417" w:type="pct"/>
                  <w:vAlign w:val="center"/>
                </w:tcPr>
                <w:p w:rsidR="00AB33DA" w:rsidRPr="00AB33DA" w:rsidRDefault="00AB33DA" w:rsidP="00AB33DA">
                  <w:pPr>
                    <w:pStyle w:val="TableBodyText"/>
                  </w:pPr>
                  <w:r w:rsidRPr="00AB33DA">
                    <w:t>83</w:t>
                  </w:r>
                </w:p>
              </w:tc>
              <w:tc>
                <w:tcPr>
                  <w:tcW w:w="418" w:type="pct"/>
                  <w:vAlign w:val="center"/>
                </w:tcPr>
                <w:p w:rsidR="00AB33DA" w:rsidRPr="00AB33DA" w:rsidRDefault="00AB33DA" w:rsidP="00AB33DA">
                  <w:pPr>
                    <w:pStyle w:val="TableBodyText"/>
                  </w:pPr>
                  <w:r w:rsidRPr="00AB33DA">
                    <w:t>74</w:t>
                  </w:r>
                </w:p>
              </w:tc>
              <w:tc>
                <w:tcPr>
                  <w:tcW w:w="420" w:type="pct"/>
                  <w:vAlign w:val="center"/>
                </w:tcPr>
                <w:p w:rsidR="00AB33DA" w:rsidRPr="00AB33DA" w:rsidRDefault="00AB33DA" w:rsidP="00AB33DA">
                  <w:pPr>
                    <w:pStyle w:val="TableBodyText"/>
                  </w:pPr>
                  <w:r w:rsidRPr="00AB33DA">
                    <w:t>66</w:t>
                  </w:r>
                </w:p>
              </w:tc>
              <w:tc>
                <w:tcPr>
                  <w:tcW w:w="417" w:type="pct"/>
                  <w:vAlign w:val="center"/>
                </w:tcPr>
                <w:p w:rsidR="00AB33DA" w:rsidRPr="00AB33DA" w:rsidRDefault="00AB33DA" w:rsidP="00AB33DA">
                  <w:pPr>
                    <w:pStyle w:val="TableBodyText"/>
                  </w:pPr>
                  <w:r w:rsidRPr="00AB33DA">
                    <w:t>82</w:t>
                  </w:r>
                </w:p>
              </w:tc>
            </w:tr>
            <w:tr w:rsidR="00AB33DA" w:rsidTr="00393026">
              <w:tc>
                <w:tcPr>
                  <w:tcW w:w="1240" w:type="pct"/>
                </w:tcPr>
                <w:p w:rsidR="00AB33DA" w:rsidRDefault="00AB33DA" w:rsidP="00B76090">
                  <w:pPr>
                    <w:pStyle w:val="TableBodyText"/>
                    <w:jc w:val="left"/>
                  </w:pPr>
                  <w:r>
                    <w:t xml:space="preserve">  3 — Urgent</w:t>
                  </w:r>
                </w:p>
              </w:tc>
              <w:tc>
                <w:tcPr>
                  <w:tcW w:w="417" w:type="pct"/>
                  <w:vAlign w:val="center"/>
                </w:tcPr>
                <w:p w:rsidR="00AB33DA" w:rsidRPr="00AB33DA" w:rsidRDefault="00AB33DA" w:rsidP="00AB33DA">
                  <w:pPr>
                    <w:pStyle w:val="TableBodyText"/>
                  </w:pPr>
                  <w:r w:rsidRPr="00AB33DA">
                    <w:t>73</w:t>
                  </w:r>
                </w:p>
              </w:tc>
              <w:tc>
                <w:tcPr>
                  <w:tcW w:w="418" w:type="pct"/>
                  <w:vAlign w:val="center"/>
                </w:tcPr>
                <w:p w:rsidR="00AB33DA" w:rsidRPr="00AB33DA" w:rsidRDefault="00AB33DA" w:rsidP="00AB33DA">
                  <w:pPr>
                    <w:pStyle w:val="TableBodyText"/>
                  </w:pPr>
                  <w:r w:rsidRPr="00AB33DA">
                    <w:t>72</w:t>
                  </w:r>
                </w:p>
              </w:tc>
              <w:tc>
                <w:tcPr>
                  <w:tcW w:w="417" w:type="pct"/>
                  <w:vAlign w:val="center"/>
                </w:tcPr>
                <w:p w:rsidR="00AB33DA" w:rsidRPr="00AB33DA" w:rsidRDefault="00AB33DA" w:rsidP="00AB33DA">
                  <w:pPr>
                    <w:pStyle w:val="TableBodyText"/>
                  </w:pPr>
                  <w:r w:rsidRPr="00AB33DA">
                    <w:t>68</w:t>
                  </w:r>
                </w:p>
              </w:tc>
              <w:tc>
                <w:tcPr>
                  <w:tcW w:w="417" w:type="pct"/>
                  <w:vAlign w:val="center"/>
                </w:tcPr>
                <w:p w:rsidR="00AB33DA" w:rsidRPr="00AB33DA" w:rsidRDefault="00AB33DA" w:rsidP="00AB33DA">
                  <w:pPr>
                    <w:pStyle w:val="TableBodyText"/>
                  </w:pPr>
                  <w:r w:rsidRPr="00AB33DA">
                    <w:t>52</w:t>
                  </w:r>
                </w:p>
              </w:tc>
              <w:tc>
                <w:tcPr>
                  <w:tcW w:w="418" w:type="pct"/>
                  <w:vAlign w:val="center"/>
                </w:tcPr>
                <w:p w:rsidR="00AB33DA" w:rsidRPr="00AB33DA" w:rsidRDefault="00AB33DA" w:rsidP="00AB33DA">
                  <w:pPr>
                    <w:pStyle w:val="TableBodyText"/>
                  </w:pPr>
                  <w:r w:rsidRPr="00AB33DA">
                    <w:t>66</w:t>
                  </w:r>
                </w:p>
              </w:tc>
              <w:tc>
                <w:tcPr>
                  <w:tcW w:w="417" w:type="pct"/>
                  <w:vAlign w:val="center"/>
                </w:tcPr>
                <w:p w:rsidR="00AB33DA" w:rsidRPr="00AB33DA" w:rsidRDefault="00AB33DA" w:rsidP="00AB33DA">
                  <w:pPr>
                    <w:pStyle w:val="TableBodyText"/>
                  </w:pPr>
                  <w:r w:rsidRPr="00AB33DA">
                    <w:t>65</w:t>
                  </w:r>
                </w:p>
              </w:tc>
              <w:tc>
                <w:tcPr>
                  <w:tcW w:w="418" w:type="pct"/>
                  <w:vAlign w:val="center"/>
                </w:tcPr>
                <w:p w:rsidR="00AB33DA" w:rsidRPr="00AB33DA" w:rsidRDefault="00AB33DA" w:rsidP="00AB33DA">
                  <w:pPr>
                    <w:pStyle w:val="TableBodyText"/>
                  </w:pPr>
                  <w:r w:rsidRPr="00AB33DA">
                    <w:t>43</w:t>
                  </w:r>
                </w:p>
              </w:tc>
              <w:tc>
                <w:tcPr>
                  <w:tcW w:w="420" w:type="pct"/>
                  <w:vAlign w:val="center"/>
                </w:tcPr>
                <w:p w:rsidR="00AB33DA" w:rsidRPr="00AB33DA" w:rsidRDefault="00AB33DA" w:rsidP="00AB33DA">
                  <w:pPr>
                    <w:pStyle w:val="TableBodyText"/>
                  </w:pPr>
                  <w:r w:rsidRPr="00AB33DA">
                    <w:t>52</w:t>
                  </w:r>
                </w:p>
              </w:tc>
              <w:tc>
                <w:tcPr>
                  <w:tcW w:w="417" w:type="pct"/>
                  <w:vAlign w:val="center"/>
                </w:tcPr>
                <w:p w:rsidR="00AB33DA" w:rsidRPr="00AB33DA" w:rsidRDefault="00AB33DA" w:rsidP="00AB33DA">
                  <w:pPr>
                    <w:pStyle w:val="TableBodyText"/>
                  </w:pPr>
                  <w:r w:rsidRPr="00AB33DA">
                    <w:t>68</w:t>
                  </w:r>
                </w:p>
              </w:tc>
            </w:tr>
            <w:tr w:rsidR="00AB33DA" w:rsidTr="00393026">
              <w:tc>
                <w:tcPr>
                  <w:tcW w:w="1240" w:type="pct"/>
                </w:tcPr>
                <w:p w:rsidR="00AB33DA" w:rsidRDefault="00AB33DA" w:rsidP="00B76090">
                  <w:pPr>
                    <w:pStyle w:val="TableBodyText"/>
                    <w:jc w:val="left"/>
                  </w:pPr>
                  <w:r>
                    <w:t xml:space="preserve">  4 — Semi-urgent</w:t>
                  </w:r>
                </w:p>
              </w:tc>
              <w:tc>
                <w:tcPr>
                  <w:tcW w:w="417" w:type="pct"/>
                  <w:vAlign w:val="center"/>
                </w:tcPr>
                <w:p w:rsidR="00AB33DA" w:rsidRPr="00AB33DA" w:rsidRDefault="00AB33DA" w:rsidP="00AB33DA">
                  <w:pPr>
                    <w:pStyle w:val="TableBodyText"/>
                  </w:pPr>
                  <w:r w:rsidRPr="00AB33DA">
                    <w:t>77</w:t>
                  </w:r>
                </w:p>
              </w:tc>
              <w:tc>
                <w:tcPr>
                  <w:tcW w:w="418" w:type="pct"/>
                  <w:vAlign w:val="center"/>
                </w:tcPr>
                <w:p w:rsidR="00AB33DA" w:rsidRPr="00AB33DA" w:rsidRDefault="00AB33DA" w:rsidP="00AB33DA">
                  <w:pPr>
                    <w:pStyle w:val="TableBodyText"/>
                  </w:pPr>
                  <w:r w:rsidRPr="00AB33DA">
                    <w:t>68</w:t>
                  </w:r>
                </w:p>
              </w:tc>
              <w:tc>
                <w:tcPr>
                  <w:tcW w:w="417" w:type="pct"/>
                  <w:vAlign w:val="center"/>
                </w:tcPr>
                <w:p w:rsidR="00AB33DA" w:rsidRPr="00AB33DA" w:rsidRDefault="00AB33DA" w:rsidP="00AB33DA">
                  <w:pPr>
                    <w:pStyle w:val="TableBodyText"/>
                  </w:pPr>
                  <w:r w:rsidRPr="00AB33DA">
                    <w:t>74</w:t>
                  </w:r>
                </w:p>
              </w:tc>
              <w:tc>
                <w:tcPr>
                  <w:tcW w:w="417" w:type="pct"/>
                  <w:vAlign w:val="center"/>
                </w:tcPr>
                <w:p w:rsidR="00AB33DA" w:rsidRPr="00AB33DA" w:rsidRDefault="00AB33DA" w:rsidP="00AB33DA">
                  <w:pPr>
                    <w:pStyle w:val="TableBodyText"/>
                  </w:pPr>
                  <w:r w:rsidRPr="00AB33DA">
                    <w:t>67</w:t>
                  </w:r>
                </w:p>
              </w:tc>
              <w:tc>
                <w:tcPr>
                  <w:tcW w:w="418" w:type="pct"/>
                  <w:vAlign w:val="center"/>
                </w:tcPr>
                <w:p w:rsidR="00AB33DA" w:rsidRPr="00AB33DA" w:rsidRDefault="00AB33DA" w:rsidP="00AB33DA">
                  <w:pPr>
                    <w:pStyle w:val="TableBodyText"/>
                  </w:pPr>
                  <w:r w:rsidRPr="00AB33DA">
                    <w:t>78</w:t>
                  </w:r>
                </w:p>
              </w:tc>
              <w:tc>
                <w:tcPr>
                  <w:tcW w:w="417" w:type="pct"/>
                  <w:vAlign w:val="center"/>
                </w:tcPr>
                <w:p w:rsidR="00AB33DA" w:rsidRPr="00AB33DA" w:rsidRDefault="00AB33DA" w:rsidP="00AB33DA">
                  <w:pPr>
                    <w:pStyle w:val="TableBodyText"/>
                  </w:pPr>
                  <w:r w:rsidRPr="00AB33DA">
                    <w:t>70</w:t>
                  </w:r>
                </w:p>
              </w:tc>
              <w:tc>
                <w:tcPr>
                  <w:tcW w:w="418" w:type="pct"/>
                  <w:vAlign w:val="center"/>
                </w:tcPr>
                <w:p w:rsidR="00AB33DA" w:rsidRPr="00AB33DA" w:rsidRDefault="00AB33DA" w:rsidP="00AB33DA">
                  <w:pPr>
                    <w:pStyle w:val="TableBodyText"/>
                  </w:pPr>
                  <w:r w:rsidRPr="00AB33DA">
                    <w:t>46</w:t>
                  </w:r>
                </w:p>
              </w:tc>
              <w:tc>
                <w:tcPr>
                  <w:tcW w:w="420" w:type="pct"/>
                  <w:vAlign w:val="center"/>
                </w:tcPr>
                <w:p w:rsidR="00AB33DA" w:rsidRPr="00AB33DA" w:rsidRDefault="00AB33DA" w:rsidP="00AB33DA">
                  <w:pPr>
                    <w:pStyle w:val="TableBodyText"/>
                  </w:pPr>
                  <w:r w:rsidRPr="00AB33DA">
                    <w:t>52</w:t>
                  </w:r>
                </w:p>
              </w:tc>
              <w:tc>
                <w:tcPr>
                  <w:tcW w:w="417" w:type="pct"/>
                  <w:vAlign w:val="center"/>
                </w:tcPr>
                <w:p w:rsidR="00AB33DA" w:rsidRPr="00AB33DA" w:rsidRDefault="00AB33DA" w:rsidP="00AB33DA">
                  <w:pPr>
                    <w:pStyle w:val="TableBodyText"/>
                  </w:pPr>
                  <w:r w:rsidRPr="00AB33DA">
                    <w:t>72</w:t>
                  </w:r>
                </w:p>
              </w:tc>
            </w:tr>
            <w:tr w:rsidR="00AB33DA" w:rsidTr="00393026">
              <w:tc>
                <w:tcPr>
                  <w:tcW w:w="1240" w:type="pct"/>
                </w:tcPr>
                <w:p w:rsidR="00AB33DA" w:rsidRDefault="00AB33DA" w:rsidP="00B76090">
                  <w:pPr>
                    <w:pStyle w:val="TableBodyText"/>
                    <w:jc w:val="left"/>
                  </w:pPr>
                  <w:r>
                    <w:t xml:space="preserve">  5 — Non-urgent</w:t>
                  </w:r>
                </w:p>
              </w:tc>
              <w:tc>
                <w:tcPr>
                  <w:tcW w:w="417" w:type="pct"/>
                  <w:vAlign w:val="center"/>
                </w:tcPr>
                <w:p w:rsidR="00AB33DA" w:rsidRPr="00AB33DA" w:rsidRDefault="00AB33DA" w:rsidP="00AB33DA">
                  <w:pPr>
                    <w:pStyle w:val="TableBodyText"/>
                  </w:pPr>
                  <w:r w:rsidRPr="00AB33DA">
                    <w:t>92</w:t>
                  </w:r>
                </w:p>
              </w:tc>
              <w:tc>
                <w:tcPr>
                  <w:tcW w:w="418" w:type="pct"/>
                  <w:vAlign w:val="center"/>
                </w:tcPr>
                <w:p w:rsidR="00AB33DA" w:rsidRPr="00AB33DA" w:rsidRDefault="00AB33DA" w:rsidP="00AB33DA">
                  <w:pPr>
                    <w:pStyle w:val="TableBodyText"/>
                  </w:pPr>
                  <w:r w:rsidRPr="00AB33DA">
                    <w:t>87</w:t>
                  </w:r>
                </w:p>
              </w:tc>
              <w:tc>
                <w:tcPr>
                  <w:tcW w:w="417" w:type="pct"/>
                  <w:vAlign w:val="center"/>
                </w:tcPr>
                <w:p w:rsidR="00AB33DA" w:rsidRPr="00AB33DA" w:rsidRDefault="00AB33DA" w:rsidP="00AB33DA">
                  <w:pPr>
                    <w:pStyle w:val="TableBodyText"/>
                  </w:pPr>
                  <w:r w:rsidRPr="00AB33DA">
                    <w:t>92</w:t>
                  </w:r>
                </w:p>
              </w:tc>
              <w:tc>
                <w:tcPr>
                  <w:tcW w:w="417" w:type="pct"/>
                  <w:vAlign w:val="center"/>
                </w:tcPr>
                <w:p w:rsidR="00AB33DA" w:rsidRPr="00AB33DA" w:rsidRDefault="00AB33DA" w:rsidP="00AB33DA">
                  <w:pPr>
                    <w:pStyle w:val="TableBodyText"/>
                  </w:pPr>
                  <w:r w:rsidRPr="00AB33DA">
                    <w:t>93</w:t>
                  </w:r>
                </w:p>
              </w:tc>
              <w:tc>
                <w:tcPr>
                  <w:tcW w:w="418" w:type="pct"/>
                  <w:vAlign w:val="center"/>
                </w:tcPr>
                <w:p w:rsidR="00AB33DA" w:rsidRPr="00AB33DA" w:rsidRDefault="00AB33DA" w:rsidP="00AB33DA">
                  <w:pPr>
                    <w:pStyle w:val="TableBodyText"/>
                  </w:pPr>
                  <w:r w:rsidRPr="00AB33DA">
                    <w:t>92</w:t>
                  </w:r>
                </w:p>
              </w:tc>
              <w:tc>
                <w:tcPr>
                  <w:tcW w:w="417" w:type="pct"/>
                  <w:vAlign w:val="center"/>
                </w:tcPr>
                <w:p w:rsidR="00AB33DA" w:rsidRPr="00AB33DA" w:rsidRDefault="00AB33DA" w:rsidP="00AB33DA">
                  <w:pPr>
                    <w:pStyle w:val="TableBodyText"/>
                  </w:pPr>
                  <w:r w:rsidRPr="00AB33DA">
                    <w:t>90</w:t>
                  </w:r>
                </w:p>
              </w:tc>
              <w:tc>
                <w:tcPr>
                  <w:tcW w:w="418" w:type="pct"/>
                  <w:vAlign w:val="center"/>
                </w:tcPr>
                <w:p w:rsidR="00AB33DA" w:rsidRPr="00AB33DA" w:rsidRDefault="00AB33DA" w:rsidP="00AB33DA">
                  <w:pPr>
                    <w:pStyle w:val="TableBodyText"/>
                  </w:pPr>
                  <w:r w:rsidRPr="00AB33DA">
                    <w:t>79</w:t>
                  </w:r>
                </w:p>
              </w:tc>
              <w:tc>
                <w:tcPr>
                  <w:tcW w:w="420" w:type="pct"/>
                  <w:vAlign w:val="center"/>
                </w:tcPr>
                <w:p w:rsidR="00AB33DA" w:rsidRPr="00AB33DA" w:rsidRDefault="00AB33DA" w:rsidP="00AB33DA">
                  <w:pPr>
                    <w:pStyle w:val="TableBodyText"/>
                  </w:pPr>
                  <w:r w:rsidRPr="00AB33DA">
                    <w:t>89</w:t>
                  </w:r>
                </w:p>
              </w:tc>
              <w:tc>
                <w:tcPr>
                  <w:tcW w:w="417" w:type="pct"/>
                  <w:vAlign w:val="center"/>
                </w:tcPr>
                <w:p w:rsidR="00AB33DA" w:rsidRPr="00AB33DA" w:rsidRDefault="00AB33DA" w:rsidP="00AB33DA">
                  <w:pPr>
                    <w:pStyle w:val="TableBodyText"/>
                  </w:pPr>
                  <w:r w:rsidRPr="00AB33DA">
                    <w:t>91</w:t>
                  </w:r>
                </w:p>
              </w:tc>
            </w:tr>
            <w:tr w:rsidR="00AB33DA" w:rsidTr="00393026">
              <w:tc>
                <w:tcPr>
                  <w:tcW w:w="1240" w:type="pct"/>
                </w:tcPr>
                <w:p w:rsidR="00AB33DA" w:rsidRPr="00B76090" w:rsidRDefault="00AB33DA" w:rsidP="00EB796A">
                  <w:pPr>
                    <w:pStyle w:val="TableBodyText"/>
                    <w:jc w:val="left"/>
                    <w:rPr>
                      <w:b/>
                    </w:rPr>
                  </w:pPr>
                  <w:r w:rsidRPr="00B76090">
                    <w:rPr>
                      <w:b/>
                    </w:rPr>
                    <w:t xml:space="preserve">  Total</w:t>
                  </w:r>
                </w:p>
              </w:tc>
              <w:tc>
                <w:tcPr>
                  <w:tcW w:w="417" w:type="pct"/>
                  <w:vAlign w:val="center"/>
                </w:tcPr>
                <w:p w:rsidR="00AB33DA" w:rsidRPr="00AB33DA" w:rsidRDefault="00AB33DA" w:rsidP="00AB33DA">
                  <w:pPr>
                    <w:pStyle w:val="TableBodyText"/>
                    <w:rPr>
                      <w:b/>
                    </w:rPr>
                  </w:pPr>
                  <w:r w:rsidRPr="00AB33DA">
                    <w:rPr>
                      <w:b/>
                    </w:rPr>
                    <w:t>78</w:t>
                  </w:r>
                </w:p>
              </w:tc>
              <w:tc>
                <w:tcPr>
                  <w:tcW w:w="418" w:type="pct"/>
                  <w:vAlign w:val="center"/>
                </w:tcPr>
                <w:p w:rsidR="00AB33DA" w:rsidRPr="00AB33DA" w:rsidRDefault="00AB33DA" w:rsidP="00AB33DA">
                  <w:pPr>
                    <w:pStyle w:val="TableBodyText"/>
                    <w:rPr>
                      <w:b/>
                    </w:rPr>
                  </w:pPr>
                  <w:r w:rsidRPr="00AB33DA">
                    <w:rPr>
                      <w:b/>
                    </w:rPr>
                    <w:t>73</w:t>
                  </w:r>
                </w:p>
              </w:tc>
              <w:tc>
                <w:tcPr>
                  <w:tcW w:w="417" w:type="pct"/>
                  <w:vAlign w:val="center"/>
                </w:tcPr>
                <w:p w:rsidR="00AB33DA" w:rsidRPr="00AB33DA" w:rsidRDefault="00AB33DA" w:rsidP="00AB33DA">
                  <w:pPr>
                    <w:pStyle w:val="TableBodyText"/>
                    <w:rPr>
                      <w:b/>
                    </w:rPr>
                  </w:pPr>
                  <w:r w:rsidRPr="00AB33DA">
                    <w:rPr>
                      <w:b/>
                    </w:rPr>
                    <w:t>74</w:t>
                  </w:r>
                </w:p>
              </w:tc>
              <w:tc>
                <w:tcPr>
                  <w:tcW w:w="417" w:type="pct"/>
                  <w:vAlign w:val="center"/>
                </w:tcPr>
                <w:p w:rsidR="00AB33DA" w:rsidRPr="00AB33DA" w:rsidRDefault="00AB33DA" w:rsidP="00AB33DA">
                  <w:pPr>
                    <w:pStyle w:val="TableBodyText"/>
                    <w:rPr>
                      <w:b/>
                    </w:rPr>
                  </w:pPr>
                  <w:r w:rsidRPr="00AB33DA">
                    <w:rPr>
                      <w:b/>
                    </w:rPr>
                    <w:t>66</w:t>
                  </w:r>
                </w:p>
              </w:tc>
              <w:tc>
                <w:tcPr>
                  <w:tcW w:w="418" w:type="pct"/>
                  <w:vAlign w:val="center"/>
                </w:tcPr>
                <w:p w:rsidR="00AB33DA" w:rsidRPr="00AB33DA" w:rsidRDefault="00AB33DA" w:rsidP="00AB33DA">
                  <w:pPr>
                    <w:pStyle w:val="TableBodyText"/>
                    <w:rPr>
                      <w:b/>
                    </w:rPr>
                  </w:pPr>
                  <w:r w:rsidRPr="00AB33DA">
                    <w:rPr>
                      <w:b/>
                    </w:rPr>
                    <w:t>75</w:t>
                  </w:r>
                </w:p>
              </w:tc>
              <w:tc>
                <w:tcPr>
                  <w:tcW w:w="417" w:type="pct"/>
                  <w:vAlign w:val="center"/>
                </w:tcPr>
                <w:p w:rsidR="00AB33DA" w:rsidRPr="00AB33DA" w:rsidRDefault="00AB33DA" w:rsidP="00AB33DA">
                  <w:pPr>
                    <w:pStyle w:val="TableBodyText"/>
                    <w:rPr>
                      <w:b/>
                    </w:rPr>
                  </w:pPr>
                  <w:r w:rsidRPr="00AB33DA">
                    <w:rPr>
                      <w:b/>
                    </w:rPr>
                    <w:t>71</w:t>
                  </w:r>
                </w:p>
              </w:tc>
              <w:tc>
                <w:tcPr>
                  <w:tcW w:w="418" w:type="pct"/>
                  <w:vAlign w:val="center"/>
                </w:tcPr>
                <w:p w:rsidR="00AB33DA" w:rsidRPr="00AB33DA" w:rsidRDefault="00AB33DA" w:rsidP="00AB33DA">
                  <w:pPr>
                    <w:pStyle w:val="TableBodyText"/>
                    <w:rPr>
                      <w:b/>
                    </w:rPr>
                  </w:pPr>
                  <w:r w:rsidRPr="00AB33DA">
                    <w:rPr>
                      <w:b/>
                    </w:rPr>
                    <w:t>51</w:t>
                  </w:r>
                </w:p>
              </w:tc>
              <w:tc>
                <w:tcPr>
                  <w:tcW w:w="420" w:type="pct"/>
                  <w:vAlign w:val="center"/>
                </w:tcPr>
                <w:p w:rsidR="00AB33DA" w:rsidRPr="00AB33DA" w:rsidRDefault="00AB33DA" w:rsidP="00AB33DA">
                  <w:pPr>
                    <w:pStyle w:val="TableBodyText"/>
                    <w:rPr>
                      <w:b/>
                    </w:rPr>
                  </w:pPr>
                  <w:r w:rsidRPr="00AB33DA">
                    <w:rPr>
                      <w:b/>
                    </w:rPr>
                    <w:t>57</w:t>
                  </w:r>
                </w:p>
              </w:tc>
              <w:tc>
                <w:tcPr>
                  <w:tcW w:w="417" w:type="pct"/>
                  <w:vAlign w:val="center"/>
                </w:tcPr>
                <w:p w:rsidR="00AB33DA" w:rsidRPr="00AB33DA" w:rsidRDefault="00AB33DA" w:rsidP="00AB33DA">
                  <w:pPr>
                    <w:pStyle w:val="TableBodyText"/>
                    <w:rPr>
                      <w:b/>
                    </w:rPr>
                  </w:pPr>
                  <w:r w:rsidRPr="00AB33DA">
                    <w:rPr>
                      <w:b/>
                    </w:rPr>
                    <w:t>73</w:t>
                  </w:r>
                </w:p>
              </w:tc>
            </w:tr>
            <w:tr w:rsidR="006B39F4" w:rsidTr="00E919A3">
              <w:tc>
                <w:tcPr>
                  <w:tcW w:w="1240" w:type="pct"/>
                  <w:shd w:val="clear" w:color="auto" w:fill="auto"/>
                </w:tcPr>
                <w:p w:rsidR="006B39F4" w:rsidRDefault="006B39F4" w:rsidP="00EB796A">
                  <w:pPr>
                    <w:pStyle w:val="TableBodyText"/>
                    <w:jc w:val="left"/>
                  </w:pPr>
                  <w:r>
                    <w:t xml:space="preserve">  Data coverage</w:t>
                  </w:r>
                  <w:r w:rsidRPr="00B76090">
                    <w:rPr>
                      <w:rStyle w:val="NoteLabel"/>
                    </w:rPr>
                    <w:t>c</w:t>
                  </w:r>
                </w:p>
              </w:tc>
              <w:tc>
                <w:tcPr>
                  <w:tcW w:w="417" w:type="pct"/>
                  <w:shd w:val="clear" w:color="auto" w:fill="auto"/>
                  <w:vAlign w:val="center"/>
                </w:tcPr>
                <w:p w:rsidR="006B39F4" w:rsidRPr="006B39F4" w:rsidRDefault="006B39F4" w:rsidP="006B39F4">
                  <w:pPr>
                    <w:pStyle w:val="TableBodyText"/>
                  </w:pPr>
                  <w:r w:rsidRPr="006B39F4">
                    <w:t>88</w:t>
                  </w:r>
                </w:p>
              </w:tc>
              <w:tc>
                <w:tcPr>
                  <w:tcW w:w="418" w:type="pct"/>
                  <w:shd w:val="clear" w:color="auto" w:fill="auto"/>
                  <w:vAlign w:val="center"/>
                </w:tcPr>
                <w:p w:rsidR="006B39F4" w:rsidRPr="006B39F4" w:rsidRDefault="006B39F4" w:rsidP="006B39F4">
                  <w:pPr>
                    <w:pStyle w:val="TableBodyText"/>
                  </w:pPr>
                  <w:r w:rsidRPr="006B39F4">
                    <w:t>92</w:t>
                  </w:r>
                </w:p>
              </w:tc>
              <w:tc>
                <w:tcPr>
                  <w:tcW w:w="417" w:type="pct"/>
                  <w:shd w:val="clear" w:color="auto" w:fill="auto"/>
                  <w:vAlign w:val="center"/>
                </w:tcPr>
                <w:p w:rsidR="006B39F4" w:rsidRPr="006B39F4" w:rsidRDefault="006B39F4" w:rsidP="006B39F4">
                  <w:pPr>
                    <w:pStyle w:val="TableBodyText"/>
                  </w:pPr>
                  <w:r w:rsidRPr="006B39F4">
                    <w:t>74</w:t>
                  </w:r>
                </w:p>
              </w:tc>
              <w:tc>
                <w:tcPr>
                  <w:tcW w:w="417" w:type="pct"/>
                  <w:shd w:val="clear" w:color="auto" w:fill="auto"/>
                  <w:vAlign w:val="center"/>
                </w:tcPr>
                <w:p w:rsidR="006B39F4" w:rsidRPr="006B39F4" w:rsidRDefault="006B39F4" w:rsidP="006B39F4">
                  <w:pPr>
                    <w:pStyle w:val="TableBodyText"/>
                  </w:pPr>
                  <w:r w:rsidRPr="006B39F4">
                    <w:t>78</w:t>
                  </w:r>
                </w:p>
              </w:tc>
              <w:tc>
                <w:tcPr>
                  <w:tcW w:w="418" w:type="pct"/>
                  <w:shd w:val="clear" w:color="auto" w:fill="auto"/>
                  <w:vAlign w:val="center"/>
                </w:tcPr>
                <w:p w:rsidR="006B39F4" w:rsidRPr="006B39F4" w:rsidRDefault="006B39F4" w:rsidP="006B39F4">
                  <w:pPr>
                    <w:pStyle w:val="TableBodyText"/>
                  </w:pPr>
                  <w:r w:rsidRPr="006B39F4">
                    <w:t>83</w:t>
                  </w:r>
                </w:p>
              </w:tc>
              <w:tc>
                <w:tcPr>
                  <w:tcW w:w="417" w:type="pct"/>
                  <w:shd w:val="clear" w:color="auto" w:fill="auto"/>
                  <w:vAlign w:val="center"/>
                </w:tcPr>
                <w:p w:rsidR="006B39F4" w:rsidRPr="006B39F4" w:rsidRDefault="006B39F4" w:rsidP="006B39F4">
                  <w:pPr>
                    <w:pStyle w:val="TableBodyText"/>
                  </w:pPr>
                  <w:r w:rsidRPr="006B39F4">
                    <w:t>92</w:t>
                  </w:r>
                </w:p>
              </w:tc>
              <w:tc>
                <w:tcPr>
                  <w:tcW w:w="418" w:type="pct"/>
                  <w:shd w:val="clear" w:color="auto" w:fill="auto"/>
                  <w:vAlign w:val="center"/>
                </w:tcPr>
                <w:p w:rsidR="006B39F4" w:rsidRPr="006B39F4" w:rsidRDefault="006B39F4" w:rsidP="006B39F4">
                  <w:pPr>
                    <w:pStyle w:val="TableBodyText"/>
                  </w:pPr>
                  <w:r w:rsidRPr="006B39F4">
                    <w:t>100</w:t>
                  </w:r>
                </w:p>
              </w:tc>
              <w:tc>
                <w:tcPr>
                  <w:tcW w:w="420" w:type="pct"/>
                  <w:shd w:val="clear" w:color="auto" w:fill="auto"/>
                  <w:vAlign w:val="center"/>
                </w:tcPr>
                <w:p w:rsidR="006B39F4" w:rsidRPr="006B39F4" w:rsidRDefault="006B39F4" w:rsidP="006B39F4">
                  <w:pPr>
                    <w:pStyle w:val="TableBodyText"/>
                  </w:pPr>
                  <w:r w:rsidRPr="006B39F4">
                    <w:t>100</w:t>
                  </w:r>
                </w:p>
              </w:tc>
              <w:tc>
                <w:tcPr>
                  <w:tcW w:w="417" w:type="pct"/>
                  <w:shd w:val="clear" w:color="auto" w:fill="auto"/>
                  <w:vAlign w:val="center"/>
                </w:tcPr>
                <w:p w:rsidR="006B39F4" w:rsidRPr="006B39F4" w:rsidRDefault="006B39F4" w:rsidP="006B39F4">
                  <w:pPr>
                    <w:pStyle w:val="TableBodyText"/>
                  </w:pPr>
                  <w:r w:rsidRPr="006B39F4">
                    <w:t>85</w:t>
                  </w:r>
                </w:p>
              </w:tc>
            </w:tr>
            <w:tr w:rsidR="006B39F4" w:rsidTr="00E919A3">
              <w:tc>
                <w:tcPr>
                  <w:tcW w:w="1240" w:type="pct"/>
                  <w:shd w:val="clear" w:color="auto" w:fill="auto"/>
                </w:tcPr>
                <w:p w:rsidR="006B39F4" w:rsidRDefault="006B39F4" w:rsidP="00EB796A">
                  <w:pPr>
                    <w:pStyle w:val="TableBodyText"/>
                    <w:jc w:val="left"/>
                  </w:pPr>
                  <w:r>
                    <w:t>2013-14</w:t>
                  </w:r>
                </w:p>
              </w:tc>
              <w:tc>
                <w:tcPr>
                  <w:tcW w:w="417" w:type="pct"/>
                  <w:shd w:val="clear" w:color="auto" w:fill="auto"/>
                </w:tcPr>
                <w:p w:rsidR="006B39F4" w:rsidRDefault="006B39F4" w:rsidP="00EB796A">
                  <w:pPr>
                    <w:pStyle w:val="TableBodyText"/>
                  </w:pPr>
                </w:p>
              </w:tc>
              <w:tc>
                <w:tcPr>
                  <w:tcW w:w="418" w:type="pct"/>
                  <w:shd w:val="clear" w:color="auto" w:fill="auto"/>
                </w:tcPr>
                <w:p w:rsidR="006B39F4" w:rsidRDefault="006B39F4" w:rsidP="00EB796A">
                  <w:pPr>
                    <w:pStyle w:val="TableBodyText"/>
                  </w:pPr>
                </w:p>
              </w:tc>
              <w:tc>
                <w:tcPr>
                  <w:tcW w:w="417" w:type="pct"/>
                  <w:shd w:val="clear" w:color="auto" w:fill="auto"/>
                </w:tcPr>
                <w:p w:rsidR="006B39F4" w:rsidRDefault="006B39F4" w:rsidP="00EB796A">
                  <w:pPr>
                    <w:pStyle w:val="TableBodyText"/>
                  </w:pPr>
                </w:p>
              </w:tc>
              <w:tc>
                <w:tcPr>
                  <w:tcW w:w="417" w:type="pct"/>
                  <w:shd w:val="clear" w:color="auto" w:fill="auto"/>
                </w:tcPr>
                <w:p w:rsidR="006B39F4" w:rsidRDefault="006B39F4" w:rsidP="00EB796A">
                  <w:pPr>
                    <w:pStyle w:val="TableBodyText"/>
                  </w:pPr>
                </w:p>
              </w:tc>
              <w:tc>
                <w:tcPr>
                  <w:tcW w:w="418" w:type="pct"/>
                  <w:shd w:val="clear" w:color="auto" w:fill="auto"/>
                </w:tcPr>
                <w:p w:rsidR="006B39F4" w:rsidRDefault="006B39F4" w:rsidP="00EB796A">
                  <w:pPr>
                    <w:pStyle w:val="TableBodyText"/>
                  </w:pPr>
                </w:p>
              </w:tc>
              <w:tc>
                <w:tcPr>
                  <w:tcW w:w="417" w:type="pct"/>
                  <w:shd w:val="clear" w:color="auto" w:fill="auto"/>
                </w:tcPr>
                <w:p w:rsidR="006B39F4" w:rsidRDefault="006B39F4" w:rsidP="00EB796A">
                  <w:pPr>
                    <w:pStyle w:val="TableBodyText"/>
                  </w:pPr>
                </w:p>
              </w:tc>
              <w:tc>
                <w:tcPr>
                  <w:tcW w:w="418" w:type="pct"/>
                  <w:shd w:val="clear" w:color="auto" w:fill="auto"/>
                </w:tcPr>
                <w:p w:rsidR="006B39F4" w:rsidRDefault="006B39F4" w:rsidP="00EB796A">
                  <w:pPr>
                    <w:pStyle w:val="TableBodyText"/>
                  </w:pPr>
                </w:p>
              </w:tc>
              <w:tc>
                <w:tcPr>
                  <w:tcW w:w="420" w:type="pct"/>
                  <w:shd w:val="clear" w:color="auto" w:fill="auto"/>
                </w:tcPr>
                <w:p w:rsidR="006B39F4" w:rsidRDefault="006B39F4" w:rsidP="00EB796A">
                  <w:pPr>
                    <w:pStyle w:val="TableBodyText"/>
                  </w:pPr>
                </w:p>
              </w:tc>
              <w:tc>
                <w:tcPr>
                  <w:tcW w:w="417" w:type="pct"/>
                  <w:shd w:val="clear" w:color="auto" w:fill="auto"/>
                </w:tcPr>
                <w:p w:rsidR="006B39F4" w:rsidRDefault="006B39F4" w:rsidP="00EB796A">
                  <w:pPr>
                    <w:pStyle w:val="TableBodyText"/>
                    <w:ind w:right="28"/>
                  </w:pPr>
                </w:p>
              </w:tc>
            </w:tr>
            <w:tr w:rsidR="006B39F4" w:rsidTr="00E919A3">
              <w:tc>
                <w:tcPr>
                  <w:tcW w:w="1240" w:type="pct"/>
                  <w:shd w:val="clear" w:color="auto" w:fill="auto"/>
                </w:tcPr>
                <w:p w:rsidR="006B39F4" w:rsidRDefault="006B39F4" w:rsidP="00604654">
                  <w:pPr>
                    <w:pStyle w:val="TableBodyText"/>
                    <w:jc w:val="left"/>
                  </w:pPr>
                  <w:r>
                    <w:t xml:space="preserve">  1 — Resuscitation</w:t>
                  </w:r>
                  <w:r w:rsidRPr="00B76090">
                    <w:rPr>
                      <w:rStyle w:val="NoteLabel"/>
                    </w:rPr>
                    <w:t>b</w:t>
                  </w:r>
                </w:p>
              </w:tc>
              <w:tc>
                <w:tcPr>
                  <w:tcW w:w="417" w:type="pct"/>
                  <w:shd w:val="clear" w:color="auto" w:fill="auto"/>
                  <w:vAlign w:val="center"/>
                </w:tcPr>
                <w:p w:rsidR="006B39F4" w:rsidRPr="006B39F4" w:rsidRDefault="006B39F4" w:rsidP="006B39F4">
                  <w:pPr>
                    <w:pStyle w:val="TableBodyText"/>
                  </w:pPr>
                  <w:r w:rsidRPr="006B39F4">
                    <w:t>100</w:t>
                  </w:r>
                </w:p>
              </w:tc>
              <w:tc>
                <w:tcPr>
                  <w:tcW w:w="418" w:type="pct"/>
                  <w:shd w:val="clear" w:color="auto" w:fill="auto"/>
                  <w:vAlign w:val="center"/>
                </w:tcPr>
                <w:p w:rsidR="006B39F4" w:rsidRPr="006B39F4" w:rsidRDefault="006B39F4" w:rsidP="006B39F4">
                  <w:pPr>
                    <w:pStyle w:val="TableBodyText"/>
                  </w:pPr>
                  <w:r w:rsidRPr="006B39F4">
                    <w:t>100</w:t>
                  </w:r>
                </w:p>
              </w:tc>
              <w:tc>
                <w:tcPr>
                  <w:tcW w:w="417" w:type="pct"/>
                  <w:shd w:val="clear" w:color="auto" w:fill="auto"/>
                  <w:vAlign w:val="center"/>
                </w:tcPr>
                <w:p w:rsidR="006B39F4" w:rsidRPr="006B39F4" w:rsidRDefault="006B39F4" w:rsidP="006B39F4">
                  <w:pPr>
                    <w:pStyle w:val="TableBodyText"/>
                  </w:pPr>
                  <w:r w:rsidRPr="006B39F4">
                    <w:t>100</w:t>
                  </w:r>
                </w:p>
              </w:tc>
              <w:tc>
                <w:tcPr>
                  <w:tcW w:w="417" w:type="pct"/>
                  <w:shd w:val="clear" w:color="auto" w:fill="auto"/>
                  <w:vAlign w:val="center"/>
                </w:tcPr>
                <w:p w:rsidR="006B39F4" w:rsidRPr="006B39F4" w:rsidRDefault="006B39F4" w:rsidP="006B39F4">
                  <w:pPr>
                    <w:pStyle w:val="TableBodyText"/>
                  </w:pPr>
                  <w:r w:rsidRPr="006B39F4">
                    <w:t>100</w:t>
                  </w:r>
                </w:p>
              </w:tc>
              <w:tc>
                <w:tcPr>
                  <w:tcW w:w="418" w:type="pct"/>
                  <w:shd w:val="clear" w:color="auto" w:fill="auto"/>
                  <w:vAlign w:val="center"/>
                </w:tcPr>
                <w:p w:rsidR="006B39F4" w:rsidRPr="006B39F4" w:rsidRDefault="006B39F4" w:rsidP="006B39F4">
                  <w:pPr>
                    <w:pStyle w:val="TableBodyText"/>
                  </w:pPr>
                  <w:r w:rsidRPr="006B39F4">
                    <w:t>100</w:t>
                  </w:r>
                </w:p>
              </w:tc>
              <w:tc>
                <w:tcPr>
                  <w:tcW w:w="417" w:type="pct"/>
                  <w:shd w:val="clear" w:color="auto" w:fill="auto"/>
                  <w:vAlign w:val="center"/>
                </w:tcPr>
                <w:p w:rsidR="006B39F4" w:rsidRPr="006B39F4" w:rsidRDefault="006B39F4" w:rsidP="006B39F4">
                  <w:pPr>
                    <w:pStyle w:val="TableBodyText"/>
                  </w:pPr>
                  <w:r w:rsidRPr="006B39F4">
                    <w:t>100</w:t>
                  </w:r>
                </w:p>
              </w:tc>
              <w:tc>
                <w:tcPr>
                  <w:tcW w:w="418" w:type="pct"/>
                  <w:shd w:val="clear" w:color="auto" w:fill="auto"/>
                  <w:vAlign w:val="center"/>
                </w:tcPr>
                <w:p w:rsidR="006B39F4" w:rsidRPr="006B39F4" w:rsidRDefault="006B39F4" w:rsidP="006B39F4">
                  <w:pPr>
                    <w:pStyle w:val="TableBodyText"/>
                  </w:pPr>
                  <w:r w:rsidRPr="006B39F4">
                    <w:t>100</w:t>
                  </w:r>
                </w:p>
              </w:tc>
              <w:tc>
                <w:tcPr>
                  <w:tcW w:w="420" w:type="pct"/>
                  <w:shd w:val="clear" w:color="auto" w:fill="auto"/>
                  <w:vAlign w:val="center"/>
                </w:tcPr>
                <w:p w:rsidR="006B39F4" w:rsidRPr="006B39F4" w:rsidRDefault="006B39F4" w:rsidP="006B39F4">
                  <w:pPr>
                    <w:pStyle w:val="TableBodyText"/>
                  </w:pPr>
                  <w:r w:rsidRPr="006B39F4">
                    <w:t>100</w:t>
                  </w:r>
                </w:p>
              </w:tc>
              <w:tc>
                <w:tcPr>
                  <w:tcW w:w="417" w:type="pct"/>
                  <w:shd w:val="clear" w:color="auto" w:fill="auto"/>
                  <w:vAlign w:val="center"/>
                </w:tcPr>
                <w:p w:rsidR="006B39F4" w:rsidRPr="006B39F4" w:rsidRDefault="006B39F4" w:rsidP="006B39F4">
                  <w:pPr>
                    <w:pStyle w:val="TableBodyText"/>
                  </w:pPr>
                  <w:r w:rsidRPr="006B39F4">
                    <w:t>100</w:t>
                  </w:r>
                </w:p>
              </w:tc>
            </w:tr>
            <w:tr w:rsidR="006B39F4" w:rsidTr="00E919A3">
              <w:tc>
                <w:tcPr>
                  <w:tcW w:w="1240" w:type="pct"/>
                  <w:shd w:val="clear" w:color="auto" w:fill="auto"/>
                </w:tcPr>
                <w:p w:rsidR="006B39F4" w:rsidRDefault="006B39F4" w:rsidP="00604654">
                  <w:pPr>
                    <w:pStyle w:val="TableBodyText"/>
                    <w:jc w:val="left"/>
                  </w:pPr>
                  <w:r>
                    <w:t xml:space="preserve">  2 — Emergency</w:t>
                  </w:r>
                </w:p>
              </w:tc>
              <w:tc>
                <w:tcPr>
                  <w:tcW w:w="417" w:type="pct"/>
                  <w:shd w:val="clear" w:color="auto" w:fill="auto"/>
                  <w:vAlign w:val="center"/>
                </w:tcPr>
                <w:p w:rsidR="006B39F4" w:rsidRPr="006B39F4" w:rsidRDefault="006B39F4" w:rsidP="006B39F4">
                  <w:pPr>
                    <w:pStyle w:val="TableBodyText"/>
                  </w:pPr>
                  <w:r w:rsidRPr="006B39F4">
                    <w:t>83</w:t>
                  </w:r>
                </w:p>
              </w:tc>
              <w:tc>
                <w:tcPr>
                  <w:tcW w:w="418" w:type="pct"/>
                  <w:shd w:val="clear" w:color="auto" w:fill="auto"/>
                  <w:vAlign w:val="center"/>
                </w:tcPr>
                <w:p w:rsidR="006B39F4" w:rsidRPr="006B39F4" w:rsidRDefault="006B39F4" w:rsidP="006B39F4">
                  <w:pPr>
                    <w:pStyle w:val="TableBodyText"/>
                  </w:pPr>
                  <w:r w:rsidRPr="006B39F4">
                    <w:t>84</w:t>
                  </w:r>
                </w:p>
              </w:tc>
              <w:tc>
                <w:tcPr>
                  <w:tcW w:w="417" w:type="pct"/>
                  <w:shd w:val="clear" w:color="auto" w:fill="auto"/>
                  <w:vAlign w:val="center"/>
                </w:tcPr>
                <w:p w:rsidR="006B39F4" w:rsidRPr="006B39F4" w:rsidRDefault="006B39F4" w:rsidP="006B39F4">
                  <w:pPr>
                    <w:pStyle w:val="TableBodyText"/>
                  </w:pPr>
                  <w:r w:rsidRPr="006B39F4">
                    <w:t>80</w:t>
                  </w:r>
                </w:p>
              </w:tc>
              <w:tc>
                <w:tcPr>
                  <w:tcW w:w="417" w:type="pct"/>
                  <w:shd w:val="clear" w:color="auto" w:fill="auto"/>
                  <w:vAlign w:val="center"/>
                </w:tcPr>
                <w:p w:rsidR="006B39F4" w:rsidRPr="006B39F4" w:rsidRDefault="006B39F4" w:rsidP="006B39F4">
                  <w:pPr>
                    <w:pStyle w:val="TableBodyText"/>
                  </w:pPr>
                  <w:r w:rsidRPr="006B39F4">
                    <w:t>86</w:t>
                  </w:r>
                </w:p>
              </w:tc>
              <w:tc>
                <w:tcPr>
                  <w:tcW w:w="418" w:type="pct"/>
                  <w:shd w:val="clear" w:color="auto" w:fill="auto"/>
                  <w:vAlign w:val="center"/>
                </w:tcPr>
                <w:p w:rsidR="006B39F4" w:rsidRPr="006B39F4" w:rsidRDefault="006B39F4" w:rsidP="006B39F4">
                  <w:pPr>
                    <w:pStyle w:val="TableBodyText"/>
                  </w:pPr>
                  <w:r w:rsidRPr="006B39F4">
                    <w:t>74</w:t>
                  </w:r>
                </w:p>
              </w:tc>
              <w:tc>
                <w:tcPr>
                  <w:tcW w:w="417" w:type="pct"/>
                  <w:shd w:val="clear" w:color="auto" w:fill="auto"/>
                  <w:vAlign w:val="center"/>
                </w:tcPr>
                <w:p w:rsidR="006B39F4" w:rsidRPr="006B39F4" w:rsidRDefault="006B39F4" w:rsidP="006B39F4">
                  <w:pPr>
                    <w:pStyle w:val="TableBodyText"/>
                  </w:pPr>
                  <w:r w:rsidRPr="006B39F4">
                    <w:t>85</w:t>
                  </w:r>
                </w:p>
              </w:tc>
              <w:tc>
                <w:tcPr>
                  <w:tcW w:w="418" w:type="pct"/>
                  <w:shd w:val="clear" w:color="auto" w:fill="auto"/>
                  <w:vAlign w:val="center"/>
                </w:tcPr>
                <w:p w:rsidR="006B39F4" w:rsidRPr="006B39F4" w:rsidRDefault="006B39F4" w:rsidP="006B39F4">
                  <w:pPr>
                    <w:pStyle w:val="TableBodyText"/>
                  </w:pPr>
                  <w:r w:rsidRPr="006B39F4">
                    <w:t>83</w:t>
                  </w:r>
                </w:p>
              </w:tc>
              <w:tc>
                <w:tcPr>
                  <w:tcW w:w="420" w:type="pct"/>
                  <w:shd w:val="clear" w:color="auto" w:fill="auto"/>
                  <w:vAlign w:val="center"/>
                </w:tcPr>
                <w:p w:rsidR="006B39F4" w:rsidRPr="006B39F4" w:rsidRDefault="006B39F4" w:rsidP="006B39F4">
                  <w:pPr>
                    <w:pStyle w:val="TableBodyText"/>
                  </w:pPr>
                  <w:r w:rsidRPr="006B39F4">
                    <w:t>61</w:t>
                  </w:r>
                </w:p>
              </w:tc>
              <w:tc>
                <w:tcPr>
                  <w:tcW w:w="417" w:type="pct"/>
                  <w:shd w:val="clear" w:color="auto" w:fill="auto"/>
                  <w:vAlign w:val="center"/>
                </w:tcPr>
                <w:p w:rsidR="006B39F4" w:rsidRPr="006B39F4" w:rsidRDefault="006B39F4" w:rsidP="006B39F4">
                  <w:pPr>
                    <w:pStyle w:val="TableBodyText"/>
                  </w:pPr>
                  <w:r w:rsidRPr="006B39F4">
                    <w:t>82</w:t>
                  </w:r>
                </w:p>
              </w:tc>
            </w:tr>
            <w:tr w:rsidR="006B39F4" w:rsidTr="00E919A3">
              <w:tc>
                <w:tcPr>
                  <w:tcW w:w="1240" w:type="pct"/>
                  <w:shd w:val="clear" w:color="auto" w:fill="auto"/>
                </w:tcPr>
                <w:p w:rsidR="006B39F4" w:rsidRDefault="006B39F4" w:rsidP="00604654">
                  <w:pPr>
                    <w:pStyle w:val="TableBodyText"/>
                    <w:jc w:val="left"/>
                  </w:pPr>
                  <w:r>
                    <w:t xml:space="preserve">  3 — Urgent</w:t>
                  </w:r>
                </w:p>
              </w:tc>
              <w:tc>
                <w:tcPr>
                  <w:tcW w:w="417" w:type="pct"/>
                  <w:shd w:val="clear" w:color="auto" w:fill="auto"/>
                  <w:vAlign w:val="center"/>
                </w:tcPr>
                <w:p w:rsidR="006B39F4" w:rsidRPr="006B39F4" w:rsidRDefault="006B39F4" w:rsidP="006B39F4">
                  <w:pPr>
                    <w:pStyle w:val="TableBodyText"/>
                  </w:pPr>
                  <w:r w:rsidRPr="006B39F4">
                    <w:t>76</w:t>
                  </w:r>
                </w:p>
              </w:tc>
              <w:tc>
                <w:tcPr>
                  <w:tcW w:w="418" w:type="pct"/>
                  <w:shd w:val="clear" w:color="auto" w:fill="auto"/>
                  <w:vAlign w:val="center"/>
                </w:tcPr>
                <w:p w:rsidR="006B39F4" w:rsidRPr="006B39F4" w:rsidRDefault="006B39F4" w:rsidP="006B39F4">
                  <w:pPr>
                    <w:pStyle w:val="TableBodyText"/>
                  </w:pPr>
                  <w:r w:rsidRPr="006B39F4">
                    <w:t>73</w:t>
                  </w:r>
                </w:p>
              </w:tc>
              <w:tc>
                <w:tcPr>
                  <w:tcW w:w="417" w:type="pct"/>
                  <w:shd w:val="clear" w:color="auto" w:fill="auto"/>
                  <w:vAlign w:val="center"/>
                </w:tcPr>
                <w:p w:rsidR="006B39F4" w:rsidRPr="006B39F4" w:rsidRDefault="006B39F4" w:rsidP="006B39F4">
                  <w:pPr>
                    <w:pStyle w:val="TableBodyText"/>
                  </w:pPr>
                  <w:r w:rsidRPr="006B39F4">
                    <w:t>67</w:t>
                  </w:r>
                </w:p>
              </w:tc>
              <w:tc>
                <w:tcPr>
                  <w:tcW w:w="417" w:type="pct"/>
                  <w:shd w:val="clear" w:color="auto" w:fill="auto"/>
                  <w:vAlign w:val="center"/>
                </w:tcPr>
                <w:p w:rsidR="006B39F4" w:rsidRPr="006B39F4" w:rsidRDefault="006B39F4" w:rsidP="006B39F4">
                  <w:pPr>
                    <w:pStyle w:val="TableBodyText"/>
                  </w:pPr>
                  <w:r w:rsidRPr="006B39F4">
                    <w:t>58</w:t>
                  </w:r>
                </w:p>
              </w:tc>
              <w:tc>
                <w:tcPr>
                  <w:tcW w:w="418" w:type="pct"/>
                  <w:shd w:val="clear" w:color="auto" w:fill="auto"/>
                  <w:vAlign w:val="center"/>
                </w:tcPr>
                <w:p w:rsidR="006B39F4" w:rsidRPr="006B39F4" w:rsidRDefault="006B39F4" w:rsidP="006B39F4">
                  <w:pPr>
                    <w:pStyle w:val="TableBodyText"/>
                  </w:pPr>
                  <w:r w:rsidRPr="006B39F4">
                    <w:t>65</w:t>
                  </w:r>
                </w:p>
              </w:tc>
              <w:tc>
                <w:tcPr>
                  <w:tcW w:w="417" w:type="pct"/>
                  <w:shd w:val="clear" w:color="auto" w:fill="auto"/>
                  <w:vAlign w:val="center"/>
                </w:tcPr>
                <w:p w:rsidR="006B39F4" w:rsidRPr="006B39F4" w:rsidRDefault="006B39F4" w:rsidP="006B39F4">
                  <w:pPr>
                    <w:pStyle w:val="TableBodyText"/>
                  </w:pPr>
                  <w:r w:rsidRPr="006B39F4">
                    <w:t>66</w:t>
                  </w:r>
                </w:p>
              </w:tc>
              <w:tc>
                <w:tcPr>
                  <w:tcW w:w="418" w:type="pct"/>
                  <w:shd w:val="clear" w:color="auto" w:fill="auto"/>
                  <w:vAlign w:val="center"/>
                </w:tcPr>
                <w:p w:rsidR="006B39F4" w:rsidRPr="006B39F4" w:rsidRDefault="006B39F4" w:rsidP="006B39F4">
                  <w:pPr>
                    <w:pStyle w:val="TableBodyText"/>
                  </w:pPr>
                  <w:r w:rsidRPr="006B39F4">
                    <w:t>50</w:t>
                  </w:r>
                </w:p>
              </w:tc>
              <w:tc>
                <w:tcPr>
                  <w:tcW w:w="420" w:type="pct"/>
                  <w:shd w:val="clear" w:color="auto" w:fill="auto"/>
                  <w:vAlign w:val="center"/>
                </w:tcPr>
                <w:p w:rsidR="006B39F4" w:rsidRPr="006B39F4" w:rsidRDefault="006B39F4" w:rsidP="006B39F4">
                  <w:pPr>
                    <w:pStyle w:val="TableBodyText"/>
                  </w:pPr>
                  <w:r w:rsidRPr="006B39F4">
                    <w:t>51</w:t>
                  </w:r>
                </w:p>
              </w:tc>
              <w:tc>
                <w:tcPr>
                  <w:tcW w:w="417" w:type="pct"/>
                  <w:shd w:val="clear" w:color="auto" w:fill="auto"/>
                  <w:vAlign w:val="center"/>
                </w:tcPr>
                <w:p w:rsidR="006B39F4" w:rsidRPr="006B39F4" w:rsidRDefault="006B39F4" w:rsidP="006B39F4">
                  <w:pPr>
                    <w:pStyle w:val="TableBodyText"/>
                  </w:pPr>
                  <w:r w:rsidRPr="006B39F4">
                    <w:t>70</w:t>
                  </w:r>
                </w:p>
              </w:tc>
            </w:tr>
            <w:tr w:rsidR="006B39F4" w:rsidTr="00E919A3">
              <w:tc>
                <w:tcPr>
                  <w:tcW w:w="1240" w:type="pct"/>
                  <w:shd w:val="clear" w:color="auto" w:fill="auto"/>
                </w:tcPr>
                <w:p w:rsidR="006B39F4" w:rsidRDefault="006B39F4" w:rsidP="00604654">
                  <w:pPr>
                    <w:pStyle w:val="TableBodyText"/>
                    <w:jc w:val="left"/>
                  </w:pPr>
                  <w:r>
                    <w:t xml:space="preserve">  4 — Semi-urgent</w:t>
                  </w:r>
                </w:p>
              </w:tc>
              <w:tc>
                <w:tcPr>
                  <w:tcW w:w="417" w:type="pct"/>
                  <w:shd w:val="clear" w:color="auto" w:fill="auto"/>
                  <w:vAlign w:val="center"/>
                </w:tcPr>
                <w:p w:rsidR="006B39F4" w:rsidRPr="006B39F4" w:rsidRDefault="006B39F4" w:rsidP="006B39F4">
                  <w:pPr>
                    <w:pStyle w:val="TableBodyText"/>
                  </w:pPr>
                  <w:r w:rsidRPr="006B39F4">
                    <w:t>80</w:t>
                  </w:r>
                </w:p>
              </w:tc>
              <w:tc>
                <w:tcPr>
                  <w:tcW w:w="418" w:type="pct"/>
                  <w:shd w:val="clear" w:color="auto" w:fill="auto"/>
                  <w:vAlign w:val="center"/>
                </w:tcPr>
                <w:p w:rsidR="006B39F4" w:rsidRPr="006B39F4" w:rsidRDefault="006B39F4" w:rsidP="006B39F4">
                  <w:pPr>
                    <w:pStyle w:val="TableBodyText"/>
                  </w:pPr>
                  <w:r w:rsidRPr="006B39F4">
                    <w:t>71</w:t>
                  </w:r>
                </w:p>
              </w:tc>
              <w:tc>
                <w:tcPr>
                  <w:tcW w:w="417" w:type="pct"/>
                  <w:shd w:val="clear" w:color="auto" w:fill="auto"/>
                  <w:vAlign w:val="center"/>
                </w:tcPr>
                <w:p w:rsidR="006B39F4" w:rsidRPr="006B39F4" w:rsidRDefault="006B39F4" w:rsidP="006B39F4">
                  <w:pPr>
                    <w:pStyle w:val="TableBodyText"/>
                  </w:pPr>
                  <w:r w:rsidRPr="006B39F4">
                    <w:t>75</w:t>
                  </w:r>
                </w:p>
              </w:tc>
              <w:tc>
                <w:tcPr>
                  <w:tcW w:w="417" w:type="pct"/>
                  <w:shd w:val="clear" w:color="auto" w:fill="auto"/>
                  <w:vAlign w:val="center"/>
                </w:tcPr>
                <w:p w:rsidR="006B39F4" w:rsidRPr="006B39F4" w:rsidRDefault="006B39F4" w:rsidP="006B39F4">
                  <w:pPr>
                    <w:pStyle w:val="TableBodyText"/>
                  </w:pPr>
                  <w:r w:rsidRPr="006B39F4">
                    <w:t>71</w:t>
                  </w:r>
                </w:p>
              </w:tc>
              <w:tc>
                <w:tcPr>
                  <w:tcW w:w="418" w:type="pct"/>
                  <w:shd w:val="clear" w:color="auto" w:fill="auto"/>
                  <w:vAlign w:val="center"/>
                </w:tcPr>
                <w:p w:rsidR="006B39F4" w:rsidRPr="006B39F4" w:rsidRDefault="006B39F4" w:rsidP="006B39F4">
                  <w:pPr>
                    <w:pStyle w:val="TableBodyText"/>
                  </w:pPr>
                  <w:r w:rsidRPr="006B39F4">
                    <w:t>77</w:t>
                  </w:r>
                </w:p>
              </w:tc>
              <w:tc>
                <w:tcPr>
                  <w:tcW w:w="417" w:type="pct"/>
                  <w:shd w:val="clear" w:color="auto" w:fill="auto"/>
                  <w:vAlign w:val="center"/>
                </w:tcPr>
                <w:p w:rsidR="006B39F4" w:rsidRPr="006B39F4" w:rsidRDefault="006B39F4" w:rsidP="006B39F4">
                  <w:pPr>
                    <w:pStyle w:val="TableBodyText"/>
                  </w:pPr>
                  <w:r w:rsidRPr="006B39F4">
                    <w:t>71</w:t>
                  </w:r>
                </w:p>
              </w:tc>
              <w:tc>
                <w:tcPr>
                  <w:tcW w:w="418" w:type="pct"/>
                  <w:shd w:val="clear" w:color="auto" w:fill="auto"/>
                  <w:vAlign w:val="center"/>
                </w:tcPr>
                <w:p w:rsidR="006B39F4" w:rsidRPr="006B39F4" w:rsidRDefault="006B39F4" w:rsidP="006B39F4">
                  <w:pPr>
                    <w:pStyle w:val="TableBodyText"/>
                  </w:pPr>
                  <w:r w:rsidRPr="006B39F4">
                    <w:t>57</w:t>
                  </w:r>
                </w:p>
              </w:tc>
              <w:tc>
                <w:tcPr>
                  <w:tcW w:w="420" w:type="pct"/>
                  <w:shd w:val="clear" w:color="auto" w:fill="auto"/>
                  <w:vAlign w:val="center"/>
                </w:tcPr>
                <w:p w:rsidR="006B39F4" w:rsidRPr="006B39F4" w:rsidRDefault="006B39F4" w:rsidP="006B39F4">
                  <w:pPr>
                    <w:pStyle w:val="TableBodyText"/>
                  </w:pPr>
                  <w:r w:rsidRPr="006B39F4">
                    <w:t>53</w:t>
                  </w:r>
                </w:p>
              </w:tc>
              <w:tc>
                <w:tcPr>
                  <w:tcW w:w="417" w:type="pct"/>
                  <w:shd w:val="clear" w:color="auto" w:fill="auto"/>
                  <w:vAlign w:val="center"/>
                </w:tcPr>
                <w:p w:rsidR="006B39F4" w:rsidRPr="006B39F4" w:rsidRDefault="006B39F4" w:rsidP="006B39F4">
                  <w:pPr>
                    <w:pStyle w:val="TableBodyText"/>
                  </w:pPr>
                  <w:r w:rsidRPr="006B39F4">
                    <w:t>75</w:t>
                  </w:r>
                </w:p>
              </w:tc>
            </w:tr>
            <w:tr w:rsidR="006B39F4" w:rsidTr="00E919A3">
              <w:tc>
                <w:tcPr>
                  <w:tcW w:w="1240" w:type="pct"/>
                  <w:shd w:val="clear" w:color="auto" w:fill="auto"/>
                </w:tcPr>
                <w:p w:rsidR="006B39F4" w:rsidRDefault="006B39F4" w:rsidP="00604654">
                  <w:pPr>
                    <w:pStyle w:val="TableBodyText"/>
                    <w:jc w:val="left"/>
                  </w:pPr>
                  <w:r>
                    <w:t xml:space="preserve">  5 — Non-urgent</w:t>
                  </w:r>
                </w:p>
              </w:tc>
              <w:tc>
                <w:tcPr>
                  <w:tcW w:w="417" w:type="pct"/>
                  <w:shd w:val="clear" w:color="auto" w:fill="auto"/>
                  <w:vAlign w:val="center"/>
                </w:tcPr>
                <w:p w:rsidR="006B39F4" w:rsidRPr="006B39F4" w:rsidRDefault="006B39F4" w:rsidP="006B39F4">
                  <w:pPr>
                    <w:pStyle w:val="TableBodyText"/>
                  </w:pPr>
                  <w:r w:rsidRPr="006B39F4">
                    <w:t>94</w:t>
                  </w:r>
                </w:p>
              </w:tc>
              <w:tc>
                <w:tcPr>
                  <w:tcW w:w="418" w:type="pct"/>
                  <w:shd w:val="clear" w:color="auto" w:fill="auto"/>
                  <w:vAlign w:val="center"/>
                </w:tcPr>
                <w:p w:rsidR="006B39F4" w:rsidRPr="006B39F4" w:rsidRDefault="006B39F4" w:rsidP="006B39F4">
                  <w:pPr>
                    <w:pStyle w:val="TableBodyText"/>
                  </w:pPr>
                  <w:r w:rsidRPr="006B39F4">
                    <w:t>88</w:t>
                  </w:r>
                </w:p>
              </w:tc>
              <w:tc>
                <w:tcPr>
                  <w:tcW w:w="417" w:type="pct"/>
                  <w:shd w:val="clear" w:color="auto" w:fill="auto"/>
                  <w:vAlign w:val="center"/>
                </w:tcPr>
                <w:p w:rsidR="006B39F4" w:rsidRPr="006B39F4" w:rsidRDefault="006B39F4" w:rsidP="006B39F4">
                  <w:pPr>
                    <w:pStyle w:val="TableBodyText"/>
                  </w:pPr>
                  <w:r w:rsidRPr="006B39F4">
                    <w:t>92</w:t>
                  </w:r>
                </w:p>
              </w:tc>
              <w:tc>
                <w:tcPr>
                  <w:tcW w:w="417" w:type="pct"/>
                  <w:shd w:val="clear" w:color="auto" w:fill="auto"/>
                  <w:vAlign w:val="center"/>
                </w:tcPr>
                <w:p w:rsidR="006B39F4" w:rsidRPr="006B39F4" w:rsidRDefault="006B39F4" w:rsidP="006B39F4">
                  <w:pPr>
                    <w:pStyle w:val="TableBodyText"/>
                  </w:pPr>
                  <w:r w:rsidRPr="006B39F4">
                    <w:t>94</w:t>
                  </w:r>
                </w:p>
              </w:tc>
              <w:tc>
                <w:tcPr>
                  <w:tcW w:w="418" w:type="pct"/>
                  <w:shd w:val="clear" w:color="auto" w:fill="auto"/>
                  <w:vAlign w:val="center"/>
                </w:tcPr>
                <w:p w:rsidR="006B39F4" w:rsidRPr="006B39F4" w:rsidRDefault="006B39F4" w:rsidP="006B39F4">
                  <w:pPr>
                    <w:pStyle w:val="TableBodyText"/>
                  </w:pPr>
                  <w:r w:rsidRPr="006B39F4">
                    <w:t>92</w:t>
                  </w:r>
                </w:p>
              </w:tc>
              <w:tc>
                <w:tcPr>
                  <w:tcW w:w="417" w:type="pct"/>
                  <w:shd w:val="clear" w:color="auto" w:fill="auto"/>
                  <w:vAlign w:val="center"/>
                </w:tcPr>
                <w:p w:rsidR="006B39F4" w:rsidRPr="006B39F4" w:rsidRDefault="006B39F4" w:rsidP="006B39F4">
                  <w:pPr>
                    <w:pStyle w:val="TableBodyText"/>
                  </w:pPr>
                  <w:r w:rsidRPr="006B39F4">
                    <w:t>90</w:t>
                  </w:r>
                </w:p>
              </w:tc>
              <w:tc>
                <w:tcPr>
                  <w:tcW w:w="418" w:type="pct"/>
                  <w:shd w:val="clear" w:color="auto" w:fill="auto"/>
                  <w:vAlign w:val="center"/>
                </w:tcPr>
                <w:p w:rsidR="006B39F4" w:rsidRPr="006B39F4" w:rsidRDefault="006B39F4" w:rsidP="006B39F4">
                  <w:pPr>
                    <w:pStyle w:val="TableBodyText"/>
                  </w:pPr>
                  <w:r w:rsidRPr="006B39F4">
                    <w:t>86</w:t>
                  </w:r>
                </w:p>
              </w:tc>
              <w:tc>
                <w:tcPr>
                  <w:tcW w:w="420" w:type="pct"/>
                  <w:shd w:val="clear" w:color="auto" w:fill="auto"/>
                  <w:vAlign w:val="center"/>
                </w:tcPr>
                <w:p w:rsidR="006B39F4" w:rsidRPr="006B39F4" w:rsidRDefault="006B39F4" w:rsidP="006B39F4">
                  <w:pPr>
                    <w:pStyle w:val="TableBodyText"/>
                  </w:pPr>
                  <w:r w:rsidRPr="006B39F4">
                    <w:t>89</w:t>
                  </w:r>
                </w:p>
              </w:tc>
              <w:tc>
                <w:tcPr>
                  <w:tcW w:w="417" w:type="pct"/>
                  <w:shd w:val="clear" w:color="auto" w:fill="auto"/>
                  <w:vAlign w:val="center"/>
                </w:tcPr>
                <w:p w:rsidR="006B39F4" w:rsidRPr="006B39F4" w:rsidRDefault="006B39F4" w:rsidP="006B39F4">
                  <w:pPr>
                    <w:pStyle w:val="TableBodyText"/>
                  </w:pPr>
                  <w:r w:rsidRPr="006B39F4">
                    <w:t>92</w:t>
                  </w:r>
                </w:p>
              </w:tc>
            </w:tr>
            <w:tr w:rsidR="006B39F4" w:rsidTr="00E919A3">
              <w:tc>
                <w:tcPr>
                  <w:tcW w:w="1240" w:type="pct"/>
                  <w:shd w:val="clear" w:color="auto" w:fill="auto"/>
                </w:tcPr>
                <w:p w:rsidR="006B39F4" w:rsidRPr="00B76090" w:rsidRDefault="006B39F4" w:rsidP="00604654">
                  <w:pPr>
                    <w:pStyle w:val="TableBodyText"/>
                    <w:jc w:val="left"/>
                    <w:rPr>
                      <w:b/>
                    </w:rPr>
                  </w:pPr>
                  <w:r w:rsidRPr="00B76090">
                    <w:rPr>
                      <w:b/>
                    </w:rPr>
                    <w:t xml:space="preserve">  Total</w:t>
                  </w:r>
                </w:p>
              </w:tc>
              <w:tc>
                <w:tcPr>
                  <w:tcW w:w="417" w:type="pct"/>
                  <w:shd w:val="clear" w:color="auto" w:fill="auto"/>
                  <w:vAlign w:val="center"/>
                </w:tcPr>
                <w:p w:rsidR="006B39F4" w:rsidRPr="006B39F4" w:rsidRDefault="006B39F4" w:rsidP="006B39F4">
                  <w:pPr>
                    <w:pStyle w:val="TableBodyText"/>
                    <w:rPr>
                      <w:b/>
                    </w:rPr>
                  </w:pPr>
                  <w:r w:rsidRPr="006B39F4">
                    <w:rPr>
                      <w:b/>
                    </w:rPr>
                    <w:t>81</w:t>
                  </w:r>
                </w:p>
              </w:tc>
              <w:tc>
                <w:tcPr>
                  <w:tcW w:w="418" w:type="pct"/>
                  <w:shd w:val="clear" w:color="auto" w:fill="auto"/>
                  <w:vAlign w:val="center"/>
                </w:tcPr>
                <w:p w:rsidR="006B39F4" w:rsidRPr="006B39F4" w:rsidRDefault="006B39F4" w:rsidP="006B39F4">
                  <w:pPr>
                    <w:pStyle w:val="TableBodyText"/>
                    <w:rPr>
                      <w:b/>
                    </w:rPr>
                  </w:pPr>
                  <w:r w:rsidRPr="006B39F4">
                    <w:rPr>
                      <w:b/>
                    </w:rPr>
                    <w:t>75</w:t>
                  </w:r>
                </w:p>
              </w:tc>
              <w:tc>
                <w:tcPr>
                  <w:tcW w:w="417" w:type="pct"/>
                  <w:shd w:val="clear" w:color="auto" w:fill="auto"/>
                  <w:vAlign w:val="center"/>
                </w:tcPr>
                <w:p w:rsidR="006B39F4" w:rsidRPr="006B39F4" w:rsidRDefault="006B39F4" w:rsidP="006B39F4">
                  <w:pPr>
                    <w:pStyle w:val="TableBodyText"/>
                    <w:rPr>
                      <w:b/>
                    </w:rPr>
                  </w:pPr>
                  <w:r w:rsidRPr="006B39F4">
                    <w:rPr>
                      <w:b/>
                    </w:rPr>
                    <w:t>73</w:t>
                  </w:r>
                </w:p>
              </w:tc>
              <w:tc>
                <w:tcPr>
                  <w:tcW w:w="417" w:type="pct"/>
                  <w:shd w:val="clear" w:color="auto" w:fill="auto"/>
                  <w:vAlign w:val="center"/>
                </w:tcPr>
                <w:p w:rsidR="006B39F4" w:rsidRPr="006B39F4" w:rsidRDefault="006B39F4" w:rsidP="006B39F4">
                  <w:pPr>
                    <w:pStyle w:val="TableBodyText"/>
                    <w:rPr>
                      <w:b/>
                    </w:rPr>
                  </w:pPr>
                  <w:r w:rsidRPr="006B39F4">
                    <w:rPr>
                      <w:b/>
                    </w:rPr>
                    <w:t>70</w:t>
                  </w:r>
                </w:p>
              </w:tc>
              <w:tc>
                <w:tcPr>
                  <w:tcW w:w="418" w:type="pct"/>
                  <w:shd w:val="clear" w:color="auto" w:fill="auto"/>
                  <w:vAlign w:val="center"/>
                </w:tcPr>
                <w:p w:rsidR="006B39F4" w:rsidRPr="006B39F4" w:rsidRDefault="006B39F4" w:rsidP="006B39F4">
                  <w:pPr>
                    <w:pStyle w:val="TableBodyText"/>
                    <w:rPr>
                      <w:b/>
                    </w:rPr>
                  </w:pPr>
                  <w:r w:rsidRPr="006B39F4">
                    <w:rPr>
                      <w:b/>
                    </w:rPr>
                    <w:t>73</w:t>
                  </w:r>
                </w:p>
              </w:tc>
              <w:tc>
                <w:tcPr>
                  <w:tcW w:w="417" w:type="pct"/>
                  <w:shd w:val="clear" w:color="auto" w:fill="auto"/>
                  <w:vAlign w:val="center"/>
                </w:tcPr>
                <w:p w:rsidR="006B39F4" w:rsidRPr="006B39F4" w:rsidRDefault="006B39F4" w:rsidP="006B39F4">
                  <w:pPr>
                    <w:pStyle w:val="TableBodyText"/>
                    <w:rPr>
                      <w:b/>
                    </w:rPr>
                  </w:pPr>
                  <w:r w:rsidRPr="006B39F4">
                    <w:rPr>
                      <w:b/>
                    </w:rPr>
                    <w:t>72</w:t>
                  </w:r>
                </w:p>
              </w:tc>
              <w:tc>
                <w:tcPr>
                  <w:tcW w:w="418" w:type="pct"/>
                  <w:shd w:val="clear" w:color="auto" w:fill="auto"/>
                  <w:vAlign w:val="center"/>
                </w:tcPr>
                <w:p w:rsidR="006B39F4" w:rsidRPr="006B39F4" w:rsidRDefault="006B39F4" w:rsidP="006B39F4">
                  <w:pPr>
                    <w:pStyle w:val="TableBodyText"/>
                    <w:rPr>
                      <w:b/>
                    </w:rPr>
                  </w:pPr>
                  <w:r w:rsidRPr="006B39F4">
                    <w:rPr>
                      <w:b/>
                    </w:rPr>
                    <w:t>61</w:t>
                  </w:r>
                </w:p>
              </w:tc>
              <w:tc>
                <w:tcPr>
                  <w:tcW w:w="420" w:type="pct"/>
                  <w:shd w:val="clear" w:color="auto" w:fill="auto"/>
                  <w:vAlign w:val="center"/>
                </w:tcPr>
                <w:p w:rsidR="006B39F4" w:rsidRPr="006B39F4" w:rsidRDefault="006B39F4" w:rsidP="006B39F4">
                  <w:pPr>
                    <w:pStyle w:val="TableBodyText"/>
                    <w:rPr>
                      <w:b/>
                    </w:rPr>
                  </w:pPr>
                  <w:r w:rsidRPr="006B39F4">
                    <w:rPr>
                      <w:b/>
                    </w:rPr>
                    <w:t>57</w:t>
                  </w:r>
                </w:p>
              </w:tc>
              <w:tc>
                <w:tcPr>
                  <w:tcW w:w="417" w:type="pct"/>
                  <w:shd w:val="clear" w:color="auto" w:fill="auto"/>
                  <w:vAlign w:val="center"/>
                </w:tcPr>
                <w:p w:rsidR="006B39F4" w:rsidRPr="006B39F4" w:rsidRDefault="006B39F4" w:rsidP="006B39F4">
                  <w:pPr>
                    <w:pStyle w:val="TableBodyText"/>
                    <w:rPr>
                      <w:b/>
                    </w:rPr>
                  </w:pPr>
                  <w:r w:rsidRPr="006B39F4">
                    <w:rPr>
                      <w:b/>
                    </w:rPr>
                    <w:t>75</w:t>
                  </w:r>
                </w:p>
              </w:tc>
            </w:tr>
            <w:tr w:rsidR="006B39F4" w:rsidTr="00E919A3">
              <w:tc>
                <w:tcPr>
                  <w:tcW w:w="1240" w:type="pct"/>
                  <w:tcBorders>
                    <w:bottom w:val="single" w:sz="6" w:space="0" w:color="BFBFBF"/>
                  </w:tcBorders>
                  <w:shd w:val="clear" w:color="auto" w:fill="auto"/>
                </w:tcPr>
                <w:p w:rsidR="006B39F4" w:rsidRDefault="006B39F4" w:rsidP="00EB796A">
                  <w:pPr>
                    <w:pStyle w:val="TableBodyText"/>
                    <w:jc w:val="left"/>
                  </w:pPr>
                  <w:r>
                    <w:t xml:space="preserve">  Data coverage</w:t>
                  </w:r>
                  <w:r w:rsidRPr="00B76090">
                    <w:rPr>
                      <w:rStyle w:val="NoteLabel"/>
                    </w:rPr>
                    <w:t>c</w:t>
                  </w:r>
                </w:p>
              </w:tc>
              <w:tc>
                <w:tcPr>
                  <w:tcW w:w="417" w:type="pct"/>
                  <w:tcBorders>
                    <w:bottom w:val="single" w:sz="6" w:space="0" w:color="BFBFBF"/>
                  </w:tcBorders>
                  <w:shd w:val="clear" w:color="auto" w:fill="auto"/>
                  <w:vAlign w:val="center"/>
                </w:tcPr>
                <w:p w:rsidR="006B39F4" w:rsidRPr="006B39F4" w:rsidRDefault="006B39F4" w:rsidP="006B39F4">
                  <w:pPr>
                    <w:pStyle w:val="TableBodyText"/>
                  </w:pPr>
                  <w:r w:rsidRPr="006B39F4">
                    <w:t>99</w:t>
                  </w:r>
                </w:p>
              </w:tc>
              <w:tc>
                <w:tcPr>
                  <w:tcW w:w="418" w:type="pct"/>
                  <w:tcBorders>
                    <w:bottom w:val="single" w:sz="6" w:space="0" w:color="BFBFBF"/>
                  </w:tcBorders>
                  <w:shd w:val="clear" w:color="auto" w:fill="auto"/>
                  <w:vAlign w:val="center"/>
                </w:tcPr>
                <w:p w:rsidR="006B39F4" w:rsidRPr="006B39F4" w:rsidRDefault="006B39F4" w:rsidP="006B39F4">
                  <w:pPr>
                    <w:pStyle w:val="TableBodyText"/>
                  </w:pPr>
                  <w:r w:rsidRPr="006B39F4">
                    <w:t>92</w:t>
                  </w:r>
                </w:p>
              </w:tc>
              <w:tc>
                <w:tcPr>
                  <w:tcW w:w="417" w:type="pct"/>
                  <w:tcBorders>
                    <w:bottom w:val="single" w:sz="6" w:space="0" w:color="BFBFBF"/>
                  </w:tcBorders>
                  <w:shd w:val="clear" w:color="auto" w:fill="auto"/>
                  <w:vAlign w:val="center"/>
                </w:tcPr>
                <w:p w:rsidR="006B39F4" w:rsidRPr="006B39F4" w:rsidRDefault="006B39F4" w:rsidP="006B39F4">
                  <w:pPr>
                    <w:pStyle w:val="TableBodyText"/>
                  </w:pPr>
                  <w:r w:rsidRPr="006B39F4">
                    <w:t>74</w:t>
                  </w:r>
                </w:p>
              </w:tc>
              <w:tc>
                <w:tcPr>
                  <w:tcW w:w="417" w:type="pct"/>
                  <w:tcBorders>
                    <w:bottom w:val="single" w:sz="6" w:space="0" w:color="BFBFBF"/>
                  </w:tcBorders>
                  <w:shd w:val="clear" w:color="auto" w:fill="auto"/>
                  <w:vAlign w:val="center"/>
                </w:tcPr>
                <w:p w:rsidR="006B39F4" w:rsidRPr="006B39F4" w:rsidRDefault="006B39F4" w:rsidP="006B39F4">
                  <w:pPr>
                    <w:pStyle w:val="TableBodyText"/>
                  </w:pPr>
                  <w:r w:rsidRPr="006B39F4">
                    <w:t>78</w:t>
                  </w:r>
                </w:p>
              </w:tc>
              <w:tc>
                <w:tcPr>
                  <w:tcW w:w="418" w:type="pct"/>
                  <w:tcBorders>
                    <w:bottom w:val="single" w:sz="6" w:space="0" w:color="BFBFBF"/>
                  </w:tcBorders>
                  <w:shd w:val="clear" w:color="auto" w:fill="auto"/>
                  <w:vAlign w:val="center"/>
                </w:tcPr>
                <w:p w:rsidR="006B39F4" w:rsidRPr="006B39F4" w:rsidRDefault="006B39F4" w:rsidP="006B39F4">
                  <w:pPr>
                    <w:pStyle w:val="TableBodyText"/>
                  </w:pPr>
                  <w:r w:rsidRPr="006B39F4">
                    <w:t>83</w:t>
                  </w:r>
                </w:p>
              </w:tc>
              <w:tc>
                <w:tcPr>
                  <w:tcW w:w="417" w:type="pct"/>
                  <w:tcBorders>
                    <w:bottom w:val="single" w:sz="6" w:space="0" w:color="BFBFBF"/>
                  </w:tcBorders>
                  <w:shd w:val="clear" w:color="auto" w:fill="auto"/>
                  <w:vAlign w:val="center"/>
                </w:tcPr>
                <w:p w:rsidR="006B39F4" w:rsidRPr="006B39F4" w:rsidRDefault="006B39F4" w:rsidP="006B39F4">
                  <w:pPr>
                    <w:pStyle w:val="TableBodyText"/>
                  </w:pPr>
                  <w:r w:rsidRPr="006B39F4">
                    <w:t>92</w:t>
                  </w:r>
                </w:p>
              </w:tc>
              <w:tc>
                <w:tcPr>
                  <w:tcW w:w="418" w:type="pct"/>
                  <w:tcBorders>
                    <w:bottom w:val="single" w:sz="6" w:space="0" w:color="BFBFBF"/>
                  </w:tcBorders>
                  <w:shd w:val="clear" w:color="auto" w:fill="auto"/>
                  <w:vAlign w:val="center"/>
                </w:tcPr>
                <w:p w:rsidR="006B39F4" w:rsidRPr="006B39F4" w:rsidRDefault="006B39F4" w:rsidP="006B39F4">
                  <w:pPr>
                    <w:pStyle w:val="TableBodyText"/>
                  </w:pPr>
                  <w:r w:rsidRPr="006B39F4">
                    <w:t>100</w:t>
                  </w:r>
                </w:p>
              </w:tc>
              <w:tc>
                <w:tcPr>
                  <w:tcW w:w="420" w:type="pct"/>
                  <w:tcBorders>
                    <w:bottom w:val="single" w:sz="6" w:space="0" w:color="BFBFBF"/>
                  </w:tcBorders>
                  <w:shd w:val="clear" w:color="auto" w:fill="auto"/>
                  <w:vAlign w:val="center"/>
                </w:tcPr>
                <w:p w:rsidR="006B39F4" w:rsidRPr="006B39F4" w:rsidRDefault="006B39F4" w:rsidP="006B39F4">
                  <w:pPr>
                    <w:pStyle w:val="TableBodyText"/>
                  </w:pPr>
                  <w:r w:rsidRPr="006B39F4">
                    <w:t>100</w:t>
                  </w:r>
                </w:p>
              </w:tc>
              <w:tc>
                <w:tcPr>
                  <w:tcW w:w="417" w:type="pct"/>
                  <w:tcBorders>
                    <w:bottom w:val="single" w:sz="6" w:space="0" w:color="BFBFBF"/>
                  </w:tcBorders>
                  <w:shd w:val="clear" w:color="auto" w:fill="auto"/>
                  <w:vAlign w:val="center"/>
                </w:tcPr>
                <w:p w:rsidR="006B39F4" w:rsidRPr="006B39F4" w:rsidRDefault="006B39F4" w:rsidP="006B39F4">
                  <w:pPr>
                    <w:pStyle w:val="TableBodyText"/>
                  </w:pPr>
                  <w:r w:rsidRPr="006B39F4">
                    <w:t>88</w:t>
                  </w:r>
                </w:p>
              </w:tc>
            </w:tr>
          </w:tbl>
          <w:p w:rsidR="00EB796A" w:rsidRDefault="00EB796A" w:rsidP="00EB796A">
            <w:pPr>
              <w:pStyle w:val="Box"/>
            </w:pPr>
          </w:p>
        </w:tc>
      </w:tr>
      <w:tr w:rsidR="00EB796A" w:rsidTr="00EB796A">
        <w:trPr>
          <w:cantSplit/>
        </w:trPr>
        <w:tc>
          <w:tcPr>
            <w:tcW w:w="8771" w:type="dxa"/>
            <w:tcBorders>
              <w:top w:val="nil"/>
              <w:left w:val="nil"/>
              <w:bottom w:val="nil"/>
              <w:right w:val="nil"/>
            </w:tcBorders>
            <w:shd w:val="clear" w:color="auto" w:fill="auto"/>
          </w:tcPr>
          <w:p w:rsidR="00EB796A" w:rsidRDefault="00EB796A" w:rsidP="00164049">
            <w:pPr>
              <w:pStyle w:val="Note"/>
              <w:rPr>
                <w:i/>
              </w:rPr>
            </w:pPr>
            <w:r w:rsidRPr="008E77FE">
              <w:rPr>
                <w:rStyle w:val="NoteLabel"/>
              </w:rPr>
              <w:t>a</w:t>
            </w:r>
            <w:r>
              <w:t xml:space="preserve"> </w:t>
            </w:r>
            <w:r w:rsidR="00164049" w:rsidRPr="00164049">
              <w:t xml:space="preserve">Percentages are derived from all hospitals that reported to the Non-admitted Patient Emergency Department Care Database, including all principal referral and specialist women's and children's hospitals, large hospitals and public hospitals that were classified to other peer groups. </w:t>
            </w:r>
            <w:r w:rsidR="00164049" w:rsidRPr="00164049">
              <w:rPr>
                <w:rStyle w:val="NoteLabel"/>
              </w:rPr>
              <w:t>b</w:t>
            </w:r>
            <w:r w:rsidR="00164049" w:rsidRPr="00164049">
              <w:t xml:space="preserve"> Resuscitation patients whose waiting time for treatment was less than or equal to two minutes are considered to have been seen on time. </w:t>
            </w:r>
            <w:r w:rsidR="00164049" w:rsidRPr="00164049">
              <w:rPr>
                <w:rStyle w:val="NoteLabel"/>
              </w:rPr>
              <w:t>c</w:t>
            </w:r>
            <w:r w:rsidR="00164049">
              <w:t xml:space="preserve"> </w:t>
            </w:r>
            <w:r w:rsidR="00164049" w:rsidRPr="00164049">
              <w:t xml:space="preserve">Data coverage is estimated as the number of occasions of service with waiting times data divided by the number of emergency department occasions of service. This can underestimate coverage because some occasions of service are for other than emergency presentations. For some jurisdictions, the number of emergency department occasions of service reported to the Non-admitted Patient Emergency Department Care Database exceeded the number of accident and emergency occasions of service reported to the National Public Hospital Establishments Database. For these jurisdictions the coverage has been estimated as 100 per cent. </w:t>
            </w:r>
          </w:p>
        </w:tc>
      </w:tr>
      <w:tr w:rsidR="00EB796A" w:rsidTr="00EB796A">
        <w:trPr>
          <w:cantSplit/>
        </w:trPr>
        <w:tc>
          <w:tcPr>
            <w:tcW w:w="8771" w:type="dxa"/>
            <w:tcBorders>
              <w:top w:val="nil"/>
              <w:left w:val="nil"/>
              <w:bottom w:val="nil"/>
              <w:right w:val="nil"/>
            </w:tcBorders>
            <w:shd w:val="clear" w:color="auto" w:fill="auto"/>
          </w:tcPr>
          <w:p w:rsidR="00EB796A" w:rsidRDefault="00164049" w:rsidP="00C00780">
            <w:pPr>
              <w:pStyle w:val="Source"/>
            </w:pPr>
            <w:r>
              <w:rPr>
                <w:i/>
              </w:rPr>
              <w:t>Source</w:t>
            </w:r>
            <w:r>
              <w:t xml:space="preserve">: </w:t>
            </w:r>
            <w:r w:rsidRPr="00164049">
              <w:t>AIHW (201</w:t>
            </w:r>
            <w:r w:rsidR="00816E0B">
              <w:t>4</w:t>
            </w:r>
            <w:r w:rsidRPr="00164049">
              <w:t xml:space="preserve">), </w:t>
            </w:r>
            <w:r w:rsidRPr="00164049">
              <w:rPr>
                <w:i/>
              </w:rPr>
              <w:t>Australian hospital statistics 201</w:t>
            </w:r>
            <w:r w:rsidR="00816E0B">
              <w:rPr>
                <w:i/>
              </w:rPr>
              <w:t>3</w:t>
            </w:r>
            <w:r w:rsidRPr="00164049">
              <w:rPr>
                <w:i/>
              </w:rPr>
              <w:t>–1</w:t>
            </w:r>
            <w:r w:rsidR="00816E0B">
              <w:rPr>
                <w:i/>
              </w:rPr>
              <w:t>4</w:t>
            </w:r>
            <w:r w:rsidRPr="004270C2">
              <w:rPr>
                <w:i/>
              </w:rPr>
              <w:t>: emergency department care</w:t>
            </w:r>
            <w:r w:rsidRPr="00164049">
              <w:t xml:space="preserve">, Health services series no. </w:t>
            </w:r>
            <w:r w:rsidR="00C00780" w:rsidRPr="00C00780">
              <w:t>58</w:t>
            </w:r>
            <w:r w:rsidRPr="00164049">
              <w:t xml:space="preserve"> Cat. no. </w:t>
            </w:r>
            <w:proofErr w:type="spellStart"/>
            <w:r w:rsidRPr="00164049">
              <w:t>HSE</w:t>
            </w:r>
            <w:proofErr w:type="spellEnd"/>
            <w:r w:rsidRPr="00164049">
              <w:t xml:space="preserve"> </w:t>
            </w:r>
            <w:r w:rsidR="00C00780" w:rsidRPr="00C00780">
              <w:t>153</w:t>
            </w:r>
            <w:r w:rsidRPr="00164049">
              <w:t xml:space="preserve">. Canberra; </w:t>
            </w:r>
            <w:r w:rsidR="00816E0B" w:rsidRPr="00816E0B">
              <w:t xml:space="preserve">AIHW (2013), </w:t>
            </w:r>
            <w:r w:rsidR="00816E0B" w:rsidRPr="00816E0B">
              <w:rPr>
                <w:i/>
              </w:rPr>
              <w:t>Australian hospital statistics 2012–13: emergency department care,</w:t>
            </w:r>
            <w:r w:rsidR="00816E0B" w:rsidRPr="00816E0B">
              <w:t xml:space="preserve"> Health services series no. 52. Cat. no. </w:t>
            </w:r>
            <w:proofErr w:type="spellStart"/>
            <w:r w:rsidR="00816E0B" w:rsidRPr="00816E0B">
              <w:t>HSE</w:t>
            </w:r>
            <w:proofErr w:type="spellEnd"/>
            <w:r w:rsidR="00816E0B" w:rsidRPr="00816E0B">
              <w:t xml:space="preserve"> 142. Canberra</w:t>
            </w:r>
            <w:r w:rsidRPr="00164049">
              <w:t xml:space="preserve">; table </w:t>
            </w:r>
            <w:proofErr w:type="spellStart"/>
            <w:r w:rsidRPr="00164049">
              <w:t>11A.</w:t>
            </w:r>
            <w:r w:rsidR="005F0C33">
              <w:t>18</w:t>
            </w:r>
            <w:proofErr w:type="spellEnd"/>
            <w:r w:rsidRPr="00164049">
              <w:t>.</w:t>
            </w:r>
          </w:p>
        </w:tc>
      </w:tr>
      <w:tr w:rsidR="00EB796A" w:rsidTr="00EB796A">
        <w:trPr>
          <w:cantSplit/>
        </w:trPr>
        <w:tc>
          <w:tcPr>
            <w:tcW w:w="8771" w:type="dxa"/>
            <w:tcBorders>
              <w:top w:val="nil"/>
              <w:left w:val="nil"/>
              <w:bottom w:val="single" w:sz="6" w:space="0" w:color="78A22F"/>
              <w:right w:val="nil"/>
            </w:tcBorders>
            <w:shd w:val="clear" w:color="auto" w:fill="auto"/>
          </w:tcPr>
          <w:p w:rsidR="00EB796A" w:rsidRDefault="00EB796A" w:rsidP="00EB796A">
            <w:pPr>
              <w:pStyle w:val="Box"/>
              <w:spacing w:before="0" w:line="120" w:lineRule="exact"/>
            </w:pPr>
          </w:p>
        </w:tc>
      </w:tr>
      <w:tr w:rsidR="00EB796A" w:rsidRPr="000863A5" w:rsidTr="00EB796A">
        <w:tc>
          <w:tcPr>
            <w:tcW w:w="8771" w:type="dxa"/>
            <w:tcBorders>
              <w:top w:val="single" w:sz="6" w:space="0" w:color="78A22F"/>
              <w:left w:val="nil"/>
              <w:bottom w:val="nil"/>
              <w:right w:val="nil"/>
            </w:tcBorders>
          </w:tcPr>
          <w:p w:rsidR="00EB796A" w:rsidRPr="00626D32" w:rsidRDefault="00EB796A" w:rsidP="00EB796A">
            <w:pPr>
              <w:pStyle w:val="BoxSpaceBelow"/>
            </w:pPr>
          </w:p>
        </w:tc>
      </w:tr>
    </w:tbl>
    <w:p w:rsidR="00EF1858" w:rsidRDefault="00EF1858" w:rsidP="00EF1858">
      <w:pPr>
        <w:pStyle w:val="BodyText"/>
      </w:pPr>
      <w:r>
        <w:t xml:space="preserve">Emergency department waiting times by Indigenous status, remoteness and socioeconomic status for peer group A and B hospitals are reported in the attachment (tables </w:t>
      </w:r>
      <w:proofErr w:type="spellStart"/>
      <w:r>
        <w:t>11A.20</w:t>
      </w:r>
      <w:proofErr w:type="spellEnd"/>
      <w:r>
        <w:t xml:space="preserve">–22). Nationally, there was little difference between </w:t>
      </w:r>
      <w:r w:rsidRPr="00CC4A84">
        <w:t xml:space="preserve">Aboriginal and Torres Strait Islander </w:t>
      </w:r>
      <w:r>
        <w:t xml:space="preserve">and other Australians in the percentages of patients treated within national benchmarks across the triage categories, although there were variations across states and territories for some triage categories (table </w:t>
      </w:r>
      <w:proofErr w:type="spellStart"/>
      <w:r>
        <w:t>11A.20</w:t>
      </w:r>
      <w:proofErr w:type="spellEnd"/>
      <w:r>
        <w:t xml:space="preserve">). At the national level, there was variation in waiting times </w:t>
      </w:r>
      <w:r>
        <w:lastRenderedPageBreak/>
        <w:t xml:space="preserve">across triage categories by remoteness, although there was less variation for the most serious category, resuscitation (table </w:t>
      </w:r>
      <w:proofErr w:type="spellStart"/>
      <w:r>
        <w:t>11A.21</w:t>
      </w:r>
      <w:proofErr w:type="spellEnd"/>
      <w:r>
        <w:t xml:space="preserve">). There was little difference in waiting times across triage categories by socioeconomic status on a national basis (table </w:t>
      </w:r>
      <w:proofErr w:type="spellStart"/>
      <w:r>
        <w:t>11A.22</w:t>
      </w:r>
      <w:proofErr w:type="spellEnd"/>
      <w:r>
        <w:t>).</w:t>
      </w:r>
    </w:p>
    <w:p w:rsidR="000D26EC" w:rsidRDefault="009A67FB" w:rsidP="00807705">
      <w:pPr>
        <w:pStyle w:val="Heading5"/>
      </w:pPr>
      <w:r w:rsidRPr="009A67FB">
        <w:t xml:space="preserve">Proportion of </w:t>
      </w:r>
      <w:r w:rsidR="008A7B2C" w:rsidRPr="009A67FB">
        <w:t xml:space="preserve">emergency </w:t>
      </w:r>
      <w:r w:rsidRPr="009A67FB">
        <w:t>department presentations with length of stay of 4 hours or less</w:t>
      </w:r>
    </w:p>
    <w:p w:rsidR="004270C2" w:rsidRDefault="00BC7D36" w:rsidP="001B73E8">
      <w:pPr>
        <w:pStyle w:val="BodyText"/>
      </w:pPr>
      <w:r>
        <w:t>The p</w:t>
      </w:r>
      <w:r w:rsidR="005574AD" w:rsidRPr="005574AD">
        <w:t>roportion of emergency department presentations with length of stay of 4 hours or less</w:t>
      </w:r>
      <w:r w:rsidR="005574AD">
        <w:t xml:space="preserve"> is reported for the first time in this Report edition. </w:t>
      </w:r>
      <w:r w:rsidR="00E6090E">
        <w:t xml:space="preserve">Data for this measure are sourced from the </w:t>
      </w:r>
      <w:r w:rsidR="00E6090E" w:rsidRPr="00E6090E">
        <w:t>National Non-admitted Patient Emergency Department Care Database (</w:t>
      </w:r>
      <w:proofErr w:type="spellStart"/>
      <w:r w:rsidR="00E6090E" w:rsidRPr="00E6090E">
        <w:t>NNAPEDCD</w:t>
      </w:r>
      <w:proofErr w:type="spellEnd"/>
      <w:r w:rsidR="00E6090E">
        <w:t xml:space="preserve">). </w:t>
      </w:r>
      <w:r w:rsidR="00340186" w:rsidRPr="00340186">
        <w:t xml:space="preserve">The purpose of the </w:t>
      </w:r>
      <w:proofErr w:type="spellStart"/>
      <w:r w:rsidR="00340186" w:rsidRPr="00340186">
        <w:t>NNAPEDCD</w:t>
      </w:r>
      <w:proofErr w:type="spellEnd"/>
      <w:r w:rsidR="00340186" w:rsidRPr="00340186">
        <w:t xml:space="preserve"> is to collect information on the characteristics of emergency department care for non-admitted patients registered for care in emergency departments in selected public hospitals classified as either peer group A (Principal referral and Specialist women’s and children’s hospitals) or B (Large hospitals). However, data were also provided by some states and territories for hospitals in peer groups other than A and B</w:t>
      </w:r>
      <w:r w:rsidR="00340186">
        <w:t xml:space="preserve">. </w:t>
      </w:r>
      <w:r w:rsidR="00E6090E" w:rsidRPr="00E6090E">
        <w:t>For 201</w:t>
      </w:r>
      <w:r w:rsidR="00E6090E">
        <w:t>3</w:t>
      </w:r>
      <w:r w:rsidR="00E6090E" w:rsidRPr="00E6090E">
        <w:t>–1</w:t>
      </w:r>
      <w:r w:rsidR="00E6090E">
        <w:t>4</w:t>
      </w:r>
      <w:r w:rsidR="00E6090E" w:rsidRPr="00E6090E">
        <w:t xml:space="preserve">, coverage of the </w:t>
      </w:r>
      <w:proofErr w:type="spellStart"/>
      <w:r w:rsidR="00E6090E" w:rsidRPr="00E6090E">
        <w:t>NNAPEDCD</w:t>
      </w:r>
      <w:proofErr w:type="spellEnd"/>
      <w:r w:rsidR="00E6090E" w:rsidRPr="00E6090E">
        <w:t xml:space="preserve"> collection was </w:t>
      </w:r>
      <w:r w:rsidR="00E6090E">
        <w:t xml:space="preserve">estimated to be </w:t>
      </w:r>
      <w:r w:rsidR="00E6090E" w:rsidRPr="00E919A3">
        <w:t xml:space="preserve">about </w:t>
      </w:r>
      <w:r w:rsidR="00C52DCC" w:rsidRPr="00E919A3">
        <w:t>88</w:t>
      </w:r>
      <w:r w:rsidR="00E6090E" w:rsidRPr="00E919A3">
        <w:t xml:space="preserve"> per cent of emergency occasions of service in Australian public hospitals</w:t>
      </w:r>
      <w:r w:rsidR="001952BF" w:rsidRPr="00E919A3">
        <w:t xml:space="preserve"> (</w:t>
      </w:r>
      <w:proofErr w:type="spellStart"/>
      <w:r w:rsidR="001952BF" w:rsidRPr="00E919A3">
        <w:t>AIHW</w:t>
      </w:r>
      <w:proofErr w:type="spellEnd"/>
      <w:r w:rsidR="001952BF" w:rsidRPr="00E919A3">
        <w:t xml:space="preserve"> </w:t>
      </w:r>
      <w:proofErr w:type="spellStart"/>
      <w:r w:rsidR="001952BF" w:rsidRPr="00E919A3">
        <w:t>2014</w:t>
      </w:r>
      <w:r w:rsidR="004C58BC" w:rsidRPr="00E919A3">
        <w:t>d</w:t>
      </w:r>
      <w:proofErr w:type="spellEnd"/>
      <w:r w:rsidR="001952BF" w:rsidRPr="00E919A3">
        <w:t>)</w:t>
      </w:r>
      <w:r w:rsidR="00E6090E" w:rsidRPr="00E919A3">
        <w:t>.</w:t>
      </w:r>
      <w:r w:rsidR="00340186">
        <w:t xml:space="preserve"> </w:t>
      </w:r>
      <w:r w:rsidR="00340186" w:rsidRPr="00340186">
        <w:t xml:space="preserve">The data presented here are not necessarily representative of the hospitals not included in the </w:t>
      </w:r>
      <w:proofErr w:type="spellStart"/>
      <w:r w:rsidR="00340186" w:rsidRPr="00340186">
        <w:t>NNAPEDCD</w:t>
      </w:r>
      <w:proofErr w:type="spellEnd"/>
      <w:r w:rsidR="00340186" w:rsidRPr="00340186">
        <w:t>. Hospitals not included do not necessarily have emergency departments that are equivalent to those in hospitals in p</w:t>
      </w:r>
      <w:r w:rsidR="00340186">
        <w:t>eer groups A and </w:t>
      </w:r>
      <w:r w:rsidR="00340186" w:rsidRPr="00340186">
        <w:t>B.</w:t>
      </w:r>
      <w:r w:rsidR="00EF1858">
        <w:t xml:space="preserve"> </w:t>
      </w:r>
    </w:p>
    <w:p w:rsidR="001076E0" w:rsidRDefault="0054245A" w:rsidP="001B73E8">
      <w:pPr>
        <w:pStyle w:val="BodyText"/>
      </w:pPr>
      <w:r>
        <w:t>The p</w:t>
      </w:r>
      <w:r w:rsidR="001076E0" w:rsidRPr="001076E0">
        <w:t xml:space="preserve">roportion of </w:t>
      </w:r>
      <w:r w:rsidRPr="001076E0">
        <w:t xml:space="preserve">emergency </w:t>
      </w:r>
      <w:r w:rsidR="001076E0" w:rsidRPr="001076E0">
        <w:t>department presentations with length of stay of 4 hours or less</w:t>
      </w:r>
      <w:r w:rsidR="001076E0">
        <w:t xml:space="preserve"> has increased from 64.3 per cent in 2011-12 </w:t>
      </w:r>
      <w:r w:rsidRPr="00E919A3">
        <w:t xml:space="preserve">to </w:t>
      </w:r>
      <w:r w:rsidR="006B39F4" w:rsidRPr="00E919A3">
        <w:t>72.7</w:t>
      </w:r>
      <w:r w:rsidRPr="00E919A3">
        <w:t xml:space="preserve"> per</w:t>
      </w:r>
      <w:r>
        <w:t xml:space="preserve"> cent in 2013-14 (figure 11.12). </w:t>
      </w:r>
    </w:p>
    <w:p w:rsidR="000D26EC" w:rsidRDefault="000D26EC" w:rsidP="009A67F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D26EC" w:rsidTr="00E919A3">
        <w:tc>
          <w:tcPr>
            <w:tcW w:w="8771" w:type="dxa"/>
            <w:tcBorders>
              <w:top w:val="single" w:sz="6" w:space="0" w:color="78A22F"/>
              <w:left w:val="nil"/>
              <w:bottom w:val="nil"/>
              <w:right w:val="nil"/>
            </w:tcBorders>
            <w:shd w:val="clear" w:color="auto" w:fill="auto"/>
          </w:tcPr>
          <w:p w:rsidR="000D26EC" w:rsidRPr="00176D3F" w:rsidRDefault="000D26EC" w:rsidP="00807705">
            <w:pPr>
              <w:pStyle w:val="FigureTitle"/>
            </w:pPr>
            <w:r w:rsidRPr="00784A05">
              <w:rPr>
                <w:b w:val="0"/>
              </w:rPr>
              <w:t xml:space="preserve">Figure </w:t>
            </w:r>
            <w:r>
              <w:rPr>
                <w:b w:val="0"/>
              </w:rPr>
              <w:t>11.</w:t>
            </w:r>
            <w:r w:rsidR="009A53E9">
              <w:rPr>
                <w:b w:val="0"/>
                <w:noProof/>
              </w:rPr>
              <w:t>12</w:t>
            </w:r>
            <w:r>
              <w:tab/>
            </w:r>
            <w:r w:rsidR="009A67FB" w:rsidRPr="009A67FB">
              <w:t xml:space="preserve">Proportion of </w:t>
            </w:r>
            <w:r w:rsidR="005105FF" w:rsidRPr="009A67FB">
              <w:t xml:space="preserve">emergency </w:t>
            </w:r>
            <w:r w:rsidR="009A67FB" w:rsidRPr="009A67FB">
              <w:t>department presentations with length of stay of 4 hours or less</w:t>
            </w:r>
            <w:r w:rsidR="009A67FB" w:rsidRPr="009A67FB">
              <w:rPr>
                <w:rStyle w:val="NoteLabel"/>
                <w:b/>
                <w:szCs w:val="20"/>
              </w:rPr>
              <w:t>a, b</w:t>
            </w:r>
          </w:p>
        </w:tc>
      </w:tr>
      <w:tr w:rsidR="000D26EC" w:rsidTr="00E919A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D26EC" w:rsidTr="005105FF">
              <w:trPr>
                <w:jc w:val="center"/>
              </w:trPr>
              <w:tc>
                <w:tcPr>
                  <w:tcW w:w="5000" w:type="pct"/>
                  <w:tcBorders>
                    <w:top w:val="nil"/>
                    <w:left w:val="nil"/>
                    <w:bottom w:val="nil"/>
                  </w:tcBorders>
                </w:tcPr>
                <w:p w:rsidR="000D26EC" w:rsidRDefault="001F000D" w:rsidP="00807705">
                  <w:pPr>
                    <w:pStyle w:val="Figure"/>
                    <w:keepLines/>
                    <w:spacing w:before="60" w:after="60"/>
                  </w:pPr>
                  <w:r>
                    <w:rPr>
                      <w:noProof/>
                    </w:rPr>
                    <w:drawing>
                      <wp:inline distT="0" distB="0" distL="0" distR="0">
                        <wp:extent cx="5391150" cy="2686050"/>
                        <wp:effectExtent l="0" t="0" r="0" b="0"/>
                        <wp:docPr id="13" name="Picture 13" descr="Figure 11.12 Proportion of emergency department presentations with length of stay of 4 hours or les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0D26EC" w:rsidRDefault="000D26EC" w:rsidP="00807705">
            <w:pPr>
              <w:pStyle w:val="Figure"/>
              <w:keepLines/>
            </w:pPr>
          </w:p>
        </w:tc>
      </w:tr>
      <w:tr w:rsidR="000D26EC" w:rsidRPr="00176D3F" w:rsidTr="009A67FB">
        <w:tc>
          <w:tcPr>
            <w:tcW w:w="8771" w:type="dxa"/>
            <w:tcBorders>
              <w:top w:val="nil"/>
              <w:left w:val="nil"/>
              <w:bottom w:val="nil"/>
              <w:right w:val="nil"/>
            </w:tcBorders>
            <w:shd w:val="clear" w:color="auto" w:fill="auto"/>
          </w:tcPr>
          <w:p w:rsidR="000D26EC" w:rsidRPr="00176D3F" w:rsidRDefault="000D26EC" w:rsidP="00807705">
            <w:pPr>
              <w:pStyle w:val="Note"/>
              <w:keepNext/>
            </w:pPr>
            <w:proofErr w:type="spellStart"/>
            <w:r>
              <w:rPr>
                <w:rStyle w:val="NoteLabel"/>
              </w:rPr>
              <w:t>a</w:t>
            </w:r>
            <w:proofErr w:type="spellEnd"/>
            <w:r>
              <w:t xml:space="preserve"> </w:t>
            </w:r>
            <w:r w:rsidR="009A67FB" w:rsidRPr="009A67FB">
              <w:t xml:space="preserve">Excludes records for which the emergency department length of stay could not be calculated due to missing date or time data. </w:t>
            </w:r>
            <w:r w:rsidR="009A67FB" w:rsidRPr="009A67FB">
              <w:rPr>
                <w:rStyle w:val="NoteLabel"/>
              </w:rPr>
              <w:t>b</w:t>
            </w:r>
            <w:r w:rsidR="009A67FB" w:rsidRPr="009A67FB">
              <w:t xml:space="preserve"> The emergency department length of stay is the amount of time between the patient presenting to the emergency department (arrival) and the physical departure of the patient.</w:t>
            </w:r>
          </w:p>
        </w:tc>
      </w:tr>
      <w:tr w:rsidR="000D26EC" w:rsidRPr="00176D3F" w:rsidTr="009A67FB">
        <w:tc>
          <w:tcPr>
            <w:tcW w:w="8771" w:type="dxa"/>
            <w:tcBorders>
              <w:top w:val="nil"/>
              <w:left w:val="nil"/>
              <w:bottom w:val="nil"/>
              <w:right w:val="nil"/>
            </w:tcBorders>
            <w:shd w:val="clear" w:color="auto" w:fill="auto"/>
          </w:tcPr>
          <w:p w:rsidR="000D26EC" w:rsidRPr="00176D3F" w:rsidRDefault="000D26EC" w:rsidP="00044772">
            <w:pPr>
              <w:pStyle w:val="Source"/>
              <w:keepNext/>
            </w:pPr>
            <w:r>
              <w:rPr>
                <w:i/>
              </w:rPr>
              <w:t>S</w:t>
            </w:r>
            <w:r w:rsidRPr="00784A05">
              <w:rPr>
                <w:i/>
              </w:rPr>
              <w:t>ource</w:t>
            </w:r>
            <w:r w:rsidRPr="00176D3F">
              <w:t xml:space="preserve">: </w:t>
            </w:r>
            <w:r w:rsidR="00E21097" w:rsidRPr="00E21097">
              <w:t xml:space="preserve">AIHW </w:t>
            </w:r>
            <w:r w:rsidR="00044772">
              <w:t>(2014)</w:t>
            </w:r>
            <w:r w:rsidR="00E21097" w:rsidRPr="00E21097">
              <w:t xml:space="preserve">, </w:t>
            </w:r>
            <w:r w:rsidR="00E21097" w:rsidRPr="00E21097">
              <w:rPr>
                <w:i/>
              </w:rPr>
              <w:t>Australian hospital statistics 2013–14: emergency department care</w:t>
            </w:r>
            <w:r w:rsidR="00E21097" w:rsidRPr="00E21097">
              <w:t xml:space="preserve">, Health services series no. 58. Cat. no. </w:t>
            </w:r>
            <w:proofErr w:type="spellStart"/>
            <w:r w:rsidR="00E21097" w:rsidRPr="00E21097">
              <w:t>HSE</w:t>
            </w:r>
            <w:proofErr w:type="spellEnd"/>
            <w:r w:rsidR="00E21097" w:rsidRPr="00E21097">
              <w:t xml:space="preserve"> 153. Canberra: AIHW, Canberra; AIHW (2013), </w:t>
            </w:r>
            <w:r w:rsidR="00E21097" w:rsidRPr="00E21097">
              <w:rPr>
                <w:i/>
              </w:rPr>
              <w:t>Australian hospital statistics 2012–13: emergency department care</w:t>
            </w:r>
            <w:r w:rsidR="00E21097" w:rsidRPr="00E21097">
              <w:t xml:space="preserve">, Health services series no. 52. Cat. no. </w:t>
            </w:r>
            <w:proofErr w:type="spellStart"/>
            <w:r w:rsidR="00E21097" w:rsidRPr="00E21097">
              <w:t>HSE</w:t>
            </w:r>
            <w:proofErr w:type="spellEnd"/>
            <w:r w:rsidR="00E21097" w:rsidRPr="00E21097">
              <w:t xml:space="preserve"> 142. Canberra: AIHW, Canberra; AIHW (2012), </w:t>
            </w:r>
            <w:r w:rsidR="00E21097" w:rsidRPr="00E21097">
              <w:rPr>
                <w:i/>
              </w:rPr>
              <w:t>Australian hospital statistics 2011–12: emergency department care</w:t>
            </w:r>
            <w:r w:rsidR="00E21097" w:rsidRPr="00E21097">
              <w:t xml:space="preserve">, Health services series no. 45. Cat. no. </w:t>
            </w:r>
            <w:proofErr w:type="spellStart"/>
            <w:r w:rsidR="00E21097" w:rsidRPr="00E21097">
              <w:t>HSE</w:t>
            </w:r>
            <w:proofErr w:type="spellEnd"/>
            <w:r w:rsidR="00E21097" w:rsidRPr="00E21097">
              <w:t xml:space="preserve"> 126. Canberra</w:t>
            </w:r>
            <w:r w:rsidR="00267442">
              <w:t>; table</w:t>
            </w:r>
            <w:r w:rsidR="00BC7D36">
              <w:t> </w:t>
            </w:r>
            <w:proofErr w:type="spellStart"/>
            <w:r w:rsidR="00BA1573">
              <w:t>11A.</w:t>
            </w:r>
            <w:r w:rsidR="005F0C33">
              <w:t>23</w:t>
            </w:r>
            <w:proofErr w:type="spellEnd"/>
            <w:r w:rsidR="00A70042">
              <w:t>.</w:t>
            </w:r>
          </w:p>
        </w:tc>
      </w:tr>
      <w:tr w:rsidR="000D26EC" w:rsidTr="009A67FB">
        <w:tc>
          <w:tcPr>
            <w:tcW w:w="8771" w:type="dxa"/>
            <w:tcBorders>
              <w:top w:val="nil"/>
              <w:left w:val="nil"/>
              <w:bottom w:val="single" w:sz="6" w:space="0" w:color="78A22F"/>
              <w:right w:val="nil"/>
            </w:tcBorders>
            <w:shd w:val="clear" w:color="auto" w:fill="auto"/>
          </w:tcPr>
          <w:p w:rsidR="000D26EC" w:rsidRDefault="000D26EC" w:rsidP="00807705">
            <w:pPr>
              <w:pStyle w:val="Figurespace"/>
              <w:keepLines/>
            </w:pPr>
          </w:p>
        </w:tc>
      </w:tr>
      <w:tr w:rsidR="000D26EC" w:rsidRPr="000863A5" w:rsidTr="009A67FB">
        <w:tc>
          <w:tcPr>
            <w:tcW w:w="8771" w:type="dxa"/>
            <w:tcBorders>
              <w:top w:val="single" w:sz="6" w:space="0" w:color="78A22F"/>
              <w:left w:val="nil"/>
              <w:bottom w:val="nil"/>
              <w:right w:val="nil"/>
            </w:tcBorders>
          </w:tcPr>
          <w:p w:rsidR="000D26EC" w:rsidRPr="00626D32" w:rsidRDefault="000D26EC" w:rsidP="00807705">
            <w:pPr>
              <w:pStyle w:val="BoxSpaceBelow"/>
              <w:keepNext/>
              <w:keepLines/>
            </w:pPr>
          </w:p>
        </w:tc>
      </w:tr>
    </w:tbl>
    <w:p w:rsidR="00B76090" w:rsidRDefault="00B76090" w:rsidP="00B76090">
      <w:pPr>
        <w:pStyle w:val="Heading4"/>
      </w:pPr>
      <w:r>
        <w:t>Waiting times for admitted patient services</w:t>
      </w:r>
    </w:p>
    <w:p w:rsidR="007A6EC9" w:rsidRDefault="00B76090" w:rsidP="00B76090">
      <w:pPr>
        <w:pStyle w:val="BodyText"/>
      </w:pPr>
      <w:r>
        <w:t>‘Waiting times for admitted patient services’ is an indicator of governments’ objective to provide accessible services (box 11.4). Elective surgery patients who wait longer are likely to suffer discomfort and inconvenience, and more urgent patients can experience poor health outcomes as a result of extended waits.</w:t>
      </w:r>
    </w:p>
    <w:p w:rsidR="00B02B12" w:rsidRDefault="00B02B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02B12" w:rsidTr="00A376A3">
        <w:tc>
          <w:tcPr>
            <w:tcW w:w="8771" w:type="dxa"/>
            <w:tcBorders>
              <w:top w:val="single" w:sz="6" w:space="0" w:color="78A22F"/>
              <w:left w:val="nil"/>
              <w:bottom w:val="nil"/>
              <w:right w:val="nil"/>
            </w:tcBorders>
            <w:shd w:val="clear" w:color="auto" w:fill="F2F2F2"/>
          </w:tcPr>
          <w:p w:rsidR="00B02B12" w:rsidRDefault="00B02B12">
            <w:pPr>
              <w:pStyle w:val="BoxTitle"/>
            </w:pPr>
            <w:r>
              <w:rPr>
                <w:b w:val="0"/>
              </w:rPr>
              <w:t>Box 11.</w:t>
            </w:r>
            <w:r w:rsidR="009A53E9">
              <w:rPr>
                <w:b w:val="0"/>
                <w:noProof/>
              </w:rPr>
              <w:t>4</w:t>
            </w:r>
            <w:r>
              <w:tab/>
            </w:r>
            <w:r w:rsidRPr="00B02B12">
              <w:t>Waiting times for admitted patient services</w:t>
            </w:r>
          </w:p>
        </w:tc>
      </w:tr>
      <w:tr w:rsidR="00B02B12" w:rsidTr="00A376A3">
        <w:trPr>
          <w:cantSplit/>
        </w:trPr>
        <w:tc>
          <w:tcPr>
            <w:tcW w:w="8771" w:type="dxa"/>
            <w:tcBorders>
              <w:top w:val="nil"/>
              <w:left w:val="nil"/>
              <w:bottom w:val="nil"/>
              <w:right w:val="nil"/>
            </w:tcBorders>
            <w:shd w:val="clear" w:color="auto" w:fill="F2F2F2"/>
          </w:tcPr>
          <w:p w:rsidR="00B02B12" w:rsidRDefault="00B02B12" w:rsidP="00B02B12">
            <w:pPr>
              <w:pStyle w:val="Box"/>
            </w:pPr>
            <w:r>
              <w:t>‘Waiting times for admitted patient services’ is defined by the following three measures:</w:t>
            </w:r>
          </w:p>
          <w:p w:rsidR="00B02B12" w:rsidRDefault="00B02B12" w:rsidP="00B02B12">
            <w:pPr>
              <w:pStyle w:val="BoxListBullet"/>
            </w:pPr>
            <w:r>
              <w:t>Overall elective surgery waiting times</w:t>
            </w:r>
          </w:p>
          <w:p w:rsidR="00B02B12" w:rsidRDefault="00B02B12" w:rsidP="00B02B12">
            <w:pPr>
              <w:pStyle w:val="BoxListBullet"/>
            </w:pPr>
            <w:r>
              <w:t>Elective surgery waiting times by clinical urgency category</w:t>
            </w:r>
          </w:p>
          <w:p w:rsidR="00B02B12" w:rsidRDefault="00044772" w:rsidP="00B02B12">
            <w:pPr>
              <w:pStyle w:val="BoxListBullet"/>
            </w:pPr>
            <w:r>
              <w:t>Presentations to emergency departments with a length of stay of 4 hours or less ending in admission</w:t>
            </w:r>
            <w:r w:rsidR="00B02B12">
              <w:t>.</w:t>
            </w:r>
          </w:p>
          <w:p w:rsidR="00B02B12" w:rsidRDefault="00B02B12" w:rsidP="00B02B12">
            <w:pPr>
              <w:pStyle w:val="BoxHeading2"/>
            </w:pPr>
            <w:r>
              <w:t>Overall elective surgery waiting times</w:t>
            </w:r>
          </w:p>
          <w:p w:rsidR="00B02B12" w:rsidRDefault="00B02B12" w:rsidP="00B02B12">
            <w:pPr>
              <w:pStyle w:val="Box"/>
            </w:pPr>
            <w:r>
              <w:t>‘Overall elective surgery waiting times’ are calculated by comparing the date on which patients are added to a waiting list with the date on which they are admitted. Days on which the patient was not ready for care are excluded. ‘Overall waiting times’ are presented as the number of days within which 50 per cent of patients are admitted and the number of days within which 90</w:t>
            </w:r>
            <w:r w:rsidR="00A70042">
              <w:t> </w:t>
            </w:r>
            <w:r>
              <w:t>per cent of patients are admitted. The proportion of patients who waited more than 12</w:t>
            </w:r>
            <w:r w:rsidR="00A70042">
              <w:t> </w:t>
            </w:r>
            <w:r>
              <w:t xml:space="preserve">months is also shown. </w:t>
            </w:r>
          </w:p>
          <w:p w:rsidR="00B02B12" w:rsidRDefault="00B02B12" w:rsidP="00B02B12">
            <w:pPr>
              <w:pStyle w:val="Box"/>
            </w:pPr>
            <w:r>
              <w:t>For overall elective surgery waiting times, a low or decreasing number of days waited at the 50th and 90th percentiles, and a low or decreasing proportion of people waiting more than 365</w:t>
            </w:r>
            <w:r w:rsidR="00A70042">
              <w:t> </w:t>
            </w:r>
            <w:r>
              <w:t>days are desirable.</w:t>
            </w:r>
          </w:p>
          <w:p w:rsidR="00B02B12" w:rsidRDefault="00B02B12" w:rsidP="00B02B12">
            <w:pPr>
              <w:pStyle w:val="Box"/>
            </w:pPr>
            <w:r>
              <w:t>Data reported for this measure are:</w:t>
            </w:r>
          </w:p>
          <w:p w:rsidR="00B02B12" w:rsidRDefault="00B02B12" w:rsidP="00B02B12">
            <w:pPr>
              <w:pStyle w:val="BoxListBullet"/>
            </w:pPr>
            <w:r>
              <w:t>comparable (subject to caveats) within jurisdictions over time but are not comparable across jurisdictions</w:t>
            </w:r>
          </w:p>
          <w:p w:rsidR="00B02B12" w:rsidRDefault="00B02B12" w:rsidP="00B02B12">
            <w:pPr>
              <w:pStyle w:val="BoxListBullet"/>
            </w:pPr>
            <w:r>
              <w:t>complete (subject to caveats) for the current reporting period. All required 201</w:t>
            </w:r>
            <w:r w:rsidR="00E70026">
              <w:t>3</w:t>
            </w:r>
            <w:r>
              <w:t>-1</w:t>
            </w:r>
            <w:r w:rsidR="00E70026">
              <w:t>4</w:t>
            </w:r>
            <w:r>
              <w:t xml:space="preserve"> data are available for all jurisdictions.</w:t>
            </w:r>
          </w:p>
          <w:p w:rsidR="00B02B12" w:rsidRDefault="00BC6024" w:rsidP="00B02B12">
            <w:pPr>
              <w:pStyle w:val="Box"/>
            </w:pPr>
            <w:r w:rsidRPr="00BC6024">
              <w:t>Data quality information for this measure</w:t>
            </w:r>
            <w:r w:rsidR="008C0550">
              <w:t xml:space="preserve"> is at </w:t>
            </w:r>
            <w:proofErr w:type="spellStart"/>
            <w:r w:rsidR="008C0550">
              <w:t>www.pc.gov.au</w:t>
            </w:r>
            <w:proofErr w:type="spellEnd"/>
            <w:r w:rsidRPr="00BC6024">
              <w:t>/</w:t>
            </w:r>
            <w:proofErr w:type="spellStart"/>
            <w:r w:rsidRPr="00BC6024">
              <w:t>rogs</w:t>
            </w:r>
            <w:proofErr w:type="spellEnd"/>
            <w:r w:rsidRPr="00BC6024">
              <w:t>/2015.</w:t>
            </w:r>
          </w:p>
          <w:p w:rsidR="00B02B12" w:rsidRDefault="00B02B12" w:rsidP="00C653E8">
            <w:pPr>
              <w:pStyle w:val="BoxHeading2"/>
            </w:pPr>
            <w:r>
              <w:t>Elective surgery waiting times by clinical urgency category</w:t>
            </w:r>
          </w:p>
          <w:p w:rsidR="00B02B12" w:rsidRDefault="00B02B12" w:rsidP="00B02B12">
            <w:pPr>
              <w:pStyle w:val="Box"/>
            </w:pPr>
            <w:r>
              <w:t>‘Elective surgery waiting times by clinical urgency category’ reports the proportion of patients who were admitted from waiting lists after an extended wait. The three generally accepted clinical urgency categories for elective surgery are:</w:t>
            </w:r>
          </w:p>
          <w:p w:rsidR="00B02B12" w:rsidRDefault="00B02B12" w:rsidP="00B02B12">
            <w:pPr>
              <w:pStyle w:val="BoxListBullet"/>
            </w:pPr>
            <w:r>
              <w:t>category 1 — admission is desirable within 30 days for a condition that has the potential to deteriorate quickly to the point that it may become an emergency</w:t>
            </w:r>
          </w:p>
          <w:p w:rsidR="00B02B12" w:rsidRPr="00B02B12" w:rsidRDefault="00B02B12" w:rsidP="00B02B12">
            <w:pPr>
              <w:pStyle w:val="BoxListBullet"/>
            </w:pPr>
            <w:r w:rsidRPr="00B02B12">
              <w:t>category 2 - admission is desirable within 90 days for a condition causing some pain, dysfunction or disability but which is not likely to deteriorate quickly or become an emergency</w:t>
            </w:r>
          </w:p>
          <w:p w:rsidR="00B02B12" w:rsidRDefault="00C653E8" w:rsidP="00C653E8">
            <w:pPr>
              <w:pStyle w:val="BoxListBullet"/>
            </w:pPr>
            <w:r w:rsidRPr="00C653E8">
              <w:t>category 3 — admission at some time in the future is acceptable for a condition causing minimal or no pain, dysfunction or disability, which is unlikely to deteriorate quickly and which does not have the potential to become an emergency. The desirable timeframe for this category is admission within 365 days.</w:t>
            </w:r>
          </w:p>
          <w:p w:rsidR="00B02B12" w:rsidRDefault="00B02B12" w:rsidP="00C653E8">
            <w:pPr>
              <w:pStyle w:val="Continued"/>
            </w:pPr>
            <w:r>
              <w:t xml:space="preserve"> (Continued on next page)</w:t>
            </w:r>
          </w:p>
        </w:tc>
      </w:tr>
      <w:tr w:rsidR="00C653E8" w:rsidTr="00A376A3">
        <w:trPr>
          <w:cantSplit/>
        </w:trPr>
        <w:tc>
          <w:tcPr>
            <w:tcW w:w="8771" w:type="dxa"/>
            <w:tcBorders>
              <w:top w:val="nil"/>
              <w:left w:val="nil"/>
              <w:bottom w:val="single" w:sz="6" w:space="0" w:color="78A22F"/>
              <w:right w:val="nil"/>
            </w:tcBorders>
            <w:shd w:val="clear" w:color="auto" w:fill="F2F2F2"/>
          </w:tcPr>
          <w:p w:rsidR="00C653E8" w:rsidRDefault="00C653E8" w:rsidP="00A376A3">
            <w:pPr>
              <w:pStyle w:val="Box"/>
              <w:spacing w:before="0" w:line="120" w:lineRule="exact"/>
            </w:pPr>
          </w:p>
        </w:tc>
      </w:tr>
      <w:tr w:rsidR="00C653E8" w:rsidRPr="000863A5" w:rsidTr="00A376A3">
        <w:tc>
          <w:tcPr>
            <w:tcW w:w="8771" w:type="dxa"/>
            <w:tcBorders>
              <w:top w:val="single" w:sz="6" w:space="0" w:color="78A22F"/>
              <w:left w:val="nil"/>
              <w:bottom w:val="nil"/>
              <w:right w:val="nil"/>
            </w:tcBorders>
          </w:tcPr>
          <w:p w:rsidR="00C653E8" w:rsidRPr="00626D32" w:rsidRDefault="00C653E8" w:rsidP="00A376A3">
            <w:pPr>
              <w:pStyle w:val="BoxSpaceBelow"/>
            </w:pPr>
          </w:p>
        </w:tc>
      </w:tr>
    </w:tbl>
    <w:p w:rsidR="00B02B12" w:rsidRDefault="00B02B12" w:rsidP="00C653E8">
      <w:pPr>
        <w:pStyle w:val="BodyText"/>
      </w:pPr>
    </w:p>
    <w:p w:rsidR="00C653E8" w:rsidRDefault="00C653E8" w:rsidP="00C653E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653E8" w:rsidTr="00A376A3">
        <w:tc>
          <w:tcPr>
            <w:tcW w:w="8771" w:type="dxa"/>
            <w:tcBorders>
              <w:top w:val="single" w:sz="6" w:space="0" w:color="78A22F"/>
              <w:left w:val="nil"/>
              <w:bottom w:val="nil"/>
              <w:right w:val="nil"/>
            </w:tcBorders>
            <w:shd w:val="clear" w:color="auto" w:fill="F2F2F2"/>
          </w:tcPr>
          <w:p w:rsidR="00C653E8" w:rsidRDefault="00C653E8" w:rsidP="00C653E8">
            <w:pPr>
              <w:pStyle w:val="BoxTitle"/>
            </w:pPr>
            <w:r>
              <w:rPr>
                <w:b w:val="0"/>
              </w:rPr>
              <w:t>Box 11.4</w:t>
            </w:r>
            <w:r>
              <w:tab/>
            </w:r>
            <w:r w:rsidRPr="00A70042">
              <w:rPr>
                <w:sz w:val="18"/>
                <w:szCs w:val="18"/>
              </w:rPr>
              <w:t>(</w:t>
            </w:r>
            <w:r w:rsidR="00A70042" w:rsidRPr="00A70042">
              <w:rPr>
                <w:sz w:val="18"/>
                <w:szCs w:val="18"/>
              </w:rPr>
              <w:t>continued</w:t>
            </w:r>
            <w:r w:rsidRPr="00A70042">
              <w:rPr>
                <w:sz w:val="18"/>
                <w:szCs w:val="18"/>
              </w:rPr>
              <w:t>)</w:t>
            </w:r>
          </w:p>
        </w:tc>
      </w:tr>
      <w:tr w:rsidR="00B02B12" w:rsidTr="00A376A3">
        <w:trPr>
          <w:cantSplit/>
        </w:trPr>
        <w:tc>
          <w:tcPr>
            <w:tcW w:w="8771" w:type="dxa"/>
            <w:tcBorders>
              <w:top w:val="nil"/>
              <w:left w:val="nil"/>
              <w:bottom w:val="nil"/>
              <w:right w:val="nil"/>
            </w:tcBorders>
            <w:shd w:val="clear" w:color="auto" w:fill="F2F2F2"/>
          </w:tcPr>
          <w:p w:rsidR="00C653E8" w:rsidRDefault="00C653E8" w:rsidP="00C653E8">
            <w:pPr>
              <w:pStyle w:val="Box"/>
            </w:pPr>
            <w:r>
              <w:t>The term ‘extended wait’ is used for category 3 patients waiting longer than 12 months for elective surgery, as well as for category 1 and 2 patients waiting more than the agreed desirable waiting times of 30 days and 90 days respectively.</w:t>
            </w:r>
          </w:p>
          <w:p w:rsidR="00C653E8" w:rsidRDefault="00C653E8" w:rsidP="00C653E8">
            <w:pPr>
              <w:pStyle w:val="Box"/>
            </w:pPr>
            <w:r>
              <w:t>For elective surgery waiting times by clinical urgency category, a low or decreasing proportion of patients who have experienced extended waits at admission is desirable. However, variation in the way patients are classified to urgency categories should be taken into account. Rather than comparing jurisdictions, the results for individual jurisdictions should be viewed in the context of the proportions of patients assigned to each of the three urgency categories (table 11.3).</w:t>
            </w:r>
          </w:p>
          <w:p w:rsidR="00C653E8" w:rsidRDefault="00C653E8" w:rsidP="00C653E8">
            <w:pPr>
              <w:pStyle w:val="Box"/>
            </w:pPr>
            <w:r>
              <w:t>Data reported for this measure are:</w:t>
            </w:r>
          </w:p>
          <w:p w:rsidR="00C653E8" w:rsidRDefault="00C653E8" w:rsidP="00C653E8">
            <w:pPr>
              <w:pStyle w:val="BoxListBullet"/>
            </w:pPr>
            <w:r>
              <w:t>comparable (subject to caveats) within jurisdictions over time but are not comparable across jurisdictions</w:t>
            </w:r>
          </w:p>
          <w:p w:rsidR="00C653E8" w:rsidRDefault="00C653E8" w:rsidP="00C653E8">
            <w:pPr>
              <w:pStyle w:val="BoxListBullet"/>
            </w:pPr>
            <w:r>
              <w:t>complete (subject to caveats) for the current reporting period. All required 201</w:t>
            </w:r>
            <w:r w:rsidR="00E70026">
              <w:t>3-</w:t>
            </w:r>
            <w:r>
              <w:t>1</w:t>
            </w:r>
            <w:r w:rsidR="00E70026">
              <w:t>4</w:t>
            </w:r>
            <w:r>
              <w:t xml:space="preserve"> data are available for all jurisdictions.</w:t>
            </w:r>
          </w:p>
          <w:p w:rsidR="00C653E8" w:rsidRDefault="00BC6024" w:rsidP="00C653E8">
            <w:pPr>
              <w:pStyle w:val="Box"/>
            </w:pPr>
            <w:r w:rsidRPr="00BC6024">
              <w:t>Data quality information for this measure</w:t>
            </w:r>
            <w:r w:rsidR="008C0550">
              <w:t xml:space="preserve"> is at </w:t>
            </w:r>
            <w:proofErr w:type="spellStart"/>
            <w:r w:rsidR="008C0550">
              <w:t>www.pc.gov.au</w:t>
            </w:r>
            <w:proofErr w:type="spellEnd"/>
            <w:r w:rsidRPr="00BC6024">
              <w:t>/</w:t>
            </w:r>
            <w:proofErr w:type="spellStart"/>
            <w:r w:rsidRPr="00BC6024">
              <w:t>rogs</w:t>
            </w:r>
            <w:proofErr w:type="spellEnd"/>
            <w:r w:rsidRPr="00BC6024">
              <w:t>/2015.</w:t>
            </w:r>
          </w:p>
          <w:p w:rsidR="00C653E8" w:rsidRDefault="00C653E8" w:rsidP="00C653E8">
            <w:pPr>
              <w:pStyle w:val="BoxHeading2"/>
            </w:pPr>
            <w:r>
              <w:t>Presentations to emergency departments with a length of stay of 4 hours or less ending in admission</w:t>
            </w:r>
          </w:p>
          <w:p w:rsidR="009F0E39" w:rsidRPr="00646051" w:rsidRDefault="00C653E8" w:rsidP="00C653E8">
            <w:pPr>
              <w:pStyle w:val="Box"/>
            </w:pPr>
            <w:r w:rsidRPr="00646051">
              <w:t xml:space="preserve">‘Presentations to emergency departments with a length of stay of 4 hours or less ending in admission’ is </w:t>
            </w:r>
            <w:r w:rsidR="009F0E39" w:rsidRPr="00646051">
              <w:t xml:space="preserve">defined as the percentage of presentations to public hospital emergency departments where the time from presentation to </w:t>
            </w:r>
            <w:r w:rsidR="00016BEE" w:rsidRPr="00646051">
              <w:t>admission to hospital</w:t>
            </w:r>
            <w:r w:rsidR="009F0E39" w:rsidRPr="00646051">
              <w:t xml:space="preserve"> is less than or equal to four hours.</w:t>
            </w:r>
          </w:p>
          <w:p w:rsidR="00C653E8" w:rsidRDefault="00C653E8" w:rsidP="00C653E8">
            <w:pPr>
              <w:pStyle w:val="Box"/>
            </w:pPr>
            <w:r>
              <w:t>A high or increasing proportion of presentations to emergency departments with a length of stay of 4 hours or less ending in admission is desirable.</w:t>
            </w:r>
          </w:p>
          <w:p w:rsidR="00C653E8" w:rsidRDefault="00C653E8" w:rsidP="00C653E8">
            <w:pPr>
              <w:pStyle w:val="Box"/>
            </w:pPr>
            <w:r>
              <w:t>Data reported for this measure are:</w:t>
            </w:r>
          </w:p>
          <w:p w:rsidR="00C653E8" w:rsidRDefault="00C653E8" w:rsidP="00C653E8">
            <w:pPr>
              <w:pStyle w:val="BoxListBullet"/>
            </w:pPr>
            <w:r>
              <w:t>comparable (subject to caveats) within jurisdictions over time but are not comparable across jurisdictions</w:t>
            </w:r>
          </w:p>
          <w:p w:rsidR="00C653E8" w:rsidRDefault="00C653E8" w:rsidP="00C653E8">
            <w:pPr>
              <w:pStyle w:val="BoxListBullet"/>
            </w:pPr>
            <w:r>
              <w:t>complete (subject to caveats) for the current reporting period. All required 201</w:t>
            </w:r>
            <w:r w:rsidR="00E70026">
              <w:t>3-</w:t>
            </w:r>
            <w:r>
              <w:t>1</w:t>
            </w:r>
            <w:r w:rsidR="00E70026">
              <w:t>4</w:t>
            </w:r>
            <w:r>
              <w:t xml:space="preserve"> data are available for all jurisdictions.</w:t>
            </w:r>
          </w:p>
          <w:p w:rsidR="00B02B12" w:rsidRDefault="00BC6024" w:rsidP="00BC6024">
            <w:pPr>
              <w:pStyle w:val="Box"/>
            </w:pPr>
            <w:r w:rsidRPr="00BC6024">
              <w:t xml:space="preserve">Data quality information for this measure is at </w:t>
            </w:r>
            <w:proofErr w:type="spellStart"/>
            <w:r w:rsidR="008C0550">
              <w:t>www.pc.gov.au</w:t>
            </w:r>
            <w:proofErr w:type="spellEnd"/>
            <w:r w:rsidRPr="00BC6024">
              <w:t>/</w:t>
            </w:r>
            <w:proofErr w:type="spellStart"/>
            <w:r w:rsidRPr="00BC6024">
              <w:t>rogs</w:t>
            </w:r>
            <w:proofErr w:type="spellEnd"/>
            <w:r w:rsidRPr="00BC6024">
              <w:t>/2015.</w:t>
            </w:r>
          </w:p>
        </w:tc>
      </w:tr>
      <w:tr w:rsidR="00B02B12" w:rsidTr="00A376A3">
        <w:trPr>
          <w:cantSplit/>
        </w:trPr>
        <w:tc>
          <w:tcPr>
            <w:tcW w:w="8771" w:type="dxa"/>
            <w:tcBorders>
              <w:top w:val="nil"/>
              <w:left w:val="nil"/>
              <w:bottom w:val="single" w:sz="6" w:space="0" w:color="78A22F"/>
              <w:right w:val="nil"/>
            </w:tcBorders>
            <w:shd w:val="clear" w:color="auto" w:fill="F2F2F2"/>
          </w:tcPr>
          <w:p w:rsidR="00B02B12" w:rsidRDefault="00B02B12">
            <w:pPr>
              <w:pStyle w:val="Box"/>
              <w:spacing w:before="0" w:line="120" w:lineRule="exact"/>
            </w:pPr>
          </w:p>
        </w:tc>
      </w:tr>
      <w:tr w:rsidR="00B02B12" w:rsidRPr="000863A5" w:rsidTr="00A376A3">
        <w:tc>
          <w:tcPr>
            <w:tcW w:w="8771" w:type="dxa"/>
            <w:tcBorders>
              <w:top w:val="single" w:sz="6" w:space="0" w:color="78A22F"/>
              <w:left w:val="nil"/>
              <w:bottom w:val="nil"/>
              <w:right w:val="nil"/>
            </w:tcBorders>
          </w:tcPr>
          <w:p w:rsidR="00B02B12" w:rsidRPr="00626D32" w:rsidRDefault="00B02B12" w:rsidP="00A376A3">
            <w:pPr>
              <w:pStyle w:val="BoxSpaceBelow"/>
            </w:pPr>
          </w:p>
        </w:tc>
      </w:tr>
    </w:tbl>
    <w:p w:rsidR="00B76090" w:rsidRDefault="00B76090" w:rsidP="005574AD">
      <w:pPr>
        <w:pStyle w:val="Heading5"/>
      </w:pPr>
      <w:r>
        <w:t>Overall elective surgery waiting times</w:t>
      </w:r>
    </w:p>
    <w:p w:rsidR="00B76090" w:rsidRDefault="00B76090" w:rsidP="001B73E8">
      <w:pPr>
        <w:pStyle w:val="BodyText"/>
      </w:pPr>
      <w:r>
        <w:t>Elective surgery waiting times data are provided for waiting lists managed by public acute hospitals. The data collection covers most public hospitals that undertake elective surgery, and in 201</w:t>
      </w:r>
      <w:r w:rsidR="006A1083">
        <w:t>3</w:t>
      </w:r>
      <w:r>
        <w:t>-1</w:t>
      </w:r>
      <w:r w:rsidR="006A1083">
        <w:t>4</w:t>
      </w:r>
      <w:r>
        <w:t xml:space="preserve"> covered </w:t>
      </w:r>
      <w:r w:rsidR="00FF17C6" w:rsidRPr="00E919A3">
        <w:t>93</w:t>
      </w:r>
      <w:r w:rsidRPr="00E919A3">
        <w:t xml:space="preserve"> </w:t>
      </w:r>
      <w:r>
        <w:t xml:space="preserve">per cent of separations for elective surgery in public acute hospitals (table </w:t>
      </w:r>
      <w:proofErr w:type="spellStart"/>
      <w:r>
        <w:t>11A.2</w:t>
      </w:r>
      <w:r w:rsidR="005F0C33">
        <w:t>4</w:t>
      </w:r>
      <w:proofErr w:type="spellEnd"/>
      <w:r>
        <w:t>).</w:t>
      </w:r>
    </w:p>
    <w:p w:rsidR="00B76090" w:rsidRDefault="00B76090" w:rsidP="001B73E8">
      <w:pPr>
        <w:pStyle w:val="BodyText"/>
      </w:pPr>
      <w:r>
        <w:t xml:space="preserve">Patients on waiting lists who were not subsequently admitted to hospital are excluded. Patients can be removed from waiting lists because they no longer need the surgery, die, are treated at another location, decline to have the surgery, or cannot be contacted by the </w:t>
      </w:r>
      <w:r>
        <w:lastRenderedPageBreak/>
        <w:t>hospital (</w:t>
      </w:r>
      <w:proofErr w:type="spellStart"/>
      <w:r>
        <w:t>AIHW</w:t>
      </w:r>
      <w:proofErr w:type="spellEnd"/>
      <w:r>
        <w:t xml:space="preserve"> </w:t>
      </w:r>
      <w:proofErr w:type="spellStart"/>
      <w:r>
        <w:t>201</w:t>
      </w:r>
      <w:r w:rsidR="00816E0B">
        <w:t>4</w:t>
      </w:r>
      <w:r>
        <w:t>c</w:t>
      </w:r>
      <w:proofErr w:type="spellEnd"/>
      <w:r>
        <w:t>). In 201</w:t>
      </w:r>
      <w:r w:rsidR="007B4C01">
        <w:t>3</w:t>
      </w:r>
      <w:r>
        <w:t>-1</w:t>
      </w:r>
      <w:r w:rsidR="007B4C01">
        <w:t>4</w:t>
      </w:r>
      <w:r>
        <w:t xml:space="preserve">, </w:t>
      </w:r>
      <w:r w:rsidR="00AC2E8C" w:rsidRPr="00E919A3">
        <w:t>14.1</w:t>
      </w:r>
      <w:r w:rsidRPr="00E919A3">
        <w:t xml:space="preserve"> </w:t>
      </w:r>
      <w:r>
        <w:t>per cent of patients who were removed from waiting lists were removed for reasons other than electi</w:t>
      </w:r>
      <w:r w:rsidR="007B4C01">
        <w:t>ve or emergency admission (</w:t>
      </w:r>
      <w:proofErr w:type="spellStart"/>
      <w:r w:rsidR="007B4C01">
        <w:t>AIHW</w:t>
      </w:r>
      <w:proofErr w:type="spellEnd"/>
      <w:r w:rsidR="007B4C01">
        <w:t> </w:t>
      </w:r>
      <w:proofErr w:type="spellStart"/>
      <w:r>
        <w:t>201</w:t>
      </w:r>
      <w:r w:rsidR="00816E0B">
        <w:t>4</w:t>
      </w:r>
      <w:r>
        <w:t>c</w:t>
      </w:r>
      <w:proofErr w:type="spellEnd"/>
      <w:r>
        <w:t>).</w:t>
      </w:r>
    </w:p>
    <w:p w:rsidR="00B76090" w:rsidRDefault="00B76090" w:rsidP="00B76090">
      <w:pPr>
        <w:pStyle w:val="BodyText"/>
      </w:pPr>
      <w:r>
        <w:t>Comparisons across jurisdictions should be made with caution, due to differences in clinical practices and classification of patients across Australia. The measures are also affected by variations across jurisdictions in the method used to calculate waiting times for patients who transferred from a waiting list managed by one hospital to a waiting list managed by another hospital. For patients who were transferred from a waiting list managed by one hospital to that managed by another, the time waited on the first list is included in the waiting time reported in NSW, SA and the NT. This approach can have the effect of increasing the apparent waiting times for admissions in these jurisdictions compared with other jurisdictions (</w:t>
      </w:r>
      <w:proofErr w:type="spellStart"/>
      <w:r>
        <w:t>AIHW</w:t>
      </w:r>
      <w:proofErr w:type="spellEnd"/>
      <w:r>
        <w:t xml:space="preserve"> </w:t>
      </w:r>
      <w:proofErr w:type="spellStart"/>
      <w:r>
        <w:t>201</w:t>
      </w:r>
      <w:r w:rsidR="00816E0B">
        <w:t>4</w:t>
      </w:r>
      <w:r>
        <w:t>c</w:t>
      </w:r>
      <w:proofErr w:type="spellEnd"/>
      <w:r>
        <w:t>).</w:t>
      </w:r>
    </w:p>
    <w:p w:rsidR="007A6EC9" w:rsidRDefault="00B76090" w:rsidP="001B73E8">
      <w:pPr>
        <w:pStyle w:val="BodyText"/>
      </w:pPr>
      <w:r>
        <w:t>Nationally in 201</w:t>
      </w:r>
      <w:r w:rsidR="007B4C01">
        <w:t>3</w:t>
      </w:r>
      <w:r>
        <w:t>-1</w:t>
      </w:r>
      <w:r w:rsidR="007B4C01">
        <w:t>4</w:t>
      </w:r>
      <w:r>
        <w:t xml:space="preserve">, 50 per cent of patients were admitted within </w:t>
      </w:r>
      <w:r w:rsidR="004C251D" w:rsidRPr="00E919A3">
        <w:t>36</w:t>
      </w:r>
      <w:r w:rsidRPr="00E919A3">
        <w:t xml:space="preserve"> </w:t>
      </w:r>
      <w:r>
        <w:t xml:space="preserve">days and 90 per cent of patients were admitted within </w:t>
      </w:r>
      <w:r w:rsidR="004C251D" w:rsidRPr="00E919A3">
        <w:t>262</w:t>
      </w:r>
      <w:r w:rsidRPr="00E919A3">
        <w:t xml:space="preserve"> </w:t>
      </w:r>
      <w:r>
        <w:t xml:space="preserve">days. The proportion of patients who waited more than a year was </w:t>
      </w:r>
      <w:r w:rsidR="004C251D" w:rsidRPr="00E919A3">
        <w:t>2.4</w:t>
      </w:r>
      <w:r>
        <w:t xml:space="preserve"> per cent. Nationally, waiting times at the 50th percentile </w:t>
      </w:r>
      <w:r w:rsidRPr="00E919A3">
        <w:t xml:space="preserve">increased by </w:t>
      </w:r>
      <w:r w:rsidR="004C251D" w:rsidRPr="00E919A3">
        <w:t>one</w:t>
      </w:r>
      <w:r w:rsidRPr="00E919A3">
        <w:t xml:space="preserve"> day between 200</w:t>
      </w:r>
      <w:r w:rsidR="007B4C01" w:rsidRPr="00E919A3">
        <w:t>9</w:t>
      </w:r>
      <w:r w:rsidRPr="00E919A3">
        <w:t>-</w:t>
      </w:r>
      <w:r w:rsidR="007B4C01" w:rsidRPr="00E919A3">
        <w:t>10</w:t>
      </w:r>
      <w:r w:rsidRPr="00E919A3">
        <w:t xml:space="preserve"> and 201</w:t>
      </w:r>
      <w:r w:rsidR="007B4C01" w:rsidRPr="00E919A3">
        <w:t>3</w:t>
      </w:r>
      <w:r w:rsidRPr="00E919A3">
        <w:t>-1</w:t>
      </w:r>
      <w:r w:rsidR="007B4C01" w:rsidRPr="00E919A3">
        <w:t>4</w:t>
      </w:r>
      <w:r w:rsidRPr="00E919A3">
        <w:t>, from 3</w:t>
      </w:r>
      <w:r w:rsidR="007B4C01" w:rsidRPr="00E919A3">
        <w:t>5</w:t>
      </w:r>
      <w:r w:rsidRPr="00E919A3">
        <w:t xml:space="preserve"> to </w:t>
      </w:r>
      <w:r w:rsidR="004C251D" w:rsidRPr="00E919A3">
        <w:t>36</w:t>
      </w:r>
      <w:r w:rsidRPr="00E919A3">
        <w:t xml:space="preserve"> days.</w:t>
      </w:r>
      <w:r>
        <w:t xml:space="preserve"> However, there were different trends for different jurisdictions and for different sized hospitals over that period (figure 11.1</w:t>
      </w:r>
      <w:r w:rsidR="000D26EC">
        <w:t>3</w:t>
      </w:r>
      <w:r>
        <w:t xml:space="preserve"> and table </w:t>
      </w:r>
      <w:proofErr w:type="spellStart"/>
      <w:r>
        <w:t>11A.2</w:t>
      </w:r>
      <w:r w:rsidR="005F0C33">
        <w:t>4</w:t>
      </w:r>
      <w:proofErr w:type="spellEnd"/>
      <w:r>
        <w:t>).</w:t>
      </w:r>
    </w:p>
    <w:p w:rsidR="007A48D1" w:rsidRDefault="007A48D1" w:rsidP="0060465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A48D1" w:rsidTr="00E919A3">
        <w:tc>
          <w:tcPr>
            <w:tcW w:w="8771" w:type="dxa"/>
            <w:tcBorders>
              <w:top w:val="single" w:sz="6" w:space="0" w:color="78A22F"/>
              <w:left w:val="nil"/>
              <w:bottom w:val="nil"/>
              <w:right w:val="nil"/>
            </w:tcBorders>
            <w:shd w:val="clear" w:color="auto" w:fill="auto"/>
          </w:tcPr>
          <w:p w:rsidR="007A48D1" w:rsidRPr="00176D3F" w:rsidRDefault="007A48D1" w:rsidP="007A48D1">
            <w:pPr>
              <w:pStyle w:val="FigureTitle"/>
            </w:pPr>
            <w:r w:rsidRPr="00784A05">
              <w:rPr>
                <w:b w:val="0"/>
              </w:rPr>
              <w:t xml:space="preserve">Figure </w:t>
            </w:r>
            <w:r w:rsidR="000D26EC">
              <w:rPr>
                <w:b w:val="0"/>
              </w:rPr>
              <w:t>11.</w:t>
            </w:r>
            <w:r w:rsidR="009A53E9">
              <w:rPr>
                <w:b w:val="0"/>
                <w:noProof/>
              </w:rPr>
              <w:t>13</w:t>
            </w:r>
            <w:r>
              <w:tab/>
            </w:r>
            <w:r w:rsidRPr="007A48D1">
              <w:t>Waiting times for elective surgery, public hospitals</w:t>
            </w:r>
          </w:p>
        </w:tc>
      </w:tr>
      <w:tr w:rsidR="007A48D1" w:rsidTr="00E919A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A48D1" w:rsidTr="00604654">
              <w:trPr>
                <w:jc w:val="center"/>
              </w:trPr>
              <w:tc>
                <w:tcPr>
                  <w:tcW w:w="5000" w:type="pct"/>
                  <w:tcBorders>
                    <w:top w:val="nil"/>
                    <w:bottom w:val="nil"/>
                  </w:tcBorders>
                </w:tcPr>
                <w:p w:rsidR="007A48D1" w:rsidRDefault="008953BE" w:rsidP="00604654">
                  <w:pPr>
                    <w:pStyle w:val="Figure"/>
                    <w:spacing w:before="60" w:after="60"/>
                  </w:pPr>
                  <w:r>
                    <w:rPr>
                      <w:noProof/>
                    </w:rPr>
                    <w:drawing>
                      <wp:inline distT="0" distB="0" distL="0" distR="0">
                        <wp:extent cx="5410200" cy="2295525"/>
                        <wp:effectExtent l="0" t="0" r="0" b="9525"/>
                        <wp:docPr id="1" name="Picture 1" descr="Figure 11.13 Waiting times for elective surgery, public hospitals&#10;&#10;Days waited at the 50th perce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10200" cy="2295525"/>
                                </a:xfrm>
                                <a:prstGeom prst="rect">
                                  <a:avLst/>
                                </a:prstGeom>
                                <a:noFill/>
                                <a:ln>
                                  <a:noFill/>
                                </a:ln>
                              </pic:spPr>
                            </pic:pic>
                          </a:graphicData>
                        </a:graphic>
                      </wp:inline>
                    </w:drawing>
                  </w:r>
                </w:p>
              </w:tc>
            </w:tr>
            <w:tr w:rsidR="007A48D1" w:rsidTr="00604654">
              <w:trPr>
                <w:jc w:val="center"/>
              </w:trPr>
              <w:tc>
                <w:tcPr>
                  <w:tcW w:w="5000" w:type="pct"/>
                  <w:tcBorders>
                    <w:top w:val="nil"/>
                    <w:bottom w:val="nil"/>
                  </w:tcBorders>
                </w:tcPr>
                <w:p w:rsidR="007A48D1" w:rsidRDefault="001F000D" w:rsidP="00604654">
                  <w:pPr>
                    <w:pStyle w:val="Figure"/>
                    <w:spacing w:before="60" w:after="60"/>
                  </w:pPr>
                  <w:r>
                    <w:rPr>
                      <w:noProof/>
                    </w:rPr>
                    <w:drawing>
                      <wp:inline distT="0" distB="0" distL="0" distR="0" wp14:anchorId="690DC1A1" wp14:editId="4FCA21AB">
                        <wp:extent cx="5391150" cy="2362200"/>
                        <wp:effectExtent l="0" t="0" r="0" b="0"/>
                        <wp:docPr id="15" name="Picture 15" descr="Figure 11.13 Waiting times for elective surgery, public hospitals &#10;&#10;Days waited at the 90th percentil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362200"/>
                                </a:xfrm>
                                <a:prstGeom prst="rect">
                                  <a:avLst/>
                                </a:prstGeom>
                                <a:noFill/>
                                <a:ln>
                                  <a:noFill/>
                                </a:ln>
                              </pic:spPr>
                            </pic:pic>
                          </a:graphicData>
                        </a:graphic>
                      </wp:inline>
                    </w:drawing>
                  </w:r>
                </w:p>
              </w:tc>
            </w:tr>
            <w:tr w:rsidR="007A48D1" w:rsidTr="00604654">
              <w:trPr>
                <w:jc w:val="center"/>
              </w:trPr>
              <w:tc>
                <w:tcPr>
                  <w:tcW w:w="5000" w:type="pct"/>
                  <w:tcBorders>
                    <w:top w:val="nil"/>
                    <w:bottom w:val="nil"/>
                  </w:tcBorders>
                </w:tcPr>
                <w:p w:rsidR="007A48D1" w:rsidRDefault="001F000D" w:rsidP="00604654">
                  <w:pPr>
                    <w:pStyle w:val="Figure"/>
                    <w:spacing w:before="60" w:after="60"/>
                  </w:pPr>
                  <w:r>
                    <w:rPr>
                      <w:noProof/>
                    </w:rPr>
                    <w:drawing>
                      <wp:inline distT="0" distB="0" distL="0" distR="0" wp14:anchorId="187A7158" wp14:editId="2C5AF6BD">
                        <wp:extent cx="5391150" cy="2286000"/>
                        <wp:effectExtent l="0" t="0" r="0" b="0"/>
                        <wp:docPr id="16" name="Picture 16" descr="Figure 11.13 Waiting times for elective surgery, public hospitals &#10;&#10;Percentage who waited more than 365 day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1150" cy="2286000"/>
                                </a:xfrm>
                                <a:prstGeom prst="rect">
                                  <a:avLst/>
                                </a:prstGeom>
                                <a:noFill/>
                                <a:ln>
                                  <a:noFill/>
                                </a:ln>
                              </pic:spPr>
                            </pic:pic>
                          </a:graphicData>
                        </a:graphic>
                      </wp:inline>
                    </w:drawing>
                  </w:r>
                </w:p>
              </w:tc>
            </w:tr>
          </w:tbl>
          <w:p w:rsidR="007A48D1" w:rsidRDefault="007A48D1" w:rsidP="00604654">
            <w:pPr>
              <w:pStyle w:val="Figure"/>
            </w:pPr>
          </w:p>
        </w:tc>
      </w:tr>
      <w:tr w:rsidR="007A48D1" w:rsidRPr="00176D3F" w:rsidTr="00604654">
        <w:tc>
          <w:tcPr>
            <w:tcW w:w="8771" w:type="dxa"/>
            <w:tcBorders>
              <w:top w:val="nil"/>
              <w:left w:val="nil"/>
              <w:bottom w:val="nil"/>
              <w:right w:val="nil"/>
            </w:tcBorders>
            <w:shd w:val="clear" w:color="auto" w:fill="auto"/>
          </w:tcPr>
          <w:p w:rsidR="007A48D1" w:rsidRPr="00176D3F" w:rsidRDefault="007A48D1" w:rsidP="004C251D">
            <w:pPr>
              <w:pStyle w:val="Source"/>
            </w:pPr>
            <w:r>
              <w:rPr>
                <w:i/>
              </w:rPr>
              <w:t>S</w:t>
            </w:r>
            <w:r w:rsidRPr="00784A05">
              <w:rPr>
                <w:i/>
              </w:rPr>
              <w:t>ource</w:t>
            </w:r>
            <w:r w:rsidRPr="00176D3F">
              <w:t xml:space="preserve">: </w:t>
            </w:r>
            <w:r w:rsidRPr="007A48D1">
              <w:t xml:space="preserve">AIHW (various years), </w:t>
            </w:r>
            <w:r w:rsidRPr="007A48D1">
              <w:rPr>
                <w:i/>
              </w:rPr>
              <w:t>Australian Hospital Statistics</w:t>
            </w:r>
            <w:r w:rsidRPr="007A48D1">
              <w:t xml:space="preserve">, Health Services Series, Cat nos. HSE </w:t>
            </w:r>
            <w:r w:rsidR="00BD0373">
              <w:t>107</w:t>
            </w:r>
            <w:r w:rsidRPr="007A48D1">
              <w:t xml:space="preserve"> </w:t>
            </w:r>
            <w:r w:rsidR="00BD0373" w:rsidRPr="007A48D1">
              <w:t xml:space="preserve">and </w:t>
            </w:r>
            <w:r w:rsidRPr="007A48D1">
              <w:t>1</w:t>
            </w:r>
            <w:r w:rsidR="00BD0373">
              <w:t>1</w:t>
            </w:r>
            <w:r w:rsidRPr="007A48D1">
              <w:t xml:space="preserve">7; AIHW </w:t>
            </w:r>
            <w:r w:rsidR="00BD0373" w:rsidRPr="00BD0373">
              <w:t>(various years)</w:t>
            </w:r>
            <w:r w:rsidRPr="007A48D1">
              <w:t xml:space="preserve">, </w:t>
            </w:r>
            <w:r w:rsidRPr="007A48D1">
              <w:rPr>
                <w:i/>
              </w:rPr>
              <w:t>Australian hospital statistics: elective surgery waiting times</w:t>
            </w:r>
            <w:r w:rsidR="00BD0373">
              <w:rPr>
                <w:i/>
              </w:rPr>
              <w:t>,</w:t>
            </w:r>
            <w:r w:rsidRPr="007A48D1">
              <w:t xml:space="preserve"> Cat. no</w:t>
            </w:r>
            <w:r w:rsidR="00BD0373">
              <w:t>s</w:t>
            </w:r>
            <w:r w:rsidRPr="007A48D1">
              <w:t>.</w:t>
            </w:r>
            <w:r w:rsidR="009551A6">
              <w:t> </w:t>
            </w:r>
            <w:r w:rsidRPr="007A48D1">
              <w:t>HSE</w:t>
            </w:r>
            <w:r w:rsidR="00BC7D36">
              <w:t> </w:t>
            </w:r>
            <w:r w:rsidR="00BD0373">
              <w:t xml:space="preserve">127, </w:t>
            </w:r>
            <w:r w:rsidRPr="007A48D1">
              <w:t>140</w:t>
            </w:r>
            <w:r w:rsidR="00BD0373">
              <w:t xml:space="preserve"> and </w:t>
            </w:r>
            <w:r w:rsidR="004C251D" w:rsidRPr="004C251D">
              <w:t>151</w:t>
            </w:r>
            <w:r w:rsidRPr="007A48D1">
              <w:t>; table 11A.2</w:t>
            </w:r>
            <w:r w:rsidR="005F0C33">
              <w:t>4</w:t>
            </w:r>
            <w:r w:rsidRPr="007A48D1">
              <w:t>.</w:t>
            </w:r>
          </w:p>
        </w:tc>
      </w:tr>
      <w:tr w:rsidR="007A48D1" w:rsidTr="00604654">
        <w:tc>
          <w:tcPr>
            <w:tcW w:w="8771" w:type="dxa"/>
            <w:tcBorders>
              <w:top w:val="nil"/>
              <w:left w:val="nil"/>
              <w:bottom w:val="single" w:sz="6" w:space="0" w:color="78A22F"/>
              <w:right w:val="nil"/>
            </w:tcBorders>
            <w:shd w:val="clear" w:color="auto" w:fill="auto"/>
          </w:tcPr>
          <w:p w:rsidR="007A48D1" w:rsidRDefault="007A48D1" w:rsidP="00604654">
            <w:pPr>
              <w:pStyle w:val="Figurespace"/>
            </w:pPr>
          </w:p>
        </w:tc>
      </w:tr>
      <w:tr w:rsidR="007A48D1" w:rsidRPr="000863A5" w:rsidTr="00604654">
        <w:tc>
          <w:tcPr>
            <w:tcW w:w="8771" w:type="dxa"/>
            <w:tcBorders>
              <w:top w:val="single" w:sz="6" w:space="0" w:color="78A22F"/>
              <w:left w:val="nil"/>
              <w:bottom w:val="nil"/>
              <w:right w:val="nil"/>
            </w:tcBorders>
          </w:tcPr>
          <w:p w:rsidR="007A48D1" w:rsidRPr="00626D32" w:rsidRDefault="007A48D1" w:rsidP="00604654">
            <w:pPr>
              <w:pStyle w:val="BoxSpaceBelow"/>
            </w:pPr>
          </w:p>
        </w:tc>
      </w:tr>
    </w:tbl>
    <w:p w:rsidR="007A48D1" w:rsidRDefault="007A48D1" w:rsidP="007A48D1">
      <w:pPr>
        <w:pStyle w:val="BodyText"/>
      </w:pPr>
      <w:r>
        <w:lastRenderedPageBreak/>
        <w:t>Attachment 11A includes data on elective surgery waiting times by hospital peer group, specialty of surgeon and indicator procedure. It also includes waiting times by Indigenous status, remoteness and socioeconomic status (tables 11A.2</w:t>
      </w:r>
      <w:r w:rsidR="005F0C33">
        <w:t>4</w:t>
      </w:r>
      <w:r>
        <w:t>–2</w:t>
      </w:r>
      <w:r w:rsidR="005F0C33">
        <w:t>9</w:t>
      </w:r>
      <w:r>
        <w:t xml:space="preserve">). Nationally, </w:t>
      </w:r>
      <w:r w:rsidR="00CC4A84" w:rsidRPr="00CC4A84">
        <w:t xml:space="preserve">Aboriginal and Torres Strait Islander </w:t>
      </w:r>
      <w:r>
        <w:t xml:space="preserve">Australians had longer waiting times for elective surgery than </w:t>
      </w:r>
      <w:r w:rsidR="00CC4A84">
        <w:t>other</w:t>
      </w:r>
      <w:r>
        <w:t xml:space="preserve"> Australians at the 50th percentile and 90th percentile (table 11A.2</w:t>
      </w:r>
      <w:r w:rsidR="005F0C33">
        <w:t>6</w:t>
      </w:r>
      <w:r>
        <w:t>). Those living in regional areas had longer waiting times than those in major cities at the 50th and 90th percentiles at the national level (table 11A.2</w:t>
      </w:r>
      <w:r w:rsidR="005F0C33">
        <w:t>7</w:t>
      </w:r>
      <w:r>
        <w:t>). Elective surgery waiting times tended to increase with social disadvantage at the 50th and 90th percent</w:t>
      </w:r>
      <w:r w:rsidR="009C43B5">
        <w:t>iles on a national basis (table </w:t>
      </w:r>
      <w:r>
        <w:t>11A.2</w:t>
      </w:r>
      <w:r w:rsidR="005F0C33">
        <w:t>8</w:t>
      </w:r>
      <w:r>
        <w:t>).</w:t>
      </w:r>
    </w:p>
    <w:p w:rsidR="007A48D1" w:rsidRDefault="007A48D1" w:rsidP="005574AD">
      <w:pPr>
        <w:pStyle w:val="Heading5"/>
      </w:pPr>
      <w:r>
        <w:t>Elective surgery waiting times by clinical urgency category</w:t>
      </w:r>
    </w:p>
    <w:p w:rsidR="007A48D1" w:rsidRDefault="007A48D1" w:rsidP="007A48D1">
      <w:pPr>
        <w:pStyle w:val="BodyText"/>
      </w:pPr>
      <w:r>
        <w:t>Elective surgery waiting times by urgency category not only provide an indication of the extent to which patients are seen within a clinically desirable time, but also draw attention to the variation in the way in which patients are classified across jurisdictions. Jurisdictional differences in the classification of patients by urgency category in 201</w:t>
      </w:r>
      <w:r w:rsidR="007B4C01">
        <w:t>3</w:t>
      </w:r>
      <w:r>
        <w:t>-1</w:t>
      </w:r>
      <w:r w:rsidR="007B4C01">
        <w:t>4</w:t>
      </w:r>
      <w:r>
        <w:t xml:space="preserve"> are shown in table 11.3. The states and territories with lower proportions of patients in category 1 tended to have smaller proportions of patients in this category who were ‘not seen on time’. NSW, Victoria and the ACT, for example, had low proportions of patients in category 1 and also had low proportions of patients in category 1 who had extended waits (tables 11.3, 11A.</w:t>
      </w:r>
      <w:r w:rsidR="005F0C33">
        <w:t>31</w:t>
      </w:r>
      <w:r>
        <w:t>, 11A.3</w:t>
      </w:r>
      <w:r w:rsidR="005F0C33">
        <w:t>3</w:t>
      </w:r>
      <w:r>
        <w:t xml:space="preserve"> and 11A.4</w:t>
      </w:r>
      <w:r w:rsidR="005F0C33">
        <w:t>3</w:t>
      </w:r>
      <w:r>
        <w:t xml:space="preserve">). </w:t>
      </w:r>
    </w:p>
    <w:p w:rsidR="007A48D1" w:rsidRDefault="007A48D1" w:rsidP="007A48D1">
      <w:pPr>
        <w:pStyle w:val="BodyText"/>
      </w:pPr>
      <w:r>
        <w:t xml:space="preserve">The system of urgency categorisation for elective surgery in public hospitals is important to ensure that priority is given to patients according to their needs. While elective surgery waiting times by urgency category are not comparable across jurisdictions, this measure has the advantage of providing an indication of the extent to which patients are seen within a clinically desirable time according to the urgency category to which they have been assigned. </w:t>
      </w:r>
    </w:p>
    <w:p w:rsidR="007A48D1" w:rsidRDefault="007A48D1" w:rsidP="007A48D1">
      <w:pPr>
        <w:pStyle w:val="BodyText"/>
      </w:pPr>
      <w:r>
        <w:t>The AIHW, with the Royal Australasian College of Surgeons, submitted a proposal to Health Ministers in December 2012 for nationally agreed elective surgery urgency category definitions, including consistent treatment of patients ‘not ready for care’. This was endorsed by Health Ministers, and NSW is now leading work on nation-wide implementation of the recommendations outlined in the proposal.</w:t>
      </w:r>
    </w:p>
    <w:p w:rsidR="007A48D1" w:rsidRDefault="007A48D1" w:rsidP="0060465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A48D1" w:rsidTr="00604654">
        <w:tc>
          <w:tcPr>
            <w:tcW w:w="8771" w:type="dxa"/>
            <w:tcBorders>
              <w:top w:val="single" w:sz="6" w:space="0" w:color="78A22F"/>
              <w:left w:val="nil"/>
              <w:bottom w:val="nil"/>
              <w:right w:val="nil"/>
            </w:tcBorders>
            <w:shd w:val="clear" w:color="auto" w:fill="auto"/>
          </w:tcPr>
          <w:p w:rsidR="007A48D1" w:rsidRPr="00784A05" w:rsidRDefault="007A48D1" w:rsidP="007B4C01">
            <w:pPr>
              <w:pStyle w:val="TableTitle"/>
            </w:pPr>
            <w:r>
              <w:rPr>
                <w:b w:val="0"/>
              </w:rPr>
              <w:t>Table 11.</w:t>
            </w:r>
            <w:r w:rsidR="009A53E9">
              <w:rPr>
                <w:b w:val="0"/>
                <w:noProof/>
              </w:rPr>
              <w:t>3</w:t>
            </w:r>
            <w:r>
              <w:tab/>
            </w:r>
            <w:r w:rsidR="00604654" w:rsidRPr="00604654">
              <w:t>Classification of elective surgery patients, by clinical urgency category, 201</w:t>
            </w:r>
            <w:r w:rsidR="007B4C01">
              <w:t>3</w:t>
            </w:r>
            <w:r w:rsidR="00604654" w:rsidRPr="00604654">
              <w:t>-1</w:t>
            </w:r>
            <w:r w:rsidR="007B4C01">
              <w:t>4</w:t>
            </w:r>
            <w:r w:rsidR="00604654" w:rsidRPr="00604654">
              <w:t xml:space="preserve"> (per cent)</w:t>
            </w:r>
          </w:p>
        </w:tc>
      </w:tr>
      <w:tr w:rsidR="007A48D1" w:rsidTr="00EF1858">
        <w:trPr>
          <w:cantSplit/>
        </w:trPr>
        <w:tc>
          <w:tcPr>
            <w:tcW w:w="8771" w:type="dxa"/>
            <w:tcBorders>
              <w:top w:val="nil"/>
              <w:left w:val="nil"/>
              <w:bottom w:val="nil"/>
              <w:right w:val="nil"/>
            </w:tcBorders>
            <w:shd w:val="clear" w:color="auto" w:fill="auto"/>
          </w:tcPr>
          <w:tbl>
            <w:tblPr>
              <w:tblW w:w="4998" w:type="pct"/>
              <w:tblCellMar>
                <w:top w:w="28" w:type="dxa"/>
                <w:left w:w="0" w:type="dxa"/>
                <w:right w:w="0" w:type="dxa"/>
              </w:tblCellMar>
              <w:tblLook w:val="0000" w:firstRow="0" w:lastRow="0" w:firstColumn="0" w:lastColumn="0" w:noHBand="0" w:noVBand="0"/>
            </w:tblPr>
            <w:tblGrid>
              <w:gridCol w:w="1823"/>
              <w:gridCol w:w="848"/>
              <w:gridCol w:w="993"/>
              <w:gridCol w:w="850"/>
              <w:gridCol w:w="709"/>
              <w:gridCol w:w="709"/>
              <w:gridCol w:w="850"/>
              <w:gridCol w:w="850"/>
              <w:gridCol w:w="852"/>
            </w:tblGrid>
            <w:tr w:rsidR="00DC7B42" w:rsidTr="00DC7B42">
              <w:tc>
                <w:tcPr>
                  <w:tcW w:w="1074" w:type="pct"/>
                  <w:tcBorders>
                    <w:top w:val="single" w:sz="6" w:space="0" w:color="BFBFBF"/>
                    <w:bottom w:val="single" w:sz="6" w:space="0" w:color="BFBFBF"/>
                  </w:tcBorders>
                  <w:shd w:val="clear" w:color="auto" w:fill="auto"/>
                  <w:tcMar>
                    <w:top w:w="28" w:type="dxa"/>
                  </w:tcMar>
                </w:tcPr>
                <w:p w:rsidR="00DC7B42" w:rsidRDefault="00DC7B42" w:rsidP="00604654">
                  <w:pPr>
                    <w:pStyle w:val="TableColumnHeading"/>
                    <w:jc w:val="left"/>
                  </w:pPr>
                </w:p>
              </w:tc>
              <w:tc>
                <w:tcPr>
                  <w:tcW w:w="500" w:type="pct"/>
                  <w:tcBorders>
                    <w:top w:val="single" w:sz="6" w:space="0" w:color="BFBFBF"/>
                    <w:bottom w:val="single" w:sz="6" w:space="0" w:color="BFBFBF"/>
                  </w:tcBorders>
                </w:tcPr>
                <w:p w:rsidR="00DC7B42" w:rsidRDefault="00DC7B42" w:rsidP="00604654">
                  <w:pPr>
                    <w:pStyle w:val="TableColumnHeading"/>
                  </w:pPr>
                  <w:r>
                    <w:t>NSW</w:t>
                  </w:r>
                </w:p>
              </w:tc>
              <w:tc>
                <w:tcPr>
                  <w:tcW w:w="585" w:type="pct"/>
                  <w:tcBorders>
                    <w:top w:val="single" w:sz="6" w:space="0" w:color="BFBFBF"/>
                    <w:bottom w:val="single" w:sz="6" w:space="0" w:color="BFBFBF"/>
                  </w:tcBorders>
                </w:tcPr>
                <w:p w:rsidR="00DC7B42" w:rsidRDefault="00DC7B42" w:rsidP="00604654">
                  <w:pPr>
                    <w:pStyle w:val="TableColumnHeading"/>
                  </w:pPr>
                  <w:r>
                    <w:t>Vic</w:t>
                  </w:r>
                </w:p>
              </w:tc>
              <w:tc>
                <w:tcPr>
                  <w:tcW w:w="501" w:type="pct"/>
                  <w:tcBorders>
                    <w:top w:val="single" w:sz="6" w:space="0" w:color="BFBFBF"/>
                    <w:bottom w:val="single" w:sz="6" w:space="0" w:color="BFBFBF"/>
                  </w:tcBorders>
                </w:tcPr>
                <w:p w:rsidR="00DC7B42" w:rsidRDefault="00DC7B42" w:rsidP="00604654">
                  <w:pPr>
                    <w:pStyle w:val="TableColumnHeading"/>
                  </w:pPr>
                  <w:r>
                    <w:t>Qld</w:t>
                  </w:r>
                </w:p>
              </w:tc>
              <w:tc>
                <w:tcPr>
                  <w:tcW w:w="418" w:type="pct"/>
                  <w:tcBorders>
                    <w:top w:val="single" w:sz="6" w:space="0" w:color="BFBFBF"/>
                    <w:bottom w:val="single" w:sz="6" w:space="0" w:color="BFBFBF"/>
                  </w:tcBorders>
                </w:tcPr>
                <w:p w:rsidR="00DC7B42" w:rsidRDefault="00DC7B42" w:rsidP="00604654">
                  <w:pPr>
                    <w:pStyle w:val="TableColumnHeading"/>
                  </w:pPr>
                  <w:r>
                    <w:t>WA</w:t>
                  </w:r>
                </w:p>
              </w:tc>
              <w:tc>
                <w:tcPr>
                  <w:tcW w:w="418" w:type="pct"/>
                  <w:tcBorders>
                    <w:top w:val="single" w:sz="6" w:space="0" w:color="BFBFBF"/>
                    <w:bottom w:val="single" w:sz="6" w:space="0" w:color="BFBFBF"/>
                  </w:tcBorders>
                </w:tcPr>
                <w:p w:rsidR="00DC7B42" w:rsidRDefault="00DC7B42" w:rsidP="00604654">
                  <w:pPr>
                    <w:pStyle w:val="TableColumnHeading"/>
                  </w:pPr>
                  <w:r>
                    <w:t>SA</w:t>
                  </w:r>
                </w:p>
              </w:tc>
              <w:tc>
                <w:tcPr>
                  <w:tcW w:w="501" w:type="pct"/>
                  <w:tcBorders>
                    <w:top w:val="single" w:sz="6" w:space="0" w:color="BFBFBF"/>
                    <w:bottom w:val="single" w:sz="6" w:space="0" w:color="BFBFBF"/>
                  </w:tcBorders>
                </w:tcPr>
                <w:p w:rsidR="00DC7B42" w:rsidRDefault="00DC7B42" w:rsidP="00604654">
                  <w:pPr>
                    <w:pStyle w:val="TableColumnHeading"/>
                  </w:pPr>
                  <w:r>
                    <w:t>Tas</w:t>
                  </w:r>
                </w:p>
              </w:tc>
              <w:tc>
                <w:tcPr>
                  <w:tcW w:w="501" w:type="pct"/>
                  <w:tcBorders>
                    <w:top w:val="single" w:sz="6" w:space="0" w:color="BFBFBF"/>
                    <w:bottom w:val="single" w:sz="6" w:space="0" w:color="BFBFBF"/>
                  </w:tcBorders>
                </w:tcPr>
                <w:p w:rsidR="00DC7B42" w:rsidRDefault="00DC7B42" w:rsidP="00604654">
                  <w:pPr>
                    <w:pStyle w:val="TableColumnHeading"/>
                  </w:pPr>
                  <w:r>
                    <w:t>ACT</w:t>
                  </w:r>
                </w:p>
              </w:tc>
              <w:tc>
                <w:tcPr>
                  <w:tcW w:w="502" w:type="pct"/>
                  <w:tcBorders>
                    <w:top w:val="single" w:sz="6" w:space="0" w:color="BFBFBF"/>
                    <w:bottom w:val="single" w:sz="6" w:space="0" w:color="BFBFBF"/>
                  </w:tcBorders>
                  <w:shd w:val="clear" w:color="auto" w:fill="auto"/>
                  <w:tcMar>
                    <w:top w:w="28" w:type="dxa"/>
                  </w:tcMar>
                </w:tcPr>
                <w:p w:rsidR="00DC7B42" w:rsidRDefault="00DC7B42" w:rsidP="00604654">
                  <w:pPr>
                    <w:pStyle w:val="TableColumnHeading"/>
                  </w:pPr>
                  <w:r>
                    <w:t>NT</w:t>
                  </w:r>
                </w:p>
              </w:tc>
            </w:tr>
            <w:tr w:rsidR="00DC7B42" w:rsidTr="00DC7B42">
              <w:tc>
                <w:tcPr>
                  <w:tcW w:w="5000" w:type="pct"/>
                  <w:gridSpan w:val="9"/>
                  <w:tcBorders>
                    <w:top w:val="single" w:sz="6" w:space="0" w:color="BFBFBF"/>
                  </w:tcBorders>
                </w:tcPr>
                <w:p w:rsidR="00DC7B42" w:rsidRDefault="00DC7B42" w:rsidP="005A22A1">
                  <w:pPr>
                    <w:pStyle w:val="TableUnitsRow"/>
                    <w:ind w:right="28"/>
                    <w:jc w:val="left"/>
                  </w:pPr>
                  <w:r>
                    <w:t>Patients on waiting lists</w:t>
                  </w:r>
                </w:p>
              </w:tc>
            </w:tr>
            <w:tr w:rsidR="004470C5" w:rsidTr="00DC7B42">
              <w:tc>
                <w:tcPr>
                  <w:tcW w:w="1074" w:type="pct"/>
                </w:tcPr>
                <w:p w:rsidR="004470C5" w:rsidRDefault="004470C5" w:rsidP="005A22A1">
                  <w:pPr>
                    <w:pStyle w:val="TableBodyText"/>
                    <w:ind w:left="120"/>
                    <w:jc w:val="left"/>
                  </w:pPr>
                  <w:r>
                    <w:t>Category 1</w:t>
                  </w:r>
                </w:p>
              </w:tc>
              <w:tc>
                <w:tcPr>
                  <w:tcW w:w="500" w:type="pct"/>
                  <w:vAlign w:val="center"/>
                </w:tcPr>
                <w:p w:rsidR="004470C5" w:rsidRPr="004470C5" w:rsidRDefault="004470C5" w:rsidP="004470C5">
                  <w:pPr>
                    <w:pStyle w:val="TableBodyText"/>
                  </w:pPr>
                  <w:r w:rsidRPr="004470C5">
                    <w:t>2.5</w:t>
                  </w:r>
                </w:p>
              </w:tc>
              <w:tc>
                <w:tcPr>
                  <w:tcW w:w="585" w:type="pct"/>
                  <w:vAlign w:val="center"/>
                </w:tcPr>
                <w:p w:rsidR="004470C5" w:rsidRPr="004470C5" w:rsidRDefault="004470C5" w:rsidP="004470C5">
                  <w:pPr>
                    <w:pStyle w:val="TableBodyText"/>
                  </w:pPr>
                  <w:r w:rsidRPr="004470C5">
                    <w:t>4.1</w:t>
                  </w:r>
                </w:p>
              </w:tc>
              <w:tc>
                <w:tcPr>
                  <w:tcW w:w="501" w:type="pct"/>
                  <w:vAlign w:val="center"/>
                </w:tcPr>
                <w:p w:rsidR="004470C5" w:rsidRPr="004470C5" w:rsidRDefault="004470C5" w:rsidP="004470C5">
                  <w:pPr>
                    <w:pStyle w:val="TableBodyText"/>
                  </w:pPr>
                  <w:r w:rsidRPr="004470C5">
                    <w:t>7.6</w:t>
                  </w:r>
                </w:p>
              </w:tc>
              <w:tc>
                <w:tcPr>
                  <w:tcW w:w="418" w:type="pct"/>
                  <w:vAlign w:val="center"/>
                </w:tcPr>
                <w:p w:rsidR="004470C5" w:rsidRPr="004470C5" w:rsidRDefault="004470C5" w:rsidP="004470C5">
                  <w:pPr>
                    <w:pStyle w:val="TableBodyText"/>
                  </w:pPr>
                  <w:r w:rsidRPr="004470C5">
                    <w:t>5.1</w:t>
                  </w:r>
                </w:p>
              </w:tc>
              <w:tc>
                <w:tcPr>
                  <w:tcW w:w="418" w:type="pct"/>
                  <w:vAlign w:val="center"/>
                </w:tcPr>
                <w:p w:rsidR="004470C5" w:rsidRPr="004470C5" w:rsidRDefault="004470C5" w:rsidP="004470C5">
                  <w:pPr>
                    <w:pStyle w:val="TableBodyText"/>
                  </w:pPr>
                  <w:r w:rsidRPr="004470C5">
                    <w:t>4.2</w:t>
                  </w:r>
                </w:p>
              </w:tc>
              <w:tc>
                <w:tcPr>
                  <w:tcW w:w="501" w:type="pct"/>
                  <w:vAlign w:val="center"/>
                </w:tcPr>
                <w:p w:rsidR="004470C5" w:rsidRPr="004470C5" w:rsidRDefault="004470C5" w:rsidP="004470C5">
                  <w:pPr>
                    <w:pStyle w:val="TableBodyText"/>
                  </w:pPr>
                  <w:r w:rsidRPr="004470C5">
                    <w:t>5.7</w:t>
                  </w:r>
                </w:p>
              </w:tc>
              <w:tc>
                <w:tcPr>
                  <w:tcW w:w="501" w:type="pct"/>
                  <w:vAlign w:val="center"/>
                </w:tcPr>
                <w:p w:rsidR="004470C5" w:rsidRPr="004470C5" w:rsidRDefault="004470C5" w:rsidP="004470C5">
                  <w:pPr>
                    <w:pStyle w:val="TableBodyText"/>
                  </w:pPr>
                  <w:r w:rsidRPr="004470C5">
                    <w:t>4.4</w:t>
                  </w:r>
                </w:p>
              </w:tc>
              <w:tc>
                <w:tcPr>
                  <w:tcW w:w="502" w:type="pct"/>
                  <w:vAlign w:val="center"/>
                </w:tcPr>
                <w:p w:rsidR="004470C5" w:rsidRPr="004470C5" w:rsidRDefault="004470C5" w:rsidP="004470C5">
                  <w:pPr>
                    <w:pStyle w:val="TableBodyText"/>
                  </w:pPr>
                  <w:r w:rsidRPr="004470C5">
                    <w:t>5.3</w:t>
                  </w:r>
                </w:p>
              </w:tc>
            </w:tr>
            <w:tr w:rsidR="004470C5" w:rsidTr="00DC7B42">
              <w:tc>
                <w:tcPr>
                  <w:tcW w:w="1074" w:type="pct"/>
                </w:tcPr>
                <w:p w:rsidR="004470C5" w:rsidRDefault="004470C5" w:rsidP="005A22A1">
                  <w:pPr>
                    <w:pStyle w:val="TableBodyText"/>
                    <w:ind w:left="120"/>
                    <w:jc w:val="left"/>
                  </w:pPr>
                  <w:r>
                    <w:t>Category 2</w:t>
                  </w:r>
                </w:p>
              </w:tc>
              <w:tc>
                <w:tcPr>
                  <w:tcW w:w="500" w:type="pct"/>
                  <w:vAlign w:val="center"/>
                </w:tcPr>
                <w:p w:rsidR="004470C5" w:rsidRPr="004470C5" w:rsidRDefault="004470C5" w:rsidP="004470C5">
                  <w:pPr>
                    <w:pStyle w:val="TableBodyText"/>
                  </w:pPr>
                  <w:r w:rsidRPr="004470C5">
                    <w:t>16.0</w:t>
                  </w:r>
                </w:p>
              </w:tc>
              <w:tc>
                <w:tcPr>
                  <w:tcW w:w="585" w:type="pct"/>
                  <w:vAlign w:val="center"/>
                </w:tcPr>
                <w:p w:rsidR="004470C5" w:rsidRPr="004470C5" w:rsidRDefault="004470C5" w:rsidP="004470C5">
                  <w:pPr>
                    <w:pStyle w:val="TableBodyText"/>
                  </w:pPr>
                  <w:r w:rsidRPr="004470C5">
                    <w:t>50.1</w:t>
                  </w:r>
                </w:p>
              </w:tc>
              <w:tc>
                <w:tcPr>
                  <w:tcW w:w="501" w:type="pct"/>
                  <w:vAlign w:val="center"/>
                </w:tcPr>
                <w:p w:rsidR="004470C5" w:rsidRPr="004470C5" w:rsidRDefault="004470C5" w:rsidP="004470C5">
                  <w:pPr>
                    <w:pStyle w:val="TableBodyText"/>
                  </w:pPr>
                  <w:r w:rsidRPr="004470C5">
                    <w:t>34.9</w:t>
                  </w:r>
                </w:p>
              </w:tc>
              <w:tc>
                <w:tcPr>
                  <w:tcW w:w="418" w:type="pct"/>
                  <w:vAlign w:val="center"/>
                </w:tcPr>
                <w:p w:rsidR="004470C5" w:rsidRPr="004470C5" w:rsidRDefault="004470C5" w:rsidP="004470C5">
                  <w:pPr>
                    <w:pStyle w:val="TableBodyText"/>
                  </w:pPr>
                  <w:r w:rsidRPr="004470C5">
                    <w:t>27.7</w:t>
                  </w:r>
                </w:p>
              </w:tc>
              <w:tc>
                <w:tcPr>
                  <w:tcW w:w="418" w:type="pct"/>
                  <w:vAlign w:val="center"/>
                </w:tcPr>
                <w:p w:rsidR="004470C5" w:rsidRPr="004470C5" w:rsidRDefault="004470C5" w:rsidP="004470C5">
                  <w:pPr>
                    <w:pStyle w:val="TableBodyText"/>
                  </w:pPr>
                  <w:r w:rsidRPr="004470C5">
                    <w:t>22.4</w:t>
                  </w:r>
                </w:p>
              </w:tc>
              <w:tc>
                <w:tcPr>
                  <w:tcW w:w="501" w:type="pct"/>
                  <w:vAlign w:val="center"/>
                </w:tcPr>
                <w:p w:rsidR="004470C5" w:rsidRPr="004470C5" w:rsidRDefault="004470C5" w:rsidP="004470C5">
                  <w:pPr>
                    <w:pStyle w:val="TableBodyText"/>
                  </w:pPr>
                  <w:r w:rsidRPr="004470C5">
                    <w:t>50.9</w:t>
                  </w:r>
                </w:p>
              </w:tc>
              <w:tc>
                <w:tcPr>
                  <w:tcW w:w="501" w:type="pct"/>
                  <w:vAlign w:val="center"/>
                </w:tcPr>
                <w:p w:rsidR="004470C5" w:rsidRPr="004470C5" w:rsidRDefault="004470C5" w:rsidP="004470C5">
                  <w:pPr>
                    <w:pStyle w:val="TableBodyText"/>
                  </w:pPr>
                  <w:r w:rsidRPr="004470C5">
                    <w:t>35.9</w:t>
                  </w:r>
                </w:p>
              </w:tc>
              <w:tc>
                <w:tcPr>
                  <w:tcW w:w="502" w:type="pct"/>
                  <w:vAlign w:val="center"/>
                </w:tcPr>
                <w:p w:rsidR="004470C5" w:rsidRPr="004470C5" w:rsidRDefault="004470C5" w:rsidP="004470C5">
                  <w:pPr>
                    <w:pStyle w:val="TableBodyText"/>
                  </w:pPr>
                  <w:r w:rsidRPr="004470C5">
                    <w:t>41.0</w:t>
                  </w:r>
                </w:p>
              </w:tc>
            </w:tr>
            <w:tr w:rsidR="004470C5" w:rsidTr="00DC7B42">
              <w:tc>
                <w:tcPr>
                  <w:tcW w:w="1074" w:type="pct"/>
                </w:tcPr>
                <w:p w:rsidR="004470C5" w:rsidRDefault="004470C5" w:rsidP="005A22A1">
                  <w:pPr>
                    <w:pStyle w:val="TableBodyText"/>
                    <w:ind w:left="120"/>
                    <w:jc w:val="left"/>
                  </w:pPr>
                  <w:r>
                    <w:t>Category 3</w:t>
                  </w:r>
                </w:p>
              </w:tc>
              <w:tc>
                <w:tcPr>
                  <w:tcW w:w="500" w:type="pct"/>
                  <w:vAlign w:val="center"/>
                </w:tcPr>
                <w:p w:rsidR="004470C5" w:rsidRPr="004470C5" w:rsidRDefault="004470C5" w:rsidP="004470C5">
                  <w:pPr>
                    <w:pStyle w:val="TableBodyText"/>
                  </w:pPr>
                  <w:r w:rsidRPr="004470C5">
                    <w:t>81.5</w:t>
                  </w:r>
                </w:p>
              </w:tc>
              <w:tc>
                <w:tcPr>
                  <w:tcW w:w="585" w:type="pct"/>
                  <w:vAlign w:val="center"/>
                </w:tcPr>
                <w:p w:rsidR="004470C5" w:rsidRPr="004470C5" w:rsidRDefault="004470C5" w:rsidP="004470C5">
                  <w:pPr>
                    <w:pStyle w:val="TableBodyText"/>
                  </w:pPr>
                  <w:r w:rsidRPr="004470C5">
                    <w:t>45.8</w:t>
                  </w:r>
                </w:p>
              </w:tc>
              <w:tc>
                <w:tcPr>
                  <w:tcW w:w="501" w:type="pct"/>
                  <w:vAlign w:val="center"/>
                </w:tcPr>
                <w:p w:rsidR="004470C5" w:rsidRPr="004470C5" w:rsidRDefault="004470C5" w:rsidP="004470C5">
                  <w:pPr>
                    <w:pStyle w:val="TableBodyText"/>
                  </w:pPr>
                  <w:r w:rsidRPr="004470C5">
                    <w:t>57.5</w:t>
                  </w:r>
                </w:p>
              </w:tc>
              <w:tc>
                <w:tcPr>
                  <w:tcW w:w="418" w:type="pct"/>
                  <w:vAlign w:val="center"/>
                </w:tcPr>
                <w:p w:rsidR="004470C5" w:rsidRPr="004470C5" w:rsidRDefault="004470C5" w:rsidP="004470C5">
                  <w:pPr>
                    <w:pStyle w:val="TableBodyText"/>
                  </w:pPr>
                  <w:r w:rsidRPr="004470C5">
                    <w:t>67.1</w:t>
                  </w:r>
                </w:p>
              </w:tc>
              <w:tc>
                <w:tcPr>
                  <w:tcW w:w="418" w:type="pct"/>
                  <w:vAlign w:val="center"/>
                </w:tcPr>
                <w:p w:rsidR="004470C5" w:rsidRPr="004470C5" w:rsidRDefault="004470C5" w:rsidP="004470C5">
                  <w:pPr>
                    <w:pStyle w:val="TableBodyText"/>
                  </w:pPr>
                  <w:r w:rsidRPr="004470C5">
                    <w:t>73.4</w:t>
                  </w:r>
                </w:p>
              </w:tc>
              <w:tc>
                <w:tcPr>
                  <w:tcW w:w="501" w:type="pct"/>
                  <w:vAlign w:val="center"/>
                </w:tcPr>
                <w:p w:rsidR="004470C5" w:rsidRPr="004470C5" w:rsidRDefault="004470C5" w:rsidP="004470C5">
                  <w:pPr>
                    <w:pStyle w:val="TableBodyText"/>
                  </w:pPr>
                  <w:r w:rsidRPr="004470C5">
                    <w:t>43.4</w:t>
                  </w:r>
                </w:p>
              </w:tc>
              <w:tc>
                <w:tcPr>
                  <w:tcW w:w="501" w:type="pct"/>
                  <w:vAlign w:val="center"/>
                </w:tcPr>
                <w:p w:rsidR="004470C5" w:rsidRPr="004470C5" w:rsidRDefault="004470C5" w:rsidP="004470C5">
                  <w:pPr>
                    <w:pStyle w:val="TableBodyText"/>
                  </w:pPr>
                  <w:r w:rsidRPr="004470C5">
                    <w:t>59.7</w:t>
                  </w:r>
                </w:p>
              </w:tc>
              <w:tc>
                <w:tcPr>
                  <w:tcW w:w="502" w:type="pct"/>
                  <w:vAlign w:val="center"/>
                </w:tcPr>
                <w:p w:rsidR="004470C5" w:rsidRPr="004470C5" w:rsidRDefault="004470C5" w:rsidP="004470C5">
                  <w:pPr>
                    <w:pStyle w:val="TableBodyText"/>
                  </w:pPr>
                  <w:r w:rsidRPr="004470C5">
                    <w:t>53.7</w:t>
                  </w:r>
                </w:p>
              </w:tc>
            </w:tr>
            <w:tr w:rsidR="004470C5" w:rsidTr="00DC7B42">
              <w:tc>
                <w:tcPr>
                  <w:tcW w:w="1074" w:type="pct"/>
                </w:tcPr>
                <w:p w:rsidR="004470C5" w:rsidRPr="005A22A1" w:rsidRDefault="004470C5" w:rsidP="005A22A1">
                  <w:pPr>
                    <w:pStyle w:val="TableBodyText"/>
                    <w:ind w:left="120"/>
                    <w:jc w:val="left"/>
                    <w:rPr>
                      <w:b/>
                    </w:rPr>
                  </w:pPr>
                  <w:r w:rsidRPr="005A22A1">
                    <w:rPr>
                      <w:b/>
                    </w:rPr>
                    <w:t>Total</w:t>
                  </w:r>
                </w:p>
              </w:tc>
              <w:tc>
                <w:tcPr>
                  <w:tcW w:w="500" w:type="pct"/>
                  <w:vAlign w:val="center"/>
                </w:tcPr>
                <w:p w:rsidR="004470C5" w:rsidRPr="004470C5" w:rsidRDefault="004470C5" w:rsidP="004470C5">
                  <w:pPr>
                    <w:pStyle w:val="TableBodyText"/>
                    <w:rPr>
                      <w:b/>
                    </w:rPr>
                  </w:pPr>
                  <w:r w:rsidRPr="004470C5">
                    <w:rPr>
                      <w:b/>
                    </w:rPr>
                    <w:t>100.0</w:t>
                  </w:r>
                </w:p>
              </w:tc>
              <w:tc>
                <w:tcPr>
                  <w:tcW w:w="585" w:type="pct"/>
                  <w:vAlign w:val="center"/>
                </w:tcPr>
                <w:p w:rsidR="004470C5" w:rsidRPr="004470C5" w:rsidRDefault="004470C5" w:rsidP="004470C5">
                  <w:pPr>
                    <w:pStyle w:val="TableBodyText"/>
                    <w:rPr>
                      <w:b/>
                    </w:rPr>
                  </w:pPr>
                  <w:r w:rsidRPr="004470C5">
                    <w:rPr>
                      <w:b/>
                    </w:rPr>
                    <w:t>100.0</w:t>
                  </w:r>
                </w:p>
              </w:tc>
              <w:tc>
                <w:tcPr>
                  <w:tcW w:w="501" w:type="pct"/>
                  <w:vAlign w:val="center"/>
                </w:tcPr>
                <w:p w:rsidR="004470C5" w:rsidRPr="004470C5" w:rsidRDefault="004470C5" w:rsidP="004470C5">
                  <w:pPr>
                    <w:pStyle w:val="TableBodyText"/>
                    <w:rPr>
                      <w:b/>
                    </w:rPr>
                  </w:pPr>
                  <w:r w:rsidRPr="004470C5">
                    <w:rPr>
                      <w:b/>
                    </w:rPr>
                    <w:t>100.0</w:t>
                  </w:r>
                </w:p>
              </w:tc>
              <w:tc>
                <w:tcPr>
                  <w:tcW w:w="418" w:type="pct"/>
                  <w:vAlign w:val="center"/>
                </w:tcPr>
                <w:p w:rsidR="004470C5" w:rsidRPr="004470C5" w:rsidRDefault="004470C5" w:rsidP="004470C5">
                  <w:pPr>
                    <w:pStyle w:val="TableBodyText"/>
                    <w:rPr>
                      <w:b/>
                    </w:rPr>
                  </w:pPr>
                  <w:r w:rsidRPr="004470C5">
                    <w:rPr>
                      <w:b/>
                    </w:rPr>
                    <w:t>100.0</w:t>
                  </w:r>
                </w:p>
              </w:tc>
              <w:tc>
                <w:tcPr>
                  <w:tcW w:w="418" w:type="pct"/>
                  <w:vAlign w:val="center"/>
                </w:tcPr>
                <w:p w:rsidR="004470C5" w:rsidRPr="004470C5" w:rsidRDefault="004470C5" w:rsidP="004470C5">
                  <w:pPr>
                    <w:pStyle w:val="TableBodyText"/>
                    <w:rPr>
                      <w:b/>
                    </w:rPr>
                  </w:pPr>
                  <w:r w:rsidRPr="004470C5">
                    <w:rPr>
                      <w:b/>
                    </w:rPr>
                    <w:t>100.0</w:t>
                  </w:r>
                </w:p>
              </w:tc>
              <w:tc>
                <w:tcPr>
                  <w:tcW w:w="501" w:type="pct"/>
                  <w:vAlign w:val="center"/>
                </w:tcPr>
                <w:p w:rsidR="004470C5" w:rsidRPr="004470C5" w:rsidRDefault="004470C5" w:rsidP="004470C5">
                  <w:pPr>
                    <w:pStyle w:val="TableBodyText"/>
                    <w:rPr>
                      <w:b/>
                    </w:rPr>
                  </w:pPr>
                  <w:r w:rsidRPr="004470C5">
                    <w:rPr>
                      <w:b/>
                    </w:rPr>
                    <w:t>100.0</w:t>
                  </w:r>
                </w:p>
              </w:tc>
              <w:tc>
                <w:tcPr>
                  <w:tcW w:w="501" w:type="pct"/>
                  <w:vAlign w:val="center"/>
                </w:tcPr>
                <w:p w:rsidR="004470C5" w:rsidRPr="004470C5" w:rsidRDefault="004470C5" w:rsidP="004470C5">
                  <w:pPr>
                    <w:pStyle w:val="TableBodyText"/>
                    <w:rPr>
                      <w:b/>
                    </w:rPr>
                  </w:pPr>
                  <w:r w:rsidRPr="004470C5">
                    <w:rPr>
                      <w:b/>
                    </w:rPr>
                    <w:t>100.0</w:t>
                  </w:r>
                </w:p>
              </w:tc>
              <w:tc>
                <w:tcPr>
                  <w:tcW w:w="502" w:type="pct"/>
                  <w:vAlign w:val="center"/>
                </w:tcPr>
                <w:p w:rsidR="004470C5" w:rsidRPr="004470C5" w:rsidRDefault="004470C5" w:rsidP="004470C5">
                  <w:pPr>
                    <w:pStyle w:val="TableBodyText"/>
                    <w:rPr>
                      <w:b/>
                    </w:rPr>
                  </w:pPr>
                  <w:r w:rsidRPr="004470C5">
                    <w:rPr>
                      <w:b/>
                    </w:rPr>
                    <w:t>100.0</w:t>
                  </w:r>
                </w:p>
              </w:tc>
            </w:tr>
            <w:tr w:rsidR="00DC7B42" w:rsidTr="00DC7B42">
              <w:tc>
                <w:tcPr>
                  <w:tcW w:w="5000" w:type="pct"/>
                  <w:gridSpan w:val="9"/>
                </w:tcPr>
                <w:p w:rsidR="00DC7B42" w:rsidRDefault="00DC7B42" w:rsidP="005A22A1">
                  <w:pPr>
                    <w:pStyle w:val="TableBodyText"/>
                    <w:ind w:right="28"/>
                    <w:jc w:val="left"/>
                  </w:pPr>
                  <w:r>
                    <w:t>Patients admitted from waiting lists</w:t>
                  </w:r>
                </w:p>
              </w:tc>
            </w:tr>
            <w:tr w:rsidR="004470C5" w:rsidTr="00DC7B42">
              <w:tc>
                <w:tcPr>
                  <w:tcW w:w="1074" w:type="pct"/>
                </w:tcPr>
                <w:p w:rsidR="004470C5" w:rsidRDefault="004470C5" w:rsidP="005A22A1">
                  <w:pPr>
                    <w:pStyle w:val="TableBodyText"/>
                    <w:ind w:left="120"/>
                    <w:jc w:val="left"/>
                  </w:pPr>
                  <w:r>
                    <w:t>Category 1</w:t>
                  </w:r>
                </w:p>
              </w:tc>
              <w:tc>
                <w:tcPr>
                  <w:tcW w:w="500" w:type="pct"/>
                  <w:vAlign w:val="center"/>
                </w:tcPr>
                <w:p w:rsidR="004470C5" w:rsidRPr="004470C5" w:rsidRDefault="004470C5" w:rsidP="004470C5">
                  <w:pPr>
                    <w:pStyle w:val="TableBodyText"/>
                  </w:pPr>
                  <w:r w:rsidRPr="004470C5">
                    <w:t>23.5</w:t>
                  </w:r>
                </w:p>
              </w:tc>
              <w:tc>
                <w:tcPr>
                  <w:tcW w:w="585" w:type="pct"/>
                  <w:vAlign w:val="center"/>
                </w:tcPr>
                <w:p w:rsidR="004470C5" w:rsidRPr="004470C5" w:rsidRDefault="004470C5" w:rsidP="004470C5">
                  <w:pPr>
                    <w:pStyle w:val="TableBodyText"/>
                  </w:pPr>
                  <w:r w:rsidRPr="004470C5">
                    <w:t>28.9</w:t>
                  </w:r>
                </w:p>
              </w:tc>
              <w:tc>
                <w:tcPr>
                  <w:tcW w:w="501" w:type="pct"/>
                  <w:vAlign w:val="center"/>
                </w:tcPr>
                <w:p w:rsidR="004470C5" w:rsidRPr="004470C5" w:rsidRDefault="004470C5" w:rsidP="004470C5">
                  <w:pPr>
                    <w:pStyle w:val="TableBodyText"/>
                  </w:pPr>
                  <w:r w:rsidRPr="004470C5">
                    <w:t>39.0</w:t>
                  </w:r>
                </w:p>
              </w:tc>
              <w:tc>
                <w:tcPr>
                  <w:tcW w:w="418" w:type="pct"/>
                  <w:vAlign w:val="center"/>
                </w:tcPr>
                <w:p w:rsidR="004470C5" w:rsidRPr="004470C5" w:rsidRDefault="004470C5" w:rsidP="004470C5">
                  <w:pPr>
                    <w:pStyle w:val="TableBodyText"/>
                  </w:pPr>
                  <w:r w:rsidRPr="004470C5">
                    <w:t>24.9</w:t>
                  </w:r>
                </w:p>
              </w:tc>
              <w:tc>
                <w:tcPr>
                  <w:tcW w:w="418" w:type="pct"/>
                  <w:vAlign w:val="center"/>
                </w:tcPr>
                <w:p w:rsidR="004470C5" w:rsidRPr="004470C5" w:rsidRDefault="004470C5" w:rsidP="004470C5">
                  <w:pPr>
                    <w:pStyle w:val="TableBodyText"/>
                  </w:pPr>
                  <w:r w:rsidRPr="004470C5">
                    <w:t>25.5</w:t>
                  </w:r>
                </w:p>
              </w:tc>
              <w:tc>
                <w:tcPr>
                  <w:tcW w:w="501" w:type="pct"/>
                  <w:vAlign w:val="center"/>
                </w:tcPr>
                <w:p w:rsidR="004470C5" w:rsidRPr="004470C5" w:rsidRDefault="004470C5" w:rsidP="004470C5">
                  <w:pPr>
                    <w:pStyle w:val="TableBodyText"/>
                  </w:pPr>
                  <w:r w:rsidRPr="004470C5">
                    <w:t>38.2</w:t>
                  </w:r>
                </w:p>
              </w:tc>
              <w:tc>
                <w:tcPr>
                  <w:tcW w:w="501" w:type="pct"/>
                  <w:vAlign w:val="center"/>
                </w:tcPr>
                <w:p w:rsidR="004470C5" w:rsidRPr="004470C5" w:rsidRDefault="004470C5" w:rsidP="004470C5">
                  <w:pPr>
                    <w:pStyle w:val="TableBodyText"/>
                  </w:pPr>
                  <w:r w:rsidRPr="004470C5">
                    <w:t>29.3</w:t>
                  </w:r>
                </w:p>
              </w:tc>
              <w:tc>
                <w:tcPr>
                  <w:tcW w:w="502" w:type="pct"/>
                  <w:vAlign w:val="center"/>
                </w:tcPr>
                <w:p w:rsidR="004470C5" w:rsidRPr="004470C5" w:rsidRDefault="004470C5" w:rsidP="004470C5">
                  <w:pPr>
                    <w:pStyle w:val="TableBodyText"/>
                  </w:pPr>
                  <w:r w:rsidRPr="004470C5">
                    <w:t>29.8</w:t>
                  </w:r>
                </w:p>
              </w:tc>
            </w:tr>
            <w:tr w:rsidR="004470C5" w:rsidTr="00DC7B42">
              <w:tc>
                <w:tcPr>
                  <w:tcW w:w="1074" w:type="pct"/>
                </w:tcPr>
                <w:p w:rsidR="004470C5" w:rsidRDefault="004470C5" w:rsidP="005A22A1">
                  <w:pPr>
                    <w:pStyle w:val="TableBodyText"/>
                    <w:ind w:left="120"/>
                    <w:jc w:val="left"/>
                  </w:pPr>
                  <w:r>
                    <w:t>Category 2</w:t>
                  </w:r>
                </w:p>
              </w:tc>
              <w:tc>
                <w:tcPr>
                  <w:tcW w:w="500" w:type="pct"/>
                  <w:vAlign w:val="center"/>
                </w:tcPr>
                <w:p w:rsidR="004470C5" w:rsidRPr="004470C5" w:rsidRDefault="004470C5" w:rsidP="004470C5">
                  <w:pPr>
                    <w:pStyle w:val="TableBodyText"/>
                  </w:pPr>
                  <w:r w:rsidRPr="004470C5">
                    <w:t>33.2</w:t>
                  </w:r>
                </w:p>
              </w:tc>
              <w:tc>
                <w:tcPr>
                  <w:tcW w:w="585" w:type="pct"/>
                  <w:vAlign w:val="center"/>
                </w:tcPr>
                <w:p w:rsidR="004470C5" w:rsidRPr="004470C5" w:rsidRDefault="004470C5" w:rsidP="004470C5">
                  <w:pPr>
                    <w:pStyle w:val="TableBodyText"/>
                  </w:pPr>
                  <w:r w:rsidRPr="004470C5">
                    <w:t>47.7</w:t>
                  </w:r>
                </w:p>
              </w:tc>
              <w:tc>
                <w:tcPr>
                  <w:tcW w:w="501" w:type="pct"/>
                  <w:vAlign w:val="center"/>
                </w:tcPr>
                <w:p w:rsidR="004470C5" w:rsidRPr="004470C5" w:rsidRDefault="004470C5" w:rsidP="004470C5">
                  <w:pPr>
                    <w:pStyle w:val="TableBodyText"/>
                  </w:pPr>
                  <w:r w:rsidRPr="004470C5">
                    <w:t>41.8</w:t>
                  </w:r>
                </w:p>
              </w:tc>
              <w:tc>
                <w:tcPr>
                  <w:tcW w:w="418" w:type="pct"/>
                  <w:vAlign w:val="center"/>
                </w:tcPr>
                <w:p w:rsidR="004470C5" w:rsidRPr="004470C5" w:rsidRDefault="004470C5" w:rsidP="004470C5">
                  <w:pPr>
                    <w:pStyle w:val="TableBodyText"/>
                  </w:pPr>
                  <w:r w:rsidRPr="004470C5">
                    <w:t>37.1</w:t>
                  </w:r>
                </w:p>
              </w:tc>
              <w:tc>
                <w:tcPr>
                  <w:tcW w:w="418" w:type="pct"/>
                  <w:vAlign w:val="center"/>
                </w:tcPr>
                <w:p w:rsidR="004470C5" w:rsidRPr="004470C5" w:rsidRDefault="004470C5" w:rsidP="004470C5">
                  <w:pPr>
                    <w:pStyle w:val="TableBodyText"/>
                  </w:pPr>
                  <w:r w:rsidRPr="004470C5">
                    <w:t>36.0</w:t>
                  </w:r>
                </w:p>
              </w:tc>
              <w:tc>
                <w:tcPr>
                  <w:tcW w:w="501" w:type="pct"/>
                  <w:vAlign w:val="center"/>
                </w:tcPr>
                <w:p w:rsidR="004470C5" w:rsidRPr="004470C5" w:rsidRDefault="004470C5" w:rsidP="004470C5">
                  <w:pPr>
                    <w:pStyle w:val="TableBodyText"/>
                  </w:pPr>
                  <w:r w:rsidRPr="004470C5">
                    <w:t>42.0</w:t>
                  </w:r>
                </w:p>
              </w:tc>
              <w:tc>
                <w:tcPr>
                  <w:tcW w:w="501" w:type="pct"/>
                  <w:vAlign w:val="center"/>
                </w:tcPr>
                <w:p w:rsidR="004470C5" w:rsidRPr="004470C5" w:rsidRDefault="004470C5" w:rsidP="004470C5">
                  <w:pPr>
                    <w:pStyle w:val="TableBodyText"/>
                  </w:pPr>
                  <w:r w:rsidRPr="004470C5">
                    <w:t>44.5</w:t>
                  </w:r>
                </w:p>
              </w:tc>
              <w:tc>
                <w:tcPr>
                  <w:tcW w:w="502" w:type="pct"/>
                  <w:vAlign w:val="center"/>
                </w:tcPr>
                <w:p w:rsidR="004470C5" w:rsidRPr="004470C5" w:rsidRDefault="004470C5" w:rsidP="004470C5">
                  <w:pPr>
                    <w:pStyle w:val="TableBodyText"/>
                  </w:pPr>
                  <w:r w:rsidRPr="004470C5">
                    <w:t>48.5</w:t>
                  </w:r>
                </w:p>
              </w:tc>
            </w:tr>
            <w:tr w:rsidR="004470C5" w:rsidTr="00DC7B42">
              <w:tc>
                <w:tcPr>
                  <w:tcW w:w="1074" w:type="pct"/>
                </w:tcPr>
                <w:p w:rsidR="004470C5" w:rsidRDefault="004470C5" w:rsidP="005A22A1">
                  <w:pPr>
                    <w:pStyle w:val="TableBodyText"/>
                    <w:ind w:left="120"/>
                    <w:jc w:val="left"/>
                  </w:pPr>
                  <w:r>
                    <w:t>Category 3</w:t>
                  </w:r>
                </w:p>
              </w:tc>
              <w:tc>
                <w:tcPr>
                  <w:tcW w:w="500" w:type="pct"/>
                  <w:vAlign w:val="center"/>
                </w:tcPr>
                <w:p w:rsidR="004470C5" w:rsidRPr="004470C5" w:rsidRDefault="004470C5" w:rsidP="004470C5">
                  <w:pPr>
                    <w:pStyle w:val="TableBodyText"/>
                  </w:pPr>
                  <w:r w:rsidRPr="004470C5">
                    <w:t>43.3</w:t>
                  </w:r>
                </w:p>
              </w:tc>
              <w:tc>
                <w:tcPr>
                  <w:tcW w:w="585" w:type="pct"/>
                  <w:vAlign w:val="center"/>
                </w:tcPr>
                <w:p w:rsidR="004470C5" w:rsidRPr="004470C5" w:rsidRDefault="004470C5" w:rsidP="004470C5">
                  <w:pPr>
                    <w:pStyle w:val="TableBodyText"/>
                  </w:pPr>
                  <w:r w:rsidRPr="004470C5">
                    <w:t>23.3</w:t>
                  </w:r>
                </w:p>
              </w:tc>
              <w:tc>
                <w:tcPr>
                  <w:tcW w:w="501" w:type="pct"/>
                  <w:vAlign w:val="center"/>
                </w:tcPr>
                <w:p w:rsidR="004470C5" w:rsidRPr="004470C5" w:rsidRDefault="004470C5" w:rsidP="004470C5">
                  <w:pPr>
                    <w:pStyle w:val="TableBodyText"/>
                  </w:pPr>
                  <w:r w:rsidRPr="004470C5">
                    <w:t>19.1</w:t>
                  </w:r>
                </w:p>
              </w:tc>
              <w:tc>
                <w:tcPr>
                  <w:tcW w:w="418" w:type="pct"/>
                  <w:vAlign w:val="center"/>
                </w:tcPr>
                <w:p w:rsidR="004470C5" w:rsidRPr="004470C5" w:rsidRDefault="004470C5" w:rsidP="004470C5">
                  <w:pPr>
                    <w:pStyle w:val="TableBodyText"/>
                  </w:pPr>
                  <w:r w:rsidRPr="004470C5">
                    <w:t>38.0</w:t>
                  </w:r>
                </w:p>
              </w:tc>
              <w:tc>
                <w:tcPr>
                  <w:tcW w:w="418" w:type="pct"/>
                  <w:vAlign w:val="center"/>
                </w:tcPr>
                <w:p w:rsidR="004470C5" w:rsidRPr="004470C5" w:rsidRDefault="004470C5" w:rsidP="004470C5">
                  <w:pPr>
                    <w:pStyle w:val="TableBodyText"/>
                  </w:pPr>
                  <w:r w:rsidRPr="004470C5">
                    <w:t>38.5</w:t>
                  </w:r>
                </w:p>
              </w:tc>
              <w:tc>
                <w:tcPr>
                  <w:tcW w:w="501" w:type="pct"/>
                  <w:vAlign w:val="center"/>
                </w:tcPr>
                <w:p w:rsidR="004470C5" w:rsidRPr="004470C5" w:rsidRDefault="004470C5" w:rsidP="004470C5">
                  <w:pPr>
                    <w:pStyle w:val="TableBodyText"/>
                  </w:pPr>
                  <w:r w:rsidRPr="004470C5">
                    <w:t>19.8</w:t>
                  </w:r>
                </w:p>
              </w:tc>
              <w:tc>
                <w:tcPr>
                  <w:tcW w:w="501" w:type="pct"/>
                  <w:vAlign w:val="center"/>
                </w:tcPr>
                <w:p w:rsidR="004470C5" w:rsidRPr="004470C5" w:rsidRDefault="004470C5" w:rsidP="004470C5">
                  <w:pPr>
                    <w:pStyle w:val="TableBodyText"/>
                  </w:pPr>
                  <w:r w:rsidRPr="004470C5">
                    <w:t>26.3</w:t>
                  </w:r>
                </w:p>
              </w:tc>
              <w:tc>
                <w:tcPr>
                  <w:tcW w:w="502" w:type="pct"/>
                  <w:vAlign w:val="center"/>
                </w:tcPr>
                <w:p w:rsidR="004470C5" w:rsidRPr="004470C5" w:rsidRDefault="004470C5" w:rsidP="004470C5">
                  <w:pPr>
                    <w:pStyle w:val="TableBodyText"/>
                  </w:pPr>
                  <w:r w:rsidRPr="004470C5">
                    <w:t>21.7</w:t>
                  </w:r>
                </w:p>
              </w:tc>
            </w:tr>
            <w:tr w:rsidR="004470C5" w:rsidTr="00DC7B42">
              <w:tc>
                <w:tcPr>
                  <w:tcW w:w="1074" w:type="pct"/>
                  <w:tcBorders>
                    <w:bottom w:val="single" w:sz="6" w:space="0" w:color="BFBFBF"/>
                  </w:tcBorders>
                  <w:shd w:val="clear" w:color="auto" w:fill="auto"/>
                </w:tcPr>
                <w:p w:rsidR="004470C5" w:rsidRPr="005A22A1" w:rsidRDefault="004470C5" w:rsidP="005A22A1">
                  <w:pPr>
                    <w:pStyle w:val="TableBodyText"/>
                    <w:ind w:left="120"/>
                    <w:jc w:val="left"/>
                    <w:rPr>
                      <w:b/>
                    </w:rPr>
                  </w:pPr>
                  <w:r w:rsidRPr="005A22A1">
                    <w:rPr>
                      <w:b/>
                    </w:rPr>
                    <w:t>Total</w:t>
                  </w:r>
                </w:p>
              </w:tc>
              <w:tc>
                <w:tcPr>
                  <w:tcW w:w="500" w:type="pct"/>
                  <w:tcBorders>
                    <w:bottom w:val="single" w:sz="6" w:space="0" w:color="BFBFBF"/>
                  </w:tcBorders>
                  <w:vAlign w:val="center"/>
                </w:tcPr>
                <w:p w:rsidR="004470C5" w:rsidRPr="004470C5" w:rsidRDefault="004470C5" w:rsidP="004470C5">
                  <w:pPr>
                    <w:pStyle w:val="TableBodyText"/>
                    <w:rPr>
                      <w:b/>
                    </w:rPr>
                  </w:pPr>
                  <w:r w:rsidRPr="004470C5">
                    <w:rPr>
                      <w:b/>
                    </w:rPr>
                    <w:t>100.0</w:t>
                  </w:r>
                </w:p>
              </w:tc>
              <w:tc>
                <w:tcPr>
                  <w:tcW w:w="585" w:type="pct"/>
                  <w:tcBorders>
                    <w:bottom w:val="single" w:sz="6" w:space="0" w:color="BFBFBF"/>
                  </w:tcBorders>
                  <w:vAlign w:val="center"/>
                </w:tcPr>
                <w:p w:rsidR="004470C5" w:rsidRPr="004470C5" w:rsidRDefault="004470C5" w:rsidP="004470C5">
                  <w:pPr>
                    <w:pStyle w:val="TableBodyText"/>
                    <w:rPr>
                      <w:b/>
                    </w:rPr>
                  </w:pPr>
                  <w:r w:rsidRPr="004470C5">
                    <w:rPr>
                      <w:b/>
                    </w:rPr>
                    <w:t>100.0</w:t>
                  </w:r>
                </w:p>
              </w:tc>
              <w:tc>
                <w:tcPr>
                  <w:tcW w:w="501" w:type="pct"/>
                  <w:tcBorders>
                    <w:bottom w:val="single" w:sz="6" w:space="0" w:color="BFBFBF"/>
                  </w:tcBorders>
                  <w:vAlign w:val="center"/>
                </w:tcPr>
                <w:p w:rsidR="004470C5" w:rsidRPr="004470C5" w:rsidRDefault="004470C5" w:rsidP="004470C5">
                  <w:pPr>
                    <w:pStyle w:val="TableBodyText"/>
                    <w:rPr>
                      <w:b/>
                    </w:rPr>
                  </w:pPr>
                  <w:r w:rsidRPr="004470C5">
                    <w:rPr>
                      <w:b/>
                    </w:rPr>
                    <w:t>100.0</w:t>
                  </w:r>
                </w:p>
              </w:tc>
              <w:tc>
                <w:tcPr>
                  <w:tcW w:w="418" w:type="pct"/>
                  <w:tcBorders>
                    <w:bottom w:val="single" w:sz="6" w:space="0" w:color="BFBFBF"/>
                  </w:tcBorders>
                  <w:vAlign w:val="center"/>
                </w:tcPr>
                <w:p w:rsidR="004470C5" w:rsidRPr="004470C5" w:rsidRDefault="004470C5" w:rsidP="004470C5">
                  <w:pPr>
                    <w:pStyle w:val="TableBodyText"/>
                    <w:rPr>
                      <w:b/>
                    </w:rPr>
                  </w:pPr>
                  <w:r w:rsidRPr="004470C5">
                    <w:rPr>
                      <w:b/>
                    </w:rPr>
                    <w:t>100.0</w:t>
                  </w:r>
                </w:p>
              </w:tc>
              <w:tc>
                <w:tcPr>
                  <w:tcW w:w="418" w:type="pct"/>
                  <w:tcBorders>
                    <w:bottom w:val="single" w:sz="6" w:space="0" w:color="BFBFBF"/>
                  </w:tcBorders>
                  <w:vAlign w:val="center"/>
                </w:tcPr>
                <w:p w:rsidR="004470C5" w:rsidRPr="004470C5" w:rsidRDefault="004470C5" w:rsidP="004470C5">
                  <w:pPr>
                    <w:pStyle w:val="TableBodyText"/>
                    <w:rPr>
                      <w:b/>
                    </w:rPr>
                  </w:pPr>
                  <w:r w:rsidRPr="004470C5">
                    <w:rPr>
                      <w:b/>
                    </w:rPr>
                    <w:t>100.0</w:t>
                  </w:r>
                </w:p>
              </w:tc>
              <w:tc>
                <w:tcPr>
                  <w:tcW w:w="501" w:type="pct"/>
                  <w:tcBorders>
                    <w:bottom w:val="single" w:sz="6" w:space="0" w:color="BFBFBF"/>
                  </w:tcBorders>
                  <w:vAlign w:val="center"/>
                </w:tcPr>
                <w:p w:rsidR="004470C5" w:rsidRPr="004470C5" w:rsidRDefault="004470C5" w:rsidP="004470C5">
                  <w:pPr>
                    <w:pStyle w:val="TableBodyText"/>
                    <w:rPr>
                      <w:b/>
                    </w:rPr>
                  </w:pPr>
                  <w:r w:rsidRPr="004470C5">
                    <w:rPr>
                      <w:b/>
                    </w:rPr>
                    <w:t>100.0</w:t>
                  </w:r>
                </w:p>
              </w:tc>
              <w:tc>
                <w:tcPr>
                  <w:tcW w:w="501" w:type="pct"/>
                  <w:tcBorders>
                    <w:bottom w:val="single" w:sz="6" w:space="0" w:color="BFBFBF"/>
                  </w:tcBorders>
                  <w:vAlign w:val="center"/>
                </w:tcPr>
                <w:p w:rsidR="004470C5" w:rsidRPr="004470C5" w:rsidRDefault="004470C5" w:rsidP="004470C5">
                  <w:pPr>
                    <w:pStyle w:val="TableBodyText"/>
                    <w:rPr>
                      <w:b/>
                    </w:rPr>
                  </w:pPr>
                  <w:r w:rsidRPr="004470C5">
                    <w:rPr>
                      <w:b/>
                    </w:rPr>
                    <w:t>100.0</w:t>
                  </w:r>
                </w:p>
              </w:tc>
              <w:tc>
                <w:tcPr>
                  <w:tcW w:w="502" w:type="pct"/>
                  <w:tcBorders>
                    <w:bottom w:val="single" w:sz="6" w:space="0" w:color="BFBFBF"/>
                  </w:tcBorders>
                  <w:shd w:val="clear" w:color="auto" w:fill="auto"/>
                  <w:vAlign w:val="center"/>
                </w:tcPr>
                <w:p w:rsidR="004470C5" w:rsidRPr="004470C5" w:rsidRDefault="004470C5" w:rsidP="004470C5">
                  <w:pPr>
                    <w:pStyle w:val="TableBodyText"/>
                    <w:rPr>
                      <w:b/>
                    </w:rPr>
                  </w:pPr>
                  <w:r w:rsidRPr="004470C5">
                    <w:rPr>
                      <w:b/>
                    </w:rPr>
                    <w:t>100.0</w:t>
                  </w:r>
                </w:p>
              </w:tc>
            </w:tr>
          </w:tbl>
          <w:p w:rsidR="007A48D1" w:rsidRDefault="007A48D1" w:rsidP="00604654">
            <w:pPr>
              <w:pStyle w:val="Box"/>
            </w:pPr>
          </w:p>
        </w:tc>
      </w:tr>
      <w:tr w:rsidR="007A48D1" w:rsidTr="00604654">
        <w:trPr>
          <w:cantSplit/>
        </w:trPr>
        <w:tc>
          <w:tcPr>
            <w:tcW w:w="8771" w:type="dxa"/>
            <w:tcBorders>
              <w:top w:val="nil"/>
              <w:left w:val="nil"/>
              <w:bottom w:val="nil"/>
              <w:right w:val="nil"/>
            </w:tcBorders>
            <w:shd w:val="clear" w:color="auto" w:fill="auto"/>
          </w:tcPr>
          <w:p w:rsidR="007A48D1" w:rsidRDefault="007A48D1" w:rsidP="00A972C2">
            <w:pPr>
              <w:pStyle w:val="Source"/>
            </w:pPr>
            <w:r>
              <w:rPr>
                <w:i/>
              </w:rPr>
              <w:t>Source</w:t>
            </w:r>
            <w:r w:rsidRPr="00167F06">
              <w:t xml:space="preserve">: </w:t>
            </w:r>
            <w:r w:rsidR="00A972C2">
              <w:t>AIHW</w:t>
            </w:r>
            <w:r w:rsidR="00604654">
              <w:t xml:space="preserve"> (unpublished)</w:t>
            </w:r>
            <w:r w:rsidR="00E25305">
              <w:t xml:space="preserve"> National Elective Surgery Waiting Times Data Collection</w:t>
            </w:r>
            <w:r w:rsidR="00604654">
              <w:t>; table 11A.</w:t>
            </w:r>
            <w:r w:rsidR="00E51EC9">
              <w:t>30</w:t>
            </w:r>
            <w:r w:rsidR="00604654">
              <w:t>.</w:t>
            </w:r>
          </w:p>
        </w:tc>
      </w:tr>
      <w:tr w:rsidR="007A48D1" w:rsidTr="00604654">
        <w:trPr>
          <w:cantSplit/>
        </w:trPr>
        <w:tc>
          <w:tcPr>
            <w:tcW w:w="8771" w:type="dxa"/>
            <w:tcBorders>
              <w:top w:val="nil"/>
              <w:left w:val="nil"/>
              <w:bottom w:val="single" w:sz="6" w:space="0" w:color="78A22F"/>
              <w:right w:val="nil"/>
            </w:tcBorders>
            <w:shd w:val="clear" w:color="auto" w:fill="auto"/>
          </w:tcPr>
          <w:p w:rsidR="007A48D1" w:rsidRDefault="007A48D1" w:rsidP="00604654">
            <w:pPr>
              <w:pStyle w:val="Box"/>
              <w:spacing w:before="0" w:line="120" w:lineRule="exact"/>
            </w:pPr>
          </w:p>
        </w:tc>
      </w:tr>
      <w:tr w:rsidR="007A48D1" w:rsidRPr="000863A5" w:rsidTr="00604654">
        <w:tc>
          <w:tcPr>
            <w:tcW w:w="8771" w:type="dxa"/>
            <w:tcBorders>
              <w:top w:val="single" w:sz="6" w:space="0" w:color="78A22F"/>
              <w:left w:val="nil"/>
              <w:bottom w:val="nil"/>
              <w:right w:val="nil"/>
            </w:tcBorders>
          </w:tcPr>
          <w:p w:rsidR="007A48D1" w:rsidRPr="00626D32" w:rsidRDefault="007A48D1" w:rsidP="00604654">
            <w:pPr>
              <w:pStyle w:val="BoxSpaceBelow"/>
            </w:pPr>
          </w:p>
        </w:tc>
      </w:tr>
    </w:tbl>
    <w:p w:rsidR="007A48D1" w:rsidRDefault="007A48D1" w:rsidP="007A48D1">
      <w:pPr>
        <w:pStyle w:val="BodyText"/>
      </w:pPr>
      <w:r>
        <w:t>Reporting of elective surgery waiting times by clinical urgency category includes the proportions of patients with extended waits at admission. The proportions of patients on waiting lists who already had an extended wait are reported in tables 11A.</w:t>
      </w:r>
      <w:r w:rsidR="00E51EC9">
        <w:t>31</w:t>
      </w:r>
      <w:r>
        <w:t>, 11A.3</w:t>
      </w:r>
      <w:r w:rsidR="00E51EC9">
        <w:t>3</w:t>
      </w:r>
      <w:r>
        <w:t>, 11A.3</w:t>
      </w:r>
      <w:r w:rsidR="00E51EC9">
        <w:t>5</w:t>
      </w:r>
      <w:r>
        <w:t>, 11A.</w:t>
      </w:r>
      <w:r w:rsidR="00E51EC9">
        <w:t>37</w:t>
      </w:r>
      <w:r>
        <w:t>, 11A.</w:t>
      </w:r>
      <w:r w:rsidR="00E51EC9">
        <w:t>39</w:t>
      </w:r>
      <w:r>
        <w:t>, 11A.</w:t>
      </w:r>
      <w:r w:rsidR="00E51EC9">
        <w:t>41</w:t>
      </w:r>
      <w:r>
        <w:t>, 11A.</w:t>
      </w:r>
      <w:r w:rsidR="00E51EC9">
        <w:t>43</w:t>
      </w:r>
      <w:r>
        <w:t xml:space="preserve"> </w:t>
      </w:r>
      <w:r w:rsidR="004F7D79">
        <w:t xml:space="preserve">and </w:t>
      </w:r>
      <w:r>
        <w:t>11A.</w:t>
      </w:r>
      <w:r w:rsidR="00E51EC9">
        <w:t>45</w:t>
      </w:r>
      <w:r>
        <w:t xml:space="preserve">. The proportion of patients on waiting lists who already had an extended wait at the date of </w:t>
      </w:r>
      <w:r w:rsidR="00BB4F14">
        <w:t>assessment</w:t>
      </w:r>
      <w:r>
        <w:t xml:space="preserve"> does not represent the completed waiting times of patients. This is represented by the proportion of patients with extended waits at admission.</w:t>
      </w:r>
    </w:p>
    <w:p w:rsidR="00CB2253" w:rsidRDefault="00602670" w:rsidP="007A48D1">
      <w:pPr>
        <w:pStyle w:val="BodyText"/>
      </w:pPr>
      <w:r w:rsidRPr="00602670">
        <w:t>Elective surgery waiting times by clinical urgency category</w:t>
      </w:r>
      <w:r>
        <w:t xml:space="preserve"> data are sourced from the AIHW for the </w:t>
      </w:r>
      <w:r w:rsidR="009021E2">
        <w:t>years 2013-14 and 2012-13</w:t>
      </w:r>
      <w:r w:rsidR="00CB2253">
        <w:t xml:space="preserve">. </w:t>
      </w:r>
      <w:r w:rsidR="009021E2">
        <w:t xml:space="preserve">This is the first </w:t>
      </w:r>
      <w:r w:rsidR="0031358D">
        <w:t>year</w:t>
      </w:r>
      <w:r w:rsidR="009021E2">
        <w:t xml:space="preserve"> that these data have been sourced from the AIHW. </w:t>
      </w:r>
      <w:r w:rsidR="0031358D">
        <w:t xml:space="preserve">In previous </w:t>
      </w:r>
      <w:r w:rsidR="0087477F">
        <w:t xml:space="preserve">Report </w:t>
      </w:r>
      <w:r w:rsidR="0031358D">
        <w:t>editions</w:t>
      </w:r>
      <w:r w:rsidR="0087477F">
        <w:t>,</w:t>
      </w:r>
      <w:r w:rsidR="0031358D">
        <w:t xml:space="preserve"> all data were sourced directly from state</w:t>
      </w:r>
      <w:r w:rsidR="0087477F">
        <w:t>s</w:t>
      </w:r>
      <w:r w:rsidR="0031358D">
        <w:t xml:space="preserve"> and territor</w:t>
      </w:r>
      <w:r w:rsidR="0087477F">
        <w:t>ies</w:t>
      </w:r>
      <w:r w:rsidR="0031358D">
        <w:t xml:space="preserve">. In this </w:t>
      </w:r>
      <w:r w:rsidR="0087477F">
        <w:t xml:space="preserve">Report </w:t>
      </w:r>
      <w:r w:rsidR="0031358D">
        <w:t>edition</w:t>
      </w:r>
      <w:r w:rsidR="0087477F">
        <w:t>,</w:t>
      </w:r>
      <w:r w:rsidR="0031358D">
        <w:t xml:space="preserve"> data for all years prior to 2012</w:t>
      </w:r>
      <w:r w:rsidR="0031358D">
        <w:noBreakHyphen/>
        <w:t xml:space="preserve">13 </w:t>
      </w:r>
      <w:r w:rsidR="0087477F">
        <w:t>were</w:t>
      </w:r>
      <w:r w:rsidR="0031358D">
        <w:t xml:space="preserve"> sourced </w:t>
      </w:r>
      <w:r w:rsidR="0031358D" w:rsidRPr="00385770">
        <w:t>directly from state</w:t>
      </w:r>
      <w:r w:rsidR="0087477F">
        <w:t>s and territories</w:t>
      </w:r>
      <w:r w:rsidR="0031358D">
        <w:t xml:space="preserve">. </w:t>
      </w:r>
      <w:r w:rsidR="00CB2253">
        <w:t>Due to the difference in data sources, comparisons over time should be made with care.</w:t>
      </w:r>
    </w:p>
    <w:p w:rsidR="00602670" w:rsidRDefault="00CB2253" w:rsidP="007A48D1">
      <w:pPr>
        <w:pStyle w:val="BodyText"/>
      </w:pPr>
      <w:r w:rsidRPr="00CB2253">
        <w:t>Elective surgery waiting times by clinical urgency category data</w:t>
      </w:r>
      <w:r>
        <w:t xml:space="preserve"> are reported on a more timely basis in this Report</w:t>
      </w:r>
      <w:r w:rsidR="009021E2">
        <w:t xml:space="preserve"> edition</w:t>
      </w:r>
      <w:r>
        <w:t xml:space="preserve">. </w:t>
      </w:r>
      <w:r w:rsidR="00640E93">
        <w:t>D</w:t>
      </w:r>
      <w:r w:rsidR="00B0709D">
        <w:t xml:space="preserve">ata </w:t>
      </w:r>
      <w:r w:rsidR="00640E93">
        <w:t xml:space="preserve">for </w:t>
      </w:r>
      <w:r w:rsidR="00602670">
        <w:t xml:space="preserve">2013-14 </w:t>
      </w:r>
      <w:r w:rsidR="00640E93">
        <w:t>are</w:t>
      </w:r>
      <w:r w:rsidR="00602670">
        <w:t xml:space="preserve"> reported in line with the other waiting time measures, previously the </w:t>
      </w:r>
      <w:r w:rsidR="00602670" w:rsidRPr="00602670">
        <w:t>elective surgery waiting times by clinical urgency category</w:t>
      </w:r>
      <w:r w:rsidR="00602670">
        <w:t xml:space="preserve"> data had been lagged a year.</w:t>
      </w:r>
      <w:r w:rsidR="00385770">
        <w:t xml:space="preserve"> </w:t>
      </w:r>
    </w:p>
    <w:p w:rsidR="007A48D1" w:rsidRDefault="007A48D1" w:rsidP="007A48D1">
      <w:pPr>
        <w:pStyle w:val="BodyText"/>
      </w:pPr>
      <w:r>
        <w:t>Of patients admitted from waiting lists in NSW in 201</w:t>
      </w:r>
      <w:r w:rsidR="007B4C01">
        <w:t>3</w:t>
      </w:r>
      <w:r>
        <w:t>-1</w:t>
      </w:r>
      <w:r w:rsidR="007B4C01">
        <w:t>4</w:t>
      </w:r>
      <w:r>
        <w:t>:</w:t>
      </w:r>
    </w:p>
    <w:p w:rsidR="007A48D1" w:rsidRDefault="00ED5345" w:rsidP="007A48D1">
      <w:pPr>
        <w:pStyle w:val="ListBullet"/>
      </w:pPr>
      <w:r>
        <w:t>23.5</w:t>
      </w:r>
      <w:r w:rsidR="007A48D1">
        <w:t xml:space="preserve"> per cent were classified to category 1, of whom </w:t>
      </w:r>
      <w:r w:rsidR="00E05A56">
        <w:t>0.3</w:t>
      </w:r>
      <w:r w:rsidR="007A48D1">
        <w:t xml:space="preserve"> per cent had an extended wait</w:t>
      </w:r>
    </w:p>
    <w:p w:rsidR="007A48D1" w:rsidRDefault="00ED5345" w:rsidP="007A48D1">
      <w:pPr>
        <w:pStyle w:val="ListBullet"/>
      </w:pPr>
      <w:r>
        <w:t>33.2</w:t>
      </w:r>
      <w:r w:rsidR="007A48D1">
        <w:t xml:space="preserve"> per cent were classified to category 2, of whom </w:t>
      </w:r>
      <w:r w:rsidR="00E05A56">
        <w:t>3.1</w:t>
      </w:r>
      <w:r w:rsidR="007A48D1">
        <w:t xml:space="preserve"> per cent had an extended wait </w:t>
      </w:r>
    </w:p>
    <w:p w:rsidR="007A48D1" w:rsidRDefault="00ED5345" w:rsidP="007A48D1">
      <w:pPr>
        <w:pStyle w:val="ListBullet"/>
      </w:pPr>
      <w:r>
        <w:t>43.3</w:t>
      </w:r>
      <w:r w:rsidR="007A48D1">
        <w:t xml:space="preserve"> per cent were classified to category 3, of whom </w:t>
      </w:r>
      <w:r w:rsidR="0022393B">
        <w:t>4.1</w:t>
      </w:r>
      <w:r w:rsidR="007A48D1">
        <w:t xml:space="preserve"> per cent had an extended wait. </w:t>
      </w:r>
    </w:p>
    <w:p w:rsidR="007A48D1" w:rsidRDefault="007A48D1" w:rsidP="007A48D1">
      <w:pPr>
        <w:pStyle w:val="BodyText"/>
      </w:pPr>
      <w:r>
        <w:t xml:space="preserve">Overall in NSW, </w:t>
      </w:r>
      <w:r w:rsidR="00E05A56">
        <w:t>2.9</w:t>
      </w:r>
      <w:r>
        <w:t xml:space="preserve"> per cent of all patients experienced extended waits (table 11.3 and table 11A.</w:t>
      </w:r>
      <w:r w:rsidR="00FB0BC3">
        <w:t>31</w:t>
      </w:r>
      <w:r>
        <w:t>).</w:t>
      </w:r>
    </w:p>
    <w:p w:rsidR="007A48D1" w:rsidRDefault="007A48D1" w:rsidP="007A48D1">
      <w:pPr>
        <w:pStyle w:val="BodyText"/>
      </w:pPr>
      <w:r>
        <w:lastRenderedPageBreak/>
        <w:t>Of patients admitted from waiting lists in Victoria in 201</w:t>
      </w:r>
      <w:r w:rsidR="007B4C01">
        <w:t>3</w:t>
      </w:r>
      <w:r>
        <w:t>-1</w:t>
      </w:r>
      <w:r w:rsidR="007B4C01">
        <w:t>4</w:t>
      </w:r>
      <w:r>
        <w:t>:</w:t>
      </w:r>
    </w:p>
    <w:p w:rsidR="007A48D1" w:rsidRDefault="00ED5345" w:rsidP="007A48D1">
      <w:pPr>
        <w:pStyle w:val="ListBullet"/>
      </w:pPr>
      <w:r>
        <w:t>28.9</w:t>
      </w:r>
      <w:r w:rsidR="007A48D1">
        <w:t xml:space="preserve"> per cent were classified to category 1, of whom zero per cent had an extended wait</w:t>
      </w:r>
    </w:p>
    <w:p w:rsidR="007A48D1" w:rsidRDefault="00ED5345" w:rsidP="007A48D1">
      <w:pPr>
        <w:pStyle w:val="ListBullet"/>
      </w:pPr>
      <w:r>
        <w:t>47.7</w:t>
      </w:r>
      <w:r w:rsidR="007A48D1">
        <w:t xml:space="preserve"> per cent were classified to category 2, of whom </w:t>
      </w:r>
      <w:r w:rsidR="0022393B">
        <w:t>31.4</w:t>
      </w:r>
      <w:r w:rsidR="007A48D1">
        <w:t xml:space="preserve"> per cent had an extended wait </w:t>
      </w:r>
    </w:p>
    <w:p w:rsidR="007A48D1" w:rsidRDefault="00ED5345" w:rsidP="007A48D1">
      <w:pPr>
        <w:pStyle w:val="ListBullet"/>
      </w:pPr>
      <w:r>
        <w:t>23.3</w:t>
      </w:r>
      <w:r w:rsidR="007A48D1">
        <w:t xml:space="preserve"> per cent were classified to category 3, of whom </w:t>
      </w:r>
      <w:r w:rsidR="0022393B">
        <w:t>9.9</w:t>
      </w:r>
      <w:r w:rsidR="007A48D1">
        <w:t xml:space="preserve"> per cent had an extended wait.</w:t>
      </w:r>
    </w:p>
    <w:p w:rsidR="007A48D1" w:rsidRDefault="007A48D1" w:rsidP="007A48D1">
      <w:pPr>
        <w:pStyle w:val="BodyText"/>
      </w:pPr>
      <w:r>
        <w:t xml:space="preserve">Overall in Victoria, </w:t>
      </w:r>
      <w:r w:rsidR="0022393B">
        <w:t>17.3</w:t>
      </w:r>
      <w:r>
        <w:t xml:space="preserve"> per cent of all patients experienced extended waits (table 11.3 and table 11A.</w:t>
      </w:r>
      <w:r w:rsidR="00FB0BC3">
        <w:t>33</w:t>
      </w:r>
      <w:r>
        <w:t>).</w:t>
      </w:r>
    </w:p>
    <w:p w:rsidR="007A48D1" w:rsidRDefault="007A48D1" w:rsidP="007A48D1">
      <w:pPr>
        <w:pStyle w:val="BodyText"/>
      </w:pPr>
      <w:r>
        <w:t>Of patients admitted from waiting lists in Queensland in 201</w:t>
      </w:r>
      <w:r w:rsidR="007B4C01">
        <w:t>3</w:t>
      </w:r>
      <w:r>
        <w:t>-1</w:t>
      </w:r>
      <w:r w:rsidR="007B4C01">
        <w:t>4</w:t>
      </w:r>
      <w:r>
        <w:t>:</w:t>
      </w:r>
    </w:p>
    <w:p w:rsidR="007A48D1" w:rsidRDefault="00602670" w:rsidP="007A48D1">
      <w:pPr>
        <w:pStyle w:val="ListBullet"/>
      </w:pPr>
      <w:r>
        <w:t>39.0</w:t>
      </w:r>
      <w:r w:rsidR="007A48D1">
        <w:t xml:space="preserve"> per cent were classified to category 1, of whom </w:t>
      </w:r>
      <w:r w:rsidR="0022393B">
        <w:t>5.0</w:t>
      </w:r>
      <w:r w:rsidR="007A48D1">
        <w:t xml:space="preserve"> per cent had an extended wait</w:t>
      </w:r>
    </w:p>
    <w:p w:rsidR="007A48D1" w:rsidRDefault="00602670" w:rsidP="007A48D1">
      <w:pPr>
        <w:pStyle w:val="ListBullet"/>
      </w:pPr>
      <w:r>
        <w:t>41.8</w:t>
      </w:r>
      <w:r w:rsidR="007A48D1">
        <w:t xml:space="preserve"> per cent were classified to category 2, of whom </w:t>
      </w:r>
      <w:r w:rsidR="0022393B">
        <w:t>19.5</w:t>
      </w:r>
      <w:r w:rsidR="007A48D1">
        <w:t xml:space="preserve"> per cent had an extended wait </w:t>
      </w:r>
    </w:p>
    <w:p w:rsidR="007A48D1" w:rsidRDefault="00602670" w:rsidP="007A48D1">
      <w:pPr>
        <w:pStyle w:val="ListBullet"/>
      </w:pPr>
      <w:r>
        <w:t>19.1</w:t>
      </w:r>
      <w:r w:rsidR="007A48D1">
        <w:t xml:space="preserve"> per cent were classified to category 3, of whom 11.</w:t>
      </w:r>
      <w:r w:rsidR="0022393B">
        <w:t>4</w:t>
      </w:r>
      <w:r w:rsidR="007A48D1">
        <w:t xml:space="preserve"> per cent had an extended wait.</w:t>
      </w:r>
    </w:p>
    <w:p w:rsidR="007A48D1" w:rsidRDefault="007A48D1" w:rsidP="007A48D1">
      <w:pPr>
        <w:pStyle w:val="BodyText"/>
      </w:pPr>
      <w:r>
        <w:t xml:space="preserve">Overall in Queensland, </w:t>
      </w:r>
      <w:r w:rsidR="0022393B">
        <w:t>12.3</w:t>
      </w:r>
      <w:r>
        <w:t xml:space="preserve"> per cent of all patients experienced extended waits (table 11.3 and table 11A.</w:t>
      </w:r>
      <w:r w:rsidR="00FB0BC3">
        <w:t>35</w:t>
      </w:r>
      <w:r>
        <w:t>).</w:t>
      </w:r>
    </w:p>
    <w:p w:rsidR="007A48D1" w:rsidRDefault="007A48D1" w:rsidP="007A48D1">
      <w:pPr>
        <w:pStyle w:val="BodyText"/>
      </w:pPr>
      <w:r>
        <w:t>Of patients admitted from waiting lists in WA in 201</w:t>
      </w:r>
      <w:r w:rsidR="007B4C01">
        <w:t>3</w:t>
      </w:r>
      <w:r>
        <w:t>-1</w:t>
      </w:r>
      <w:r w:rsidR="007B4C01">
        <w:t>4</w:t>
      </w:r>
      <w:r>
        <w:t>:</w:t>
      </w:r>
    </w:p>
    <w:p w:rsidR="007A48D1" w:rsidRDefault="00602670" w:rsidP="007A48D1">
      <w:pPr>
        <w:pStyle w:val="ListBullet"/>
      </w:pPr>
      <w:r>
        <w:t>24.9</w:t>
      </w:r>
      <w:r w:rsidR="007A48D1">
        <w:t xml:space="preserve"> per cent were classified to category 1, of whom </w:t>
      </w:r>
      <w:r w:rsidR="001D5D1F">
        <w:t>2.2</w:t>
      </w:r>
      <w:r w:rsidR="007A48D1">
        <w:t xml:space="preserve"> per cent had an extended wait</w:t>
      </w:r>
    </w:p>
    <w:p w:rsidR="007A48D1" w:rsidRDefault="00602670" w:rsidP="007A48D1">
      <w:pPr>
        <w:pStyle w:val="ListBullet"/>
      </w:pPr>
      <w:r>
        <w:t>37.1</w:t>
      </w:r>
      <w:r w:rsidR="007A48D1">
        <w:t xml:space="preserve"> per cent were classified to category 2, of whom </w:t>
      </w:r>
      <w:r w:rsidR="001D5D1F">
        <w:t>8.2</w:t>
      </w:r>
      <w:r w:rsidR="007A48D1">
        <w:t xml:space="preserve"> per cent had an extended wait </w:t>
      </w:r>
    </w:p>
    <w:p w:rsidR="007A48D1" w:rsidRDefault="00602670" w:rsidP="007A48D1">
      <w:pPr>
        <w:pStyle w:val="ListBullet"/>
      </w:pPr>
      <w:r>
        <w:t>38.0</w:t>
      </w:r>
      <w:r w:rsidR="007A48D1">
        <w:t xml:space="preserve"> per cent were classified to category 3, of whom </w:t>
      </w:r>
      <w:r w:rsidR="001D5D1F">
        <w:t>1.7</w:t>
      </w:r>
      <w:r w:rsidR="007A48D1">
        <w:t xml:space="preserve"> per cent had an extended wait.</w:t>
      </w:r>
    </w:p>
    <w:p w:rsidR="007A48D1" w:rsidRDefault="007A48D1" w:rsidP="007A48D1">
      <w:pPr>
        <w:pStyle w:val="BodyText"/>
      </w:pPr>
      <w:r>
        <w:t xml:space="preserve">Overall in WA, </w:t>
      </w:r>
      <w:r w:rsidR="001D5D1F">
        <w:t>4.2</w:t>
      </w:r>
      <w:r>
        <w:t xml:space="preserve"> per cent of all patients experienced exten</w:t>
      </w:r>
      <w:r w:rsidR="009E55BA">
        <w:t>ded waits (table 11.3 and table </w:t>
      </w:r>
      <w:r>
        <w:t>11A.</w:t>
      </w:r>
      <w:r w:rsidR="00FB0BC3">
        <w:t>37</w:t>
      </w:r>
      <w:r>
        <w:t>).</w:t>
      </w:r>
    </w:p>
    <w:p w:rsidR="007A48D1" w:rsidRDefault="007A48D1" w:rsidP="007A48D1">
      <w:pPr>
        <w:pStyle w:val="BodyText"/>
      </w:pPr>
      <w:r>
        <w:t>Of patients admitted from waiting lists in SA in 201</w:t>
      </w:r>
      <w:r w:rsidR="007B4C01">
        <w:t>3</w:t>
      </w:r>
      <w:r>
        <w:t>-1</w:t>
      </w:r>
      <w:r w:rsidR="007B4C01">
        <w:t>4</w:t>
      </w:r>
      <w:r>
        <w:t>:</w:t>
      </w:r>
    </w:p>
    <w:p w:rsidR="007A48D1" w:rsidRDefault="00602670" w:rsidP="007A48D1">
      <w:pPr>
        <w:pStyle w:val="ListBullet"/>
      </w:pPr>
      <w:r>
        <w:t>25.5</w:t>
      </w:r>
      <w:r w:rsidR="007A48D1">
        <w:t xml:space="preserve"> per cent were classified to category 1, of whom </w:t>
      </w:r>
      <w:r w:rsidR="001D5D1F">
        <w:t>6.7</w:t>
      </w:r>
      <w:r w:rsidR="007A48D1">
        <w:t xml:space="preserve"> per cent had an extended wait</w:t>
      </w:r>
    </w:p>
    <w:p w:rsidR="007A48D1" w:rsidRDefault="00602670" w:rsidP="007A48D1">
      <w:pPr>
        <w:pStyle w:val="ListBullet"/>
      </w:pPr>
      <w:r>
        <w:t>36.0</w:t>
      </w:r>
      <w:r w:rsidR="007A48D1">
        <w:t xml:space="preserve"> per cent were classified to category 2, of whom </w:t>
      </w:r>
      <w:r w:rsidR="001D5D1F">
        <w:t>7.7</w:t>
      </w:r>
      <w:r w:rsidR="007A48D1">
        <w:t xml:space="preserve"> per cent had an extended wait</w:t>
      </w:r>
    </w:p>
    <w:p w:rsidR="007A48D1" w:rsidRDefault="00602670" w:rsidP="007A48D1">
      <w:pPr>
        <w:pStyle w:val="ListBullet"/>
      </w:pPr>
      <w:r>
        <w:t>38.5</w:t>
      </w:r>
      <w:r w:rsidR="007A48D1">
        <w:t xml:space="preserve"> per cent were classified to category 3, of whom </w:t>
      </w:r>
      <w:r w:rsidR="001D5D1F">
        <w:t>2.1</w:t>
      </w:r>
      <w:r w:rsidR="007A48D1">
        <w:t xml:space="preserve"> per cent had an extended wait.</w:t>
      </w:r>
    </w:p>
    <w:p w:rsidR="007A48D1" w:rsidRDefault="007A48D1" w:rsidP="007A48D1">
      <w:pPr>
        <w:pStyle w:val="BodyText"/>
      </w:pPr>
      <w:r>
        <w:t xml:space="preserve">Overall in SA, </w:t>
      </w:r>
      <w:r w:rsidR="001D5D1F">
        <w:t>5.3</w:t>
      </w:r>
      <w:r>
        <w:t xml:space="preserve"> per cent of all patients experienced extended </w:t>
      </w:r>
      <w:r w:rsidR="009E55BA">
        <w:t>waits (table 11.3 and table </w:t>
      </w:r>
      <w:r>
        <w:t>11A.</w:t>
      </w:r>
      <w:r w:rsidR="00FB0BC3">
        <w:t>39</w:t>
      </w:r>
      <w:r>
        <w:t>).</w:t>
      </w:r>
    </w:p>
    <w:p w:rsidR="007A48D1" w:rsidRDefault="007A48D1" w:rsidP="007A48D1">
      <w:pPr>
        <w:pStyle w:val="BodyText"/>
      </w:pPr>
      <w:r>
        <w:t>Of patients admitted from waiting lists in Tasmania in 201</w:t>
      </w:r>
      <w:r w:rsidR="007B4C01">
        <w:t>3</w:t>
      </w:r>
      <w:r>
        <w:t>-1</w:t>
      </w:r>
      <w:r w:rsidR="007B4C01">
        <w:t>4</w:t>
      </w:r>
      <w:r>
        <w:t>:</w:t>
      </w:r>
    </w:p>
    <w:p w:rsidR="007A48D1" w:rsidRDefault="00602670" w:rsidP="007A48D1">
      <w:pPr>
        <w:pStyle w:val="ListBullet"/>
      </w:pPr>
      <w:r>
        <w:t>38.2</w:t>
      </w:r>
      <w:r w:rsidR="007A48D1">
        <w:t xml:space="preserve"> per cent were classified to category 1, of whom 24.</w:t>
      </w:r>
      <w:r w:rsidR="001D5D1F">
        <w:t>8</w:t>
      </w:r>
      <w:r w:rsidR="007A48D1">
        <w:t xml:space="preserve"> per cent had an extended wait </w:t>
      </w:r>
    </w:p>
    <w:p w:rsidR="007A48D1" w:rsidRDefault="00602670" w:rsidP="007A48D1">
      <w:pPr>
        <w:pStyle w:val="ListBullet"/>
      </w:pPr>
      <w:r>
        <w:t>42.0</w:t>
      </w:r>
      <w:r w:rsidR="007A48D1">
        <w:t xml:space="preserve"> per cent were classified to category 2, of whom </w:t>
      </w:r>
      <w:r w:rsidR="001D5D1F">
        <w:t>50.3</w:t>
      </w:r>
      <w:r w:rsidR="007A48D1">
        <w:t xml:space="preserve"> per cent had an extended wait</w:t>
      </w:r>
    </w:p>
    <w:p w:rsidR="007A48D1" w:rsidRDefault="00602670" w:rsidP="007A48D1">
      <w:pPr>
        <w:pStyle w:val="ListBullet"/>
      </w:pPr>
      <w:r>
        <w:t>19.8</w:t>
      </w:r>
      <w:r w:rsidR="007A48D1">
        <w:t xml:space="preserve"> per cent were classified to category 3, of whom </w:t>
      </w:r>
      <w:r w:rsidR="001D5D1F">
        <w:t>24.7</w:t>
      </w:r>
      <w:r w:rsidR="007A48D1">
        <w:t xml:space="preserve"> per cent had an extended wait.</w:t>
      </w:r>
    </w:p>
    <w:p w:rsidR="007A48D1" w:rsidRDefault="007A48D1" w:rsidP="007A48D1">
      <w:pPr>
        <w:pStyle w:val="BodyText"/>
      </w:pPr>
      <w:r>
        <w:lastRenderedPageBreak/>
        <w:t xml:space="preserve">Overall in Tasmania, </w:t>
      </w:r>
      <w:r w:rsidR="001D5D1F">
        <w:t>35.5</w:t>
      </w:r>
      <w:r>
        <w:t xml:space="preserve"> per cent of all patients experienced extended waits (table 11.3 and table 11A.</w:t>
      </w:r>
      <w:r w:rsidR="00FB0BC3">
        <w:t>41</w:t>
      </w:r>
      <w:r>
        <w:t>).</w:t>
      </w:r>
    </w:p>
    <w:p w:rsidR="007A48D1" w:rsidRDefault="007A48D1" w:rsidP="007A48D1">
      <w:pPr>
        <w:pStyle w:val="BodyText"/>
      </w:pPr>
      <w:r>
        <w:t>Of patients admitted from waiting lists in the ACT in 201</w:t>
      </w:r>
      <w:r w:rsidR="007B4C01">
        <w:t>3</w:t>
      </w:r>
      <w:r>
        <w:t>-1</w:t>
      </w:r>
      <w:r w:rsidR="007B4C01">
        <w:t>4</w:t>
      </w:r>
      <w:r>
        <w:t>:</w:t>
      </w:r>
    </w:p>
    <w:p w:rsidR="007A48D1" w:rsidRDefault="00602670" w:rsidP="007A48D1">
      <w:pPr>
        <w:pStyle w:val="ListBullet"/>
      </w:pPr>
      <w:r>
        <w:t>29.3</w:t>
      </w:r>
      <w:r w:rsidR="007A48D1">
        <w:t xml:space="preserve"> per cent were classified to category 1, of whom </w:t>
      </w:r>
      <w:r w:rsidR="001D5D1F">
        <w:t>1.5</w:t>
      </w:r>
      <w:r w:rsidR="007A48D1">
        <w:t xml:space="preserve"> per cent had an extended wait</w:t>
      </w:r>
    </w:p>
    <w:p w:rsidR="007A48D1" w:rsidRDefault="00602670" w:rsidP="007A48D1">
      <w:pPr>
        <w:pStyle w:val="ListBullet"/>
      </w:pPr>
      <w:r>
        <w:t>44.5</w:t>
      </w:r>
      <w:r w:rsidR="007A48D1">
        <w:t xml:space="preserve"> per cent were classified to category 2, of whom </w:t>
      </w:r>
      <w:r w:rsidR="001D5D1F">
        <w:t>26.2</w:t>
      </w:r>
      <w:r w:rsidR="007A48D1">
        <w:t xml:space="preserve"> per cent had an extended wait</w:t>
      </w:r>
    </w:p>
    <w:p w:rsidR="007A48D1" w:rsidRDefault="00602670" w:rsidP="007A48D1">
      <w:pPr>
        <w:pStyle w:val="ListBullet"/>
      </w:pPr>
      <w:r>
        <w:t>26.3</w:t>
      </w:r>
      <w:r w:rsidR="007A48D1">
        <w:t xml:space="preserve"> per cent were classified to category 3, of whom </w:t>
      </w:r>
      <w:r w:rsidR="001D5D1F">
        <w:t>12.8</w:t>
      </w:r>
      <w:r w:rsidR="007A48D1">
        <w:t xml:space="preserve"> per cent had an extended wait.</w:t>
      </w:r>
    </w:p>
    <w:p w:rsidR="007A48D1" w:rsidRDefault="007A48D1" w:rsidP="007A48D1">
      <w:pPr>
        <w:pStyle w:val="BodyText"/>
      </w:pPr>
      <w:r>
        <w:t xml:space="preserve">Overall in the ACT, </w:t>
      </w:r>
      <w:r w:rsidR="001D5D1F">
        <w:t>15.4</w:t>
      </w:r>
      <w:r>
        <w:t xml:space="preserve"> per cent of all patients experienced extended waits (table 11.3 and table 11A.</w:t>
      </w:r>
      <w:r w:rsidR="00FB0BC3">
        <w:t>43</w:t>
      </w:r>
      <w:r>
        <w:t>).</w:t>
      </w:r>
    </w:p>
    <w:p w:rsidR="007A48D1" w:rsidRDefault="007A48D1" w:rsidP="007A48D1">
      <w:pPr>
        <w:pStyle w:val="BodyText"/>
      </w:pPr>
      <w:r>
        <w:t>Of patients admitted from waiting lists in NT in 201</w:t>
      </w:r>
      <w:r w:rsidR="007B4C01">
        <w:t>3</w:t>
      </w:r>
      <w:r>
        <w:t>-1</w:t>
      </w:r>
      <w:r w:rsidR="007B4C01">
        <w:t>4</w:t>
      </w:r>
      <w:r>
        <w:t>:</w:t>
      </w:r>
    </w:p>
    <w:p w:rsidR="007A48D1" w:rsidRDefault="0036736C" w:rsidP="007A48D1">
      <w:pPr>
        <w:pStyle w:val="ListBullet"/>
      </w:pPr>
      <w:r>
        <w:t>29.</w:t>
      </w:r>
      <w:r w:rsidR="00602670">
        <w:t>8</w:t>
      </w:r>
      <w:r w:rsidR="007A48D1">
        <w:t xml:space="preserve"> per cent were classified to category 1, of whom </w:t>
      </w:r>
      <w:r w:rsidR="001D5D1F">
        <w:t>9.8</w:t>
      </w:r>
      <w:r w:rsidR="007A48D1">
        <w:t xml:space="preserve"> per cent had an extended wait</w:t>
      </w:r>
    </w:p>
    <w:p w:rsidR="007A48D1" w:rsidRDefault="00602670" w:rsidP="007A48D1">
      <w:pPr>
        <w:pStyle w:val="ListBullet"/>
      </w:pPr>
      <w:r>
        <w:t>48.5</w:t>
      </w:r>
      <w:r w:rsidR="007A48D1">
        <w:t xml:space="preserve"> per cent were classified to category 2, of whom </w:t>
      </w:r>
      <w:r w:rsidR="001D5D1F">
        <w:t>24.7</w:t>
      </w:r>
      <w:r w:rsidR="007A48D1">
        <w:t xml:space="preserve"> per cent had an extended wait</w:t>
      </w:r>
    </w:p>
    <w:p w:rsidR="007A48D1" w:rsidRDefault="0036736C" w:rsidP="007A48D1">
      <w:pPr>
        <w:pStyle w:val="ListBullet"/>
      </w:pPr>
      <w:r>
        <w:t>21.7</w:t>
      </w:r>
      <w:r w:rsidR="007A48D1">
        <w:t xml:space="preserve"> per cent were classified to category 3, of whom </w:t>
      </w:r>
      <w:r w:rsidR="001D5D1F">
        <w:t>12.5</w:t>
      </w:r>
      <w:r w:rsidR="007A48D1">
        <w:t xml:space="preserve"> per cent had an extended wait.</w:t>
      </w:r>
    </w:p>
    <w:p w:rsidR="007A48D1" w:rsidRDefault="007A48D1" w:rsidP="007A48D1">
      <w:pPr>
        <w:pStyle w:val="BodyText"/>
      </w:pPr>
      <w:r>
        <w:t xml:space="preserve">Overall in the NT, </w:t>
      </w:r>
      <w:r w:rsidR="001D5D1F">
        <w:t>17.6</w:t>
      </w:r>
      <w:r>
        <w:t xml:space="preserve"> per cent of all patients experienced extended waits (table 11.3 and table 11A.</w:t>
      </w:r>
      <w:r w:rsidR="00FB0BC3">
        <w:t>45</w:t>
      </w:r>
      <w:r>
        <w:t>).</w:t>
      </w:r>
    </w:p>
    <w:p w:rsidR="007A48D1" w:rsidRDefault="00254603" w:rsidP="007A48D1">
      <w:pPr>
        <w:pStyle w:val="BodyText"/>
      </w:pPr>
      <w:r w:rsidRPr="00EF1858">
        <w:t>Waiting times data by urgency category and surgical speciality were also provided</w:t>
      </w:r>
      <w:r>
        <w:t xml:space="preserve"> (tables </w:t>
      </w:r>
      <w:r w:rsidR="007A48D1">
        <w:t>11A.</w:t>
      </w:r>
      <w:r w:rsidR="00FB0BC3">
        <w:t>32</w:t>
      </w:r>
      <w:r w:rsidR="007A48D1">
        <w:t>, 11A.</w:t>
      </w:r>
      <w:r w:rsidR="00FB0BC3">
        <w:t>34</w:t>
      </w:r>
      <w:r w:rsidR="007A48D1">
        <w:t>, 11A.</w:t>
      </w:r>
      <w:r w:rsidR="00FB0BC3">
        <w:t>36</w:t>
      </w:r>
      <w:r w:rsidR="007A48D1">
        <w:t>, 11A.</w:t>
      </w:r>
      <w:r w:rsidR="00FB0BC3">
        <w:t>38</w:t>
      </w:r>
      <w:r w:rsidR="007A48D1">
        <w:t>, 11A.</w:t>
      </w:r>
      <w:r w:rsidR="00FB0BC3">
        <w:t>40</w:t>
      </w:r>
      <w:r w:rsidR="007A48D1">
        <w:t>, 11A.</w:t>
      </w:r>
      <w:r w:rsidR="00FB0BC3">
        <w:t>42</w:t>
      </w:r>
      <w:r w:rsidR="007A48D1">
        <w:t>, 11A.4</w:t>
      </w:r>
      <w:r w:rsidR="00FB0BC3">
        <w:t>4</w:t>
      </w:r>
      <w:r w:rsidR="007A48D1">
        <w:t xml:space="preserve"> </w:t>
      </w:r>
      <w:r w:rsidR="00DC7B42">
        <w:t xml:space="preserve">and </w:t>
      </w:r>
      <w:r w:rsidR="007A48D1">
        <w:t>11A.4</w:t>
      </w:r>
      <w:r w:rsidR="00FB0BC3">
        <w:t>6</w:t>
      </w:r>
      <w:r w:rsidR="007A48D1">
        <w:t>).</w:t>
      </w:r>
    </w:p>
    <w:p w:rsidR="007A48D1" w:rsidRDefault="007A48D1" w:rsidP="005574AD">
      <w:pPr>
        <w:pStyle w:val="Heading5"/>
      </w:pPr>
      <w:r>
        <w:t>Presentations to emergency departments with a length of stay of 4 hours or less ending in admission</w:t>
      </w:r>
    </w:p>
    <w:p w:rsidR="007A48D1" w:rsidRDefault="007A48D1" w:rsidP="001B73E8">
      <w:pPr>
        <w:pStyle w:val="BodyText"/>
      </w:pPr>
      <w:r>
        <w:t>Nationally in 201</w:t>
      </w:r>
      <w:r w:rsidR="00251433">
        <w:t>3</w:t>
      </w:r>
      <w:r>
        <w:t>-1</w:t>
      </w:r>
      <w:r w:rsidR="00251433">
        <w:t>4</w:t>
      </w:r>
      <w:r>
        <w:t xml:space="preserve">, </w:t>
      </w:r>
      <w:r w:rsidR="00D75704" w:rsidRPr="00E919A3">
        <w:t>45</w:t>
      </w:r>
      <w:r>
        <w:t xml:space="preserve"> per cent of those who presented to an emergency department waited 4 hours or less to be admitted to hospital. Nationally</w:t>
      </w:r>
      <w:r w:rsidR="005C529A">
        <w:t>,</w:t>
      </w:r>
      <w:r w:rsidR="00D75704">
        <w:t xml:space="preserve"> the percentage waiting 4 </w:t>
      </w:r>
      <w:r>
        <w:t xml:space="preserve">hours or less to be admitted was </w:t>
      </w:r>
      <w:r w:rsidR="00D75704" w:rsidRPr="0083330D">
        <w:t>56</w:t>
      </w:r>
      <w:r>
        <w:t xml:space="preserve"> per cent of patients requiring resuscitation, </w:t>
      </w:r>
      <w:r w:rsidR="00D75704" w:rsidRPr="0083330D">
        <w:t>47</w:t>
      </w:r>
      <w:r>
        <w:t xml:space="preserve"> per cent of emergency patients and </w:t>
      </w:r>
      <w:r w:rsidR="00D75704" w:rsidRPr="0083330D">
        <w:t>43</w:t>
      </w:r>
      <w:r>
        <w:t xml:space="preserve"> per cent of urgent patients. Waiting times improved for all triage categories </w:t>
      </w:r>
      <w:r w:rsidR="00044772">
        <w:t xml:space="preserve">for all hospitals </w:t>
      </w:r>
      <w:r>
        <w:t>from 201</w:t>
      </w:r>
      <w:r w:rsidR="00251433">
        <w:t>2</w:t>
      </w:r>
      <w:r>
        <w:t>-1</w:t>
      </w:r>
      <w:r w:rsidR="00251433">
        <w:t>3</w:t>
      </w:r>
      <w:r>
        <w:t xml:space="preserve"> to 201</w:t>
      </w:r>
      <w:r w:rsidR="00251433">
        <w:t>3</w:t>
      </w:r>
      <w:r>
        <w:t>-1</w:t>
      </w:r>
      <w:r w:rsidR="00251433">
        <w:t>4</w:t>
      </w:r>
      <w:r w:rsidR="00044772">
        <w:t xml:space="preserve"> on a national basis (table </w:t>
      </w:r>
      <w:r>
        <w:t>11.4).</w:t>
      </w:r>
    </w:p>
    <w:p w:rsidR="007A48D1" w:rsidRDefault="007A48D1" w:rsidP="0060465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A48D1" w:rsidTr="00604654">
        <w:tc>
          <w:tcPr>
            <w:tcW w:w="8771" w:type="dxa"/>
            <w:tcBorders>
              <w:top w:val="single" w:sz="6" w:space="0" w:color="78A22F"/>
              <w:left w:val="nil"/>
              <w:bottom w:val="nil"/>
              <w:right w:val="nil"/>
            </w:tcBorders>
            <w:shd w:val="clear" w:color="auto" w:fill="auto"/>
          </w:tcPr>
          <w:p w:rsidR="007A48D1" w:rsidRPr="00784A05" w:rsidRDefault="007A48D1" w:rsidP="00604654">
            <w:pPr>
              <w:pStyle w:val="TableTitle"/>
            </w:pPr>
            <w:r>
              <w:rPr>
                <w:b w:val="0"/>
              </w:rPr>
              <w:t>Table 11.</w:t>
            </w:r>
            <w:r w:rsidR="009A53E9">
              <w:rPr>
                <w:b w:val="0"/>
                <w:noProof/>
              </w:rPr>
              <w:t>4</w:t>
            </w:r>
            <w:r>
              <w:tab/>
            </w:r>
            <w:r w:rsidR="005A22A1" w:rsidRPr="005A22A1">
              <w:t>Proportion of presentations to emergency departments with a length of stay of 4 hours or less ending in admission, public hospitals</w:t>
            </w:r>
            <w:r w:rsidR="005A22A1" w:rsidRPr="005A22A1">
              <w:rPr>
                <w:rStyle w:val="NoteLabel"/>
                <w:b/>
                <w:szCs w:val="20"/>
              </w:rPr>
              <w:t>a, b, c, d</w:t>
            </w:r>
          </w:p>
        </w:tc>
      </w:tr>
      <w:tr w:rsidR="007A48D1" w:rsidTr="00604654">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963"/>
              <w:gridCol w:w="849"/>
              <w:gridCol w:w="710"/>
              <w:gridCol w:w="708"/>
              <w:gridCol w:w="708"/>
              <w:gridCol w:w="710"/>
              <w:gridCol w:w="710"/>
              <w:gridCol w:w="710"/>
              <w:gridCol w:w="708"/>
              <w:gridCol w:w="711"/>
            </w:tblGrid>
            <w:tr w:rsidR="005A22A1" w:rsidTr="005A22A1">
              <w:tc>
                <w:tcPr>
                  <w:tcW w:w="1156" w:type="pct"/>
                  <w:tcBorders>
                    <w:top w:val="single" w:sz="6" w:space="0" w:color="BFBFBF"/>
                    <w:bottom w:val="single" w:sz="6" w:space="0" w:color="BFBFBF"/>
                  </w:tcBorders>
                  <w:shd w:val="clear" w:color="auto" w:fill="auto"/>
                  <w:tcMar>
                    <w:top w:w="28" w:type="dxa"/>
                  </w:tcMar>
                </w:tcPr>
                <w:p w:rsidR="00604654" w:rsidRDefault="0025128B" w:rsidP="00604654">
                  <w:pPr>
                    <w:pStyle w:val="TableColumnHeading"/>
                    <w:jc w:val="left"/>
                  </w:pPr>
                  <w:r>
                    <w:t>Triage category</w:t>
                  </w:r>
                </w:p>
              </w:tc>
              <w:tc>
                <w:tcPr>
                  <w:tcW w:w="500" w:type="pct"/>
                  <w:tcBorders>
                    <w:top w:val="single" w:sz="6" w:space="0" w:color="BFBFBF"/>
                    <w:bottom w:val="single" w:sz="6" w:space="0" w:color="BFBFBF"/>
                  </w:tcBorders>
                </w:tcPr>
                <w:p w:rsidR="00604654" w:rsidRDefault="00604654" w:rsidP="00604654">
                  <w:pPr>
                    <w:pStyle w:val="TableColumnHeading"/>
                  </w:pPr>
                  <w:r>
                    <w:t>NSW</w:t>
                  </w:r>
                </w:p>
              </w:tc>
              <w:tc>
                <w:tcPr>
                  <w:tcW w:w="418" w:type="pct"/>
                  <w:tcBorders>
                    <w:top w:val="single" w:sz="6" w:space="0" w:color="BFBFBF"/>
                    <w:bottom w:val="single" w:sz="6" w:space="0" w:color="BFBFBF"/>
                  </w:tcBorders>
                </w:tcPr>
                <w:p w:rsidR="00604654" w:rsidRDefault="00604654" w:rsidP="00604654">
                  <w:pPr>
                    <w:pStyle w:val="TableColumnHeading"/>
                  </w:pPr>
                  <w:r>
                    <w:t>Vic</w:t>
                  </w:r>
                </w:p>
              </w:tc>
              <w:tc>
                <w:tcPr>
                  <w:tcW w:w="417" w:type="pct"/>
                  <w:tcBorders>
                    <w:top w:val="single" w:sz="6" w:space="0" w:color="BFBFBF"/>
                    <w:bottom w:val="single" w:sz="6" w:space="0" w:color="BFBFBF"/>
                  </w:tcBorders>
                </w:tcPr>
                <w:p w:rsidR="00604654" w:rsidRDefault="00604654" w:rsidP="00604654">
                  <w:pPr>
                    <w:pStyle w:val="TableColumnHeading"/>
                  </w:pPr>
                  <w:r>
                    <w:t>Qld</w:t>
                  </w:r>
                </w:p>
              </w:tc>
              <w:tc>
                <w:tcPr>
                  <w:tcW w:w="417" w:type="pct"/>
                  <w:tcBorders>
                    <w:top w:val="single" w:sz="6" w:space="0" w:color="BFBFBF"/>
                    <w:bottom w:val="single" w:sz="6" w:space="0" w:color="BFBFBF"/>
                  </w:tcBorders>
                </w:tcPr>
                <w:p w:rsidR="00604654" w:rsidRDefault="00604654" w:rsidP="00604654">
                  <w:pPr>
                    <w:pStyle w:val="TableColumnHeading"/>
                  </w:pPr>
                  <w:r>
                    <w:t>WA</w:t>
                  </w:r>
                </w:p>
              </w:tc>
              <w:tc>
                <w:tcPr>
                  <w:tcW w:w="418" w:type="pct"/>
                  <w:tcBorders>
                    <w:top w:val="single" w:sz="6" w:space="0" w:color="BFBFBF"/>
                    <w:bottom w:val="single" w:sz="6" w:space="0" w:color="BFBFBF"/>
                  </w:tcBorders>
                </w:tcPr>
                <w:p w:rsidR="00604654" w:rsidRDefault="00604654" w:rsidP="00604654">
                  <w:pPr>
                    <w:pStyle w:val="TableColumnHeading"/>
                  </w:pPr>
                  <w:r>
                    <w:t>SA</w:t>
                  </w:r>
                </w:p>
              </w:tc>
              <w:tc>
                <w:tcPr>
                  <w:tcW w:w="418" w:type="pct"/>
                  <w:tcBorders>
                    <w:top w:val="single" w:sz="6" w:space="0" w:color="BFBFBF"/>
                    <w:bottom w:val="single" w:sz="6" w:space="0" w:color="BFBFBF"/>
                  </w:tcBorders>
                </w:tcPr>
                <w:p w:rsidR="00604654" w:rsidRDefault="00604654" w:rsidP="00604654">
                  <w:pPr>
                    <w:pStyle w:val="TableColumnHeading"/>
                  </w:pPr>
                  <w:r>
                    <w:t>Tas</w:t>
                  </w:r>
                </w:p>
              </w:tc>
              <w:tc>
                <w:tcPr>
                  <w:tcW w:w="418" w:type="pct"/>
                  <w:tcBorders>
                    <w:top w:val="single" w:sz="6" w:space="0" w:color="BFBFBF"/>
                    <w:bottom w:val="single" w:sz="6" w:space="0" w:color="BFBFBF"/>
                  </w:tcBorders>
                </w:tcPr>
                <w:p w:rsidR="00604654" w:rsidRDefault="00604654" w:rsidP="00604654">
                  <w:pPr>
                    <w:pStyle w:val="TableColumnHeading"/>
                  </w:pPr>
                  <w:r>
                    <w:t>ACT</w:t>
                  </w:r>
                </w:p>
              </w:tc>
              <w:tc>
                <w:tcPr>
                  <w:tcW w:w="417" w:type="pct"/>
                  <w:tcBorders>
                    <w:top w:val="single" w:sz="6" w:space="0" w:color="BFBFBF"/>
                    <w:bottom w:val="single" w:sz="6" w:space="0" w:color="BFBFBF"/>
                  </w:tcBorders>
                  <w:shd w:val="clear" w:color="auto" w:fill="auto"/>
                  <w:tcMar>
                    <w:top w:w="28" w:type="dxa"/>
                  </w:tcMar>
                </w:tcPr>
                <w:p w:rsidR="00604654" w:rsidRDefault="00604654" w:rsidP="00604654">
                  <w:pPr>
                    <w:pStyle w:val="TableColumnHeading"/>
                  </w:pPr>
                  <w:r>
                    <w:t>NT</w:t>
                  </w:r>
                </w:p>
              </w:tc>
              <w:tc>
                <w:tcPr>
                  <w:tcW w:w="419" w:type="pct"/>
                  <w:tcBorders>
                    <w:top w:val="single" w:sz="6" w:space="0" w:color="BFBFBF"/>
                    <w:bottom w:val="single" w:sz="6" w:space="0" w:color="BFBFBF"/>
                  </w:tcBorders>
                  <w:shd w:val="clear" w:color="auto" w:fill="auto"/>
                  <w:tcMar>
                    <w:top w:w="28" w:type="dxa"/>
                  </w:tcMar>
                </w:tcPr>
                <w:p w:rsidR="00604654" w:rsidRDefault="00604654" w:rsidP="00604654">
                  <w:pPr>
                    <w:pStyle w:val="TableColumnHeading"/>
                    <w:ind w:right="28"/>
                  </w:pPr>
                  <w:r>
                    <w:t>Aust</w:t>
                  </w:r>
                </w:p>
              </w:tc>
            </w:tr>
            <w:tr w:rsidR="005A22A1" w:rsidTr="005A22A1">
              <w:tc>
                <w:tcPr>
                  <w:tcW w:w="1156" w:type="pct"/>
                  <w:tcBorders>
                    <w:top w:val="single" w:sz="6" w:space="0" w:color="BFBFBF"/>
                  </w:tcBorders>
                </w:tcPr>
                <w:p w:rsidR="00604654" w:rsidRDefault="005A22A1" w:rsidP="00604654">
                  <w:pPr>
                    <w:pStyle w:val="TableUnitsRow"/>
                    <w:jc w:val="left"/>
                  </w:pPr>
                  <w:r>
                    <w:t>2012-13</w:t>
                  </w:r>
                </w:p>
              </w:tc>
              <w:tc>
                <w:tcPr>
                  <w:tcW w:w="500" w:type="pct"/>
                  <w:tcBorders>
                    <w:top w:val="single" w:sz="6" w:space="0" w:color="BFBFBF"/>
                  </w:tcBorders>
                </w:tcPr>
                <w:p w:rsidR="00604654" w:rsidRDefault="00604654" w:rsidP="00604654">
                  <w:pPr>
                    <w:pStyle w:val="TableUnitsRow"/>
                  </w:pPr>
                </w:p>
              </w:tc>
              <w:tc>
                <w:tcPr>
                  <w:tcW w:w="418" w:type="pct"/>
                  <w:tcBorders>
                    <w:top w:val="single" w:sz="6" w:space="0" w:color="BFBFBF"/>
                  </w:tcBorders>
                </w:tcPr>
                <w:p w:rsidR="00604654" w:rsidRDefault="00604654" w:rsidP="00604654">
                  <w:pPr>
                    <w:pStyle w:val="TableUnitsRow"/>
                  </w:pPr>
                </w:p>
              </w:tc>
              <w:tc>
                <w:tcPr>
                  <w:tcW w:w="417" w:type="pct"/>
                  <w:tcBorders>
                    <w:top w:val="single" w:sz="6" w:space="0" w:color="BFBFBF"/>
                  </w:tcBorders>
                </w:tcPr>
                <w:p w:rsidR="00604654" w:rsidRDefault="00604654" w:rsidP="00604654">
                  <w:pPr>
                    <w:pStyle w:val="TableUnitsRow"/>
                  </w:pPr>
                </w:p>
              </w:tc>
              <w:tc>
                <w:tcPr>
                  <w:tcW w:w="417" w:type="pct"/>
                  <w:tcBorders>
                    <w:top w:val="single" w:sz="6" w:space="0" w:color="BFBFBF"/>
                  </w:tcBorders>
                </w:tcPr>
                <w:p w:rsidR="00604654" w:rsidRDefault="00604654" w:rsidP="00604654">
                  <w:pPr>
                    <w:pStyle w:val="TableUnitsRow"/>
                  </w:pPr>
                </w:p>
              </w:tc>
              <w:tc>
                <w:tcPr>
                  <w:tcW w:w="418" w:type="pct"/>
                  <w:tcBorders>
                    <w:top w:val="single" w:sz="6" w:space="0" w:color="BFBFBF"/>
                  </w:tcBorders>
                </w:tcPr>
                <w:p w:rsidR="00604654" w:rsidRDefault="00604654" w:rsidP="00604654">
                  <w:pPr>
                    <w:pStyle w:val="TableUnitsRow"/>
                  </w:pPr>
                </w:p>
              </w:tc>
              <w:tc>
                <w:tcPr>
                  <w:tcW w:w="418" w:type="pct"/>
                  <w:tcBorders>
                    <w:top w:val="single" w:sz="6" w:space="0" w:color="BFBFBF"/>
                  </w:tcBorders>
                </w:tcPr>
                <w:p w:rsidR="00604654" w:rsidRDefault="00604654" w:rsidP="00604654">
                  <w:pPr>
                    <w:pStyle w:val="TableUnitsRow"/>
                  </w:pPr>
                </w:p>
              </w:tc>
              <w:tc>
                <w:tcPr>
                  <w:tcW w:w="418" w:type="pct"/>
                  <w:tcBorders>
                    <w:top w:val="single" w:sz="6" w:space="0" w:color="BFBFBF"/>
                  </w:tcBorders>
                </w:tcPr>
                <w:p w:rsidR="00604654" w:rsidRDefault="00604654" w:rsidP="00604654">
                  <w:pPr>
                    <w:pStyle w:val="TableUnitsRow"/>
                  </w:pPr>
                </w:p>
              </w:tc>
              <w:tc>
                <w:tcPr>
                  <w:tcW w:w="417" w:type="pct"/>
                  <w:tcBorders>
                    <w:top w:val="single" w:sz="6" w:space="0" w:color="BFBFBF"/>
                  </w:tcBorders>
                </w:tcPr>
                <w:p w:rsidR="00604654" w:rsidRDefault="00604654" w:rsidP="00604654">
                  <w:pPr>
                    <w:pStyle w:val="TableUnitsRow"/>
                  </w:pPr>
                </w:p>
              </w:tc>
              <w:tc>
                <w:tcPr>
                  <w:tcW w:w="419" w:type="pct"/>
                  <w:tcBorders>
                    <w:top w:val="single" w:sz="6" w:space="0" w:color="BFBFBF"/>
                  </w:tcBorders>
                </w:tcPr>
                <w:p w:rsidR="00604654" w:rsidRDefault="00604654" w:rsidP="00604654">
                  <w:pPr>
                    <w:pStyle w:val="TableUnitsRow"/>
                    <w:ind w:right="28"/>
                  </w:pPr>
                </w:p>
              </w:tc>
            </w:tr>
            <w:tr w:rsidR="00C51F1A" w:rsidTr="00393026">
              <w:tc>
                <w:tcPr>
                  <w:tcW w:w="1156" w:type="pct"/>
                </w:tcPr>
                <w:p w:rsidR="00C51F1A" w:rsidRDefault="00C51F1A" w:rsidP="00A376A3">
                  <w:pPr>
                    <w:pStyle w:val="TableBodyText"/>
                    <w:jc w:val="left"/>
                  </w:pPr>
                  <w:r>
                    <w:t xml:space="preserve">  1 — Resuscitation</w:t>
                  </w:r>
                </w:p>
              </w:tc>
              <w:tc>
                <w:tcPr>
                  <w:tcW w:w="500" w:type="pct"/>
                  <w:vAlign w:val="center"/>
                </w:tcPr>
                <w:p w:rsidR="00C51F1A" w:rsidRPr="00C51F1A" w:rsidRDefault="00C51F1A" w:rsidP="00C51F1A">
                  <w:pPr>
                    <w:pStyle w:val="TableBodyText"/>
                  </w:pPr>
                  <w:r w:rsidRPr="00C51F1A">
                    <w:t>44</w:t>
                  </w:r>
                </w:p>
              </w:tc>
              <w:tc>
                <w:tcPr>
                  <w:tcW w:w="418" w:type="pct"/>
                  <w:vAlign w:val="center"/>
                </w:tcPr>
                <w:p w:rsidR="00C51F1A" w:rsidRPr="00C51F1A" w:rsidRDefault="00C51F1A" w:rsidP="00C51F1A">
                  <w:pPr>
                    <w:pStyle w:val="TableBodyText"/>
                  </w:pPr>
                  <w:r w:rsidRPr="00C51F1A">
                    <w:t>56</w:t>
                  </w:r>
                </w:p>
              </w:tc>
              <w:tc>
                <w:tcPr>
                  <w:tcW w:w="417" w:type="pct"/>
                  <w:vAlign w:val="center"/>
                </w:tcPr>
                <w:p w:rsidR="00C51F1A" w:rsidRPr="00C51F1A" w:rsidRDefault="00C51F1A" w:rsidP="00C51F1A">
                  <w:pPr>
                    <w:pStyle w:val="TableBodyText"/>
                  </w:pPr>
                  <w:r w:rsidRPr="00C51F1A">
                    <w:t>54</w:t>
                  </w:r>
                </w:p>
              </w:tc>
              <w:tc>
                <w:tcPr>
                  <w:tcW w:w="417" w:type="pct"/>
                  <w:vAlign w:val="center"/>
                </w:tcPr>
                <w:p w:rsidR="00C51F1A" w:rsidRPr="00C51F1A" w:rsidRDefault="00C51F1A" w:rsidP="00C51F1A">
                  <w:pPr>
                    <w:pStyle w:val="TableBodyText"/>
                  </w:pPr>
                  <w:r w:rsidRPr="00C51F1A">
                    <w:t>59</w:t>
                  </w:r>
                </w:p>
              </w:tc>
              <w:tc>
                <w:tcPr>
                  <w:tcW w:w="418" w:type="pct"/>
                  <w:vAlign w:val="center"/>
                </w:tcPr>
                <w:p w:rsidR="00C51F1A" w:rsidRPr="00C51F1A" w:rsidRDefault="00C51F1A" w:rsidP="00C51F1A">
                  <w:pPr>
                    <w:pStyle w:val="TableBodyText"/>
                  </w:pPr>
                  <w:r w:rsidRPr="00C51F1A">
                    <w:t>55</w:t>
                  </w:r>
                </w:p>
              </w:tc>
              <w:tc>
                <w:tcPr>
                  <w:tcW w:w="418" w:type="pct"/>
                  <w:vAlign w:val="center"/>
                </w:tcPr>
                <w:p w:rsidR="00C51F1A" w:rsidRPr="00C51F1A" w:rsidRDefault="00C51F1A" w:rsidP="00C51F1A">
                  <w:pPr>
                    <w:pStyle w:val="TableBodyText"/>
                  </w:pPr>
                  <w:r w:rsidRPr="00C51F1A">
                    <w:t>56</w:t>
                  </w:r>
                </w:p>
              </w:tc>
              <w:tc>
                <w:tcPr>
                  <w:tcW w:w="418" w:type="pct"/>
                  <w:vAlign w:val="center"/>
                </w:tcPr>
                <w:p w:rsidR="00C51F1A" w:rsidRPr="00C51F1A" w:rsidRDefault="00C51F1A" w:rsidP="00C51F1A">
                  <w:pPr>
                    <w:pStyle w:val="TableBodyText"/>
                  </w:pPr>
                  <w:r w:rsidRPr="00C51F1A">
                    <w:t>62</w:t>
                  </w:r>
                </w:p>
              </w:tc>
              <w:tc>
                <w:tcPr>
                  <w:tcW w:w="417" w:type="pct"/>
                  <w:vAlign w:val="center"/>
                </w:tcPr>
                <w:p w:rsidR="00C51F1A" w:rsidRPr="00C51F1A" w:rsidRDefault="00C51F1A" w:rsidP="00C51F1A">
                  <w:pPr>
                    <w:pStyle w:val="TableBodyText"/>
                  </w:pPr>
                  <w:r w:rsidRPr="00C51F1A">
                    <w:t>48</w:t>
                  </w:r>
                </w:p>
              </w:tc>
              <w:tc>
                <w:tcPr>
                  <w:tcW w:w="419" w:type="pct"/>
                  <w:vAlign w:val="center"/>
                </w:tcPr>
                <w:p w:rsidR="00C51F1A" w:rsidRPr="00C51F1A" w:rsidRDefault="00C51F1A" w:rsidP="00C51F1A">
                  <w:pPr>
                    <w:pStyle w:val="TableBodyText"/>
                  </w:pPr>
                  <w:r w:rsidRPr="00C51F1A">
                    <w:t>52</w:t>
                  </w:r>
                </w:p>
              </w:tc>
            </w:tr>
            <w:tr w:rsidR="00C51F1A" w:rsidTr="00393026">
              <w:tc>
                <w:tcPr>
                  <w:tcW w:w="1156" w:type="pct"/>
                </w:tcPr>
                <w:p w:rsidR="00C51F1A" w:rsidRDefault="00C51F1A" w:rsidP="00A376A3">
                  <w:pPr>
                    <w:pStyle w:val="TableBodyText"/>
                    <w:jc w:val="left"/>
                  </w:pPr>
                  <w:r>
                    <w:t xml:space="preserve">  2 — Emergency</w:t>
                  </w:r>
                </w:p>
              </w:tc>
              <w:tc>
                <w:tcPr>
                  <w:tcW w:w="500" w:type="pct"/>
                  <w:vAlign w:val="center"/>
                </w:tcPr>
                <w:p w:rsidR="00C51F1A" w:rsidRPr="00C51F1A" w:rsidRDefault="00C51F1A" w:rsidP="00C51F1A">
                  <w:pPr>
                    <w:pStyle w:val="TableBodyText"/>
                  </w:pPr>
                  <w:r w:rsidRPr="00C51F1A">
                    <w:t>32</w:t>
                  </w:r>
                </w:p>
              </w:tc>
              <w:tc>
                <w:tcPr>
                  <w:tcW w:w="418" w:type="pct"/>
                  <w:vAlign w:val="center"/>
                </w:tcPr>
                <w:p w:rsidR="00C51F1A" w:rsidRPr="00C51F1A" w:rsidRDefault="00C51F1A" w:rsidP="00C51F1A">
                  <w:pPr>
                    <w:pStyle w:val="TableBodyText"/>
                  </w:pPr>
                  <w:r w:rsidRPr="00C51F1A">
                    <w:t>44</w:t>
                  </w:r>
                </w:p>
              </w:tc>
              <w:tc>
                <w:tcPr>
                  <w:tcW w:w="417" w:type="pct"/>
                  <w:vAlign w:val="center"/>
                </w:tcPr>
                <w:p w:rsidR="00C51F1A" w:rsidRPr="00C51F1A" w:rsidRDefault="00C51F1A" w:rsidP="00C51F1A">
                  <w:pPr>
                    <w:pStyle w:val="TableBodyText"/>
                  </w:pPr>
                  <w:r w:rsidRPr="00C51F1A">
                    <w:t>40</w:t>
                  </w:r>
                </w:p>
              </w:tc>
              <w:tc>
                <w:tcPr>
                  <w:tcW w:w="417" w:type="pct"/>
                  <w:vAlign w:val="center"/>
                </w:tcPr>
                <w:p w:rsidR="00C51F1A" w:rsidRPr="00C51F1A" w:rsidRDefault="00C51F1A" w:rsidP="00C51F1A">
                  <w:pPr>
                    <w:pStyle w:val="TableBodyText"/>
                  </w:pPr>
                  <w:r w:rsidRPr="00C51F1A">
                    <w:t>52</w:t>
                  </w:r>
                </w:p>
              </w:tc>
              <w:tc>
                <w:tcPr>
                  <w:tcW w:w="418" w:type="pct"/>
                  <w:vAlign w:val="center"/>
                </w:tcPr>
                <w:p w:rsidR="00C51F1A" w:rsidRPr="00C51F1A" w:rsidRDefault="00C51F1A" w:rsidP="00C51F1A">
                  <w:pPr>
                    <w:pStyle w:val="TableBodyText"/>
                  </w:pPr>
                  <w:r w:rsidRPr="00C51F1A">
                    <w:t>41</w:t>
                  </w:r>
                </w:p>
              </w:tc>
              <w:tc>
                <w:tcPr>
                  <w:tcW w:w="418" w:type="pct"/>
                  <w:vAlign w:val="center"/>
                </w:tcPr>
                <w:p w:rsidR="00C51F1A" w:rsidRPr="00C51F1A" w:rsidRDefault="00C51F1A" w:rsidP="00C51F1A">
                  <w:pPr>
                    <w:pStyle w:val="TableBodyText"/>
                  </w:pPr>
                  <w:r w:rsidRPr="00C51F1A">
                    <w:t>32</w:t>
                  </w:r>
                </w:p>
              </w:tc>
              <w:tc>
                <w:tcPr>
                  <w:tcW w:w="418" w:type="pct"/>
                  <w:vAlign w:val="center"/>
                </w:tcPr>
                <w:p w:rsidR="00C51F1A" w:rsidRPr="00C51F1A" w:rsidRDefault="00C51F1A" w:rsidP="00C51F1A">
                  <w:pPr>
                    <w:pStyle w:val="TableBodyText"/>
                  </w:pPr>
                  <w:r w:rsidRPr="00C51F1A">
                    <w:t>40</w:t>
                  </w:r>
                </w:p>
              </w:tc>
              <w:tc>
                <w:tcPr>
                  <w:tcW w:w="417" w:type="pct"/>
                  <w:vAlign w:val="center"/>
                </w:tcPr>
                <w:p w:rsidR="00C51F1A" w:rsidRPr="00C51F1A" w:rsidRDefault="00C51F1A" w:rsidP="00C51F1A">
                  <w:pPr>
                    <w:pStyle w:val="TableBodyText"/>
                  </w:pPr>
                  <w:r w:rsidRPr="00C51F1A">
                    <w:t>23</w:t>
                  </w:r>
                </w:p>
              </w:tc>
              <w:tc>
                <w:tcPr>
                  <w:tcW w:w="419" w:type="pct"/>
                  <w:vAlign w:val="center"/>
                </w:tcPr>
                <w:p w:rsidR="00C51F1A" w:rsidRPr="00C51F1A" w:rsidRDefault="00C51F1A" w:rsidP="00C51F1A">
                  <w:pPr>
                    <w:pStyle w:val="TableBodyText"/>
                  </w:pPr>
                  <w:r w:rsidRPr="00C51F1A">
                    <w:t>39</w:t>
                  </w:r>
                </w:p>
              </w:tc>
            </w:tr>
            <w:tr w:rsidR="00C51F1A" w:rsidTr="00393026">
              <w:tc>
                <w:tcPr>
                  <w:tcW w:w="1156" w:type="pct"/>
                </w:tcPr>
                <w:p w:rsidR="00C51F1A" w:rsidRDefault="00C51F1A" w:rsidP="00A376A3">
                  <w:pPr>
                    <w:pStyle w:val="TableBodyText"/>
                    <w:jc w:val="left"/>
                  </w:pPr>
                  <w:r>
                    <w:t xml:space="preserve">  3 — Urgent</w:t>
                  </w:r>
                </w:p>
              </w:tc>
              <w:tc>
                <w:tcPr>
                  <w:tcW w:w="500" w:type="pct"/>
                  <w:vAlign w:val="center"/>
                </w:tcPr>
                <w:p w:rsidR="00C51F1A" w:rsidRPr="00C51F1A" w:rsidRDefault="00C51F1A" w:rsidP="00C51F1A">
                  <w:pPr>
                    <w:pStyle w:val="TableBodyText"/>
                  </w:pPr>
                  <w:r w:rsidRPr="00C51F1A">
                    <w:t>27</w:t>
                  </w:r>
                </w:p>
              </w:tc>
              <w:tc>
                <w:tcPr>
                  <w:tcW w:w="418" w:type="pct"/>
                  <w:vAlign w:val="center"/>
                </w:tcPr>
                <w:p w:rsidR="00C51F1A" w:rsidRPr="00C51F1A" w:rsidRDefault="00C51F1A" w:rsidP="00C51F1A">
                  <w:pPr>
                    <w:pStyle w:val="TableBodyText"/>
                  </w:pPr>
                  <w:r w:rsidRPr="00C51F1A">
                    <w:t>36</w:t>
                  </w:r>
                </w:p>
              </w:tc>
              <w:tc>
                <w:tcPr>
                  <w:tcW w:w="417" w:type="pct"/>
                  <w:vAlign w:val="center"/>
                </w:tcPr>
                <w:p w:rsidR="00C51F1A" w:rsidRPr="00C51F1A" w:rsidRDefault="00C51F1A" w:rsidP="00C51F1A">
                  <w:pPr>
                    <w:pStyle w:val="TableBodyText"/>
                  </w:pPr>
                  <w:r w:rsidRPr="00C51F1A">
                    <w:t>39</w:t>
                  </w:r>
                </w:p>
              </w:tc>
              <w:tc>
                <w:tcPr>
                  <w:tcW w:w="417" w:type="pct"/>
                  <w:vAlign w:val="center"/>
                </w:tcPr>
                <w:p w:rsidR="00C51F1A" w:rsidRPr="00C51F1A" w:rsidRDefault="00C51F1A" w:rsidP="00C51F1A">
                  <w:pPr>
                    <w:pStyle w:val="TableBodyText"/>
                  </w:pPr>
                  <w:r w:rsidRPr="00C51F1A">
                    <w:t>43</w:t>
                  </w:r>
                </w:p>
              </w:tc>
              <w:tc>
                <w:tcPr>
                  <w:tcW w:w="418" w:type="pct"/>
                  <w:vAlign w:val="center"/>
                </w:tcPr>
                <w:p w:rsidR="00C51F1A" w:rsidRPr="00C51F1A" w:rsidRDefault="00C51F1A" w:rsidP="00C51F1A">
                  <w:pPr>
                    <w:pStyle w:val="TableBodyText"/>
                  </w:pPr>
                  <w:r w:rsidRPr="00C51F1A">
                    <w:t>38</w:t>
                  </w:r>
                </w:p>
              </w:tc>
              <w:tc>
                <w:tcPr>
                  <w:tcW w:w="418" w:type="pct"/>
                  <w:vAlign w:val="center"/>
                </w:tcPr>
                <w:p w:rsidR="00C51F1A" w:rsidRPr="00C51F1A" w:rsidRDefault="00C51F1A" w:rsidP="00C51F1A">
                  <w:pPr>
                    <w:pStyle w:val="TableBodyText"/>
                  </w:pPr>
                  <w:r w:rsidRPr="00C51F1A">
                    <w:t>22</w:t>
                  </w:r>
                </w:p>
              </w:tc>
              <w:tc>
                <w:tcPr>
                  <w:tcW w:w="418" w:type="pct"/>
                  <w:vAlign w:val="center"/>
                </w:tcPr>
                <w:p w:rsidR="00C51F1A" w:rsidRPr="00C51F1A" w:rsidRDefault="00C51F1A" w:rsidP="00C51F1A">
                  <w:pPr>
                    <w:pStyle w:val="TableBodyText"/>
                  </w:pPr>
                  <w:r w:rsidRPr="00C51F1A">
                    <w:t>24</w:t>
                  </w:r>
                </w:p>
              </w:tc>
              <w:tc>
                <w:tcPr>
                  <w:tcW w:w="417" w:type="pct"/>
                  <w:vAlign w:val="center"/>
                </w:tcPr>
                <w:p w:rsidR="00C51F1A" w:rsidRPr="00C51F1A" w:rsidRDefault="00C51F1A" w:rsidP="00C51F1A">
                  <w:pPr>
                    <w:pStyle w:val="TableBodyText"/>
                  </w:pPr>
                  <w:r w:rsidRPr="00C51F1A">
                    <w:t>23</w:t>
                  </w:r>
                </w:p>
              </w:tc>
              <w:tc>
                <w:tcPr>
                  <w:tcW w:w="419" w:type="pct"/>
                  <w:vAlign w:val="center"/>
                </w:tcPr>
                <w:p w:rsidR="00C51F1A" w:rsidRPr="00C51F1A" w:rsidRDefault="00C51F1A" w:rsidP="00C51F1A">
                  <w:pPr>
                    <w:pStyle w:val="TableBodyText"/>
                  </w:pPr>
                  <w:r w:rsidRPr="00C51F1A">
                    <w:t>34</w:t>
                  </w:r>
                </w:p>
              </w:tc>
            </w:tr>
            <w:tr w:rsidR="00C51F1A" w:rsidTr="00393026">
              <w:tc>
                <w:tcPr>
                  <w:tcW w:w="1156" w:type="pct"/>
                </w:tcPr>
                <w:p w:rsidR="00C51F1A" w:rsidRDefault="00C51F1A" w:rsidP="00A376A3">
                  <w:pPr>
                    <w:pStyle w:val="TableBodyText"/>
                    <w:jc w:val="left"/>
                  </w:pPr>
                  <w:r>
                    <w:t xml:space="preserve">  4 — Semi-urgent</w:t>
                  </w:r>
                </w:p>
              </w:tc>
              <w:tc>
                <w:tcPr>
                  <w:tcW w:w="500" w:type="pct"/>
                  <w:vAlign w:val="center"/>
                </w:tcPr>
                <w:p w:rsidR="00C51F1A" w:rsidRPr="00C51F1A" w:rsidRDefault="00C51F1A" w:rsidP="00C51F1A">
                  <w:pPr>
                    <w:pStyle w:val="TableBodyText"/>
                  </w:pPr>
                  <w:r w:rsidRPr="00C51F1A">
                    <w:t>30</w:t>
                  </w:r>
                </w:p>
              </w:tc>
              <w:tc>
                <w:tcPr>
                  <w:tcW w:w="418" w:type="pct"/>
                  <w:vAlign w:val="center"/>
                </w:tcPr>
                <w:p w:rsidR="00C51F1A" w:rsidRPr="00C51F1A" w:rsidRDefault="00C51F1A" w:rsidP="00C51F1A">
                  <w:pPr>
                    <w:pStyle w:val="TableBodyText"/>
                  </w:pPr>
                  <w:r w:rsidRPr="00C51F1A">
                    <w:t>36</w:t>
                  </w:r>
                </w:p>
              </w:tc>
              <w:tc>
                <w:tcPr>
                  <w:tcW w:w="417" w:type="pct"/>
                  <w:vAlign w:val="center"/>
                </w:tcPr>
                <w:p w:rsidR="00C51F1A" w:rsidRPr="00C51F1A" w:rsidRDefault="00C51F1A" w:rsidP="00C51F1A">
                  <w:pPr>
                    <w:pStyle w:val="TableBodyText"/>
                  </w:pPr>
                  <w:r w:rsidRPr="00C51F1A">
                    <w:t>45</w:t>
                  </w:r>
                </w:p>
              </w:tc>
              <w:tc>
                <w:tcPr>
                  <w:tcW w:w="417" w:type="pct"/>
                  <w:vAlign w:val="center"/>
                </w:tcPr>
                <w:p w:rsidR="00C51F1A" w:rsidRPr="00C51F1A" w:rsidRDefault="00C51F1A" w:rsidP="00C51F1A">
                  <w:pPr>
                    <w:pStyle w:val="TableBodyText"/>
                  </w:pPr>
                  <w:r w:rsidRPr="00C51F1A">
                    <w:t>45</w:t>
                  </w:r>
                </w:p>
              </w:tc>
              <w:tc>
                <w:tcPr>
                  <w:tcW w:w="418" w:type="pct"/>
                  <w:vAlign w:val="center"/>
                </w:tcPr>
                <w:p w:rsidR="00C51F1A" w:rsidRPr="00C51F1A" w:rsidRDefault="00C51F1A" w:rsidP="00C51F1A">
                  <w:pPr>
                    <w:pStyle w:val="TableBodyText"/>
                  </w:pPr>
                  <w:r w:rsidRPr="00C51F1A">
                    <w:t>43</w:t>
                  </w:r>
                </w:p>
              </w:tc>
              <w:tc>
                <w:tcPr>
                  <w:tcW w:w="418" w:type="pct"/>
                  <w:vAlign w:val="center"/>
                </w:tcPr>
                <w:p w:rsidR="00C51F1A" w:rsidRPr="00C51F1A" w:rsidRDefault="00C51F1A" w:rsidP="00C51F1A">
                  <w:pPr>
                    <w:pStyle w:val="TableBodyText"/>
                  </w:pPr>
                  <w:r w:rsidRPr="00C51F1A">
                    <w:t>24</w:t>
                  </w:r>
                </w:p>
              </w:tc>
              <w:tc>
                <w:tcPr>
                  <w:tcW w:w="418" w:type="pct"/>
                  <w:vAlign w:val="center"/>
                </w:tcPr>
                <w:p w:rsidR="00C51F1A" w:rsidRPr="00C51F1A" w:rsidRDefault="00C51F1A" w:rsidP="00C51F1A">
                  <w:pPr>
                    <w:pStyle w:val="TableBodyText"/>
                  </w:pPr>
                  <w:r w:rsidRPr="00C51F1A">
                    <w:t>28</w:t>
                  </w:r>
                </w:p>
              </w:tc>
              <w:tc>
                <w:tcPr>
                  <w:tcW w:w="417" w:type="pct"/>
                  <w:vAlign w:val="center"/>
                </w:tcPr>
                <w:p w:rsidR="00C51F1A" w:rsidRPr="00C51F1A" w:rsidRDefault="00C51F1A" w:rsidP="00C51F1A">
                  <w:pPr>
                    <w:pStyle w:val="TableBodyText"/>
                  </w:pPr>
                  <w:r w:rsidRPr="00C51F1A">
                    <w:t>24</w:t>
                  </w:r>
                </w:p>
              </w:tc>
              <w:tc>
                <w:tcPr>
                  <w:tcW w:w="419" w:type="pct"/>
                  <w:vAlign w:val="center"/>
                </w:tcPr>
                <w:p w:rsidR="00C51F1A" w:rsidRPr="00C51F1A" w:rsidRDefault="00C51F1A" w:rsidP="00C51F1A">
                  <w:pPr>
                    <w:pStyle w:val="TableBodyText"/>
                  </w:pPr>
                  <w:r w:rsidRPr="00C51F1A">
                    <w:t>35</w:t>
                  </w:r>
                </w:p>
              </w:tc>
            </w:tr>
            <w:tr w:rsidR="00C51F1A" w:rsidTr="00393026">
              <w:tc>
                <w:tcPr>
                  <w:tcW w:w="1156" w:type="pct"/>
                </w:tcPr>
                <w:p w:rsidR="00C51F1A" w:rsidRDefault="00C51F1A" w:rsidP="00A376A3">
                  <w:pPr>
                    <w:pStyle w:val="TableBodyText"/>
                    <w:jc w:val="left"/>
                  </w:pPr>
                  <w:r>
                    <w:t xml:space="preserve">  5 — Non-urgent</w:t>
                  </w:r>
                </w:p>
              </w:tc>
              <w:tc>
                <w:tcPr>
                  <w:tcW w:w="500" w:type="pct"/>
                  <w:vAlign w:val="center"/>
                </w:tcPr>
                <w:p w:rsidR="00C51F1A" w:rsidRPr="00C51F1A" w:rsidRDefault="00C51F1A" w:rsidP="00C51F1A">
                  <w:pPr>
                    <w:pStyle w:val="TableBodyText"/>
                  </w:pPr>
                  <w:r w:rsidRPr="00C51F1A">
                    <w:t>53</w:t>
                  </w:r>
                </w:p>
              </w:tc>
              <w:tc>
                <w:tcPr>
                  <w:tcW w:w="418" w:type="pct"/>
                  <w:vAlign w:val="center"/>
                </w:tcPr>
                <w:p w:rsidR="00C51F1A" w:rsidRPr="00C51F1A" w:rsidRDefault="00C51F1A" w:rsidP="00C51F1A">
                  <w:pPr>
                    <w:pStyle w:val="TableBodyText"/>
                  </w:pPr>
                  <w:r w:rsidRPr="00C51F1A">
                    <w:t>53</w:t>
                  </w:r>
                </w:p>
              </w:tc>
              <w:tc>
                <w:tcPr>
                  <w:tcW w:w="417" w:type="pct"/>
                  <w:vAlign w:val="center"/>
                </w:tcPr>
                <w:p w:rsidR="00C51F1A" w:rsidRPr="00C51F1A" w:rsidRDefault="00C51F1A" w:rsidP="00C51F1A">
                  <w:pPr>
                    <w:pStyle w:val="TableBodyText"/>
                  </w:pPr>
                  <w:r w:rsidRPr="00C51F1A">
                    <w:t>62</w:t>
                  </w:r>
                </w:p>
              </w:tc>
              <w:tc>
                <w:tcPr>
                  <w:tcW w:w="417" w:type="pct"/>
                  <w:vAlign w:val="center"/>
                </w:tcPr>
                <w:p w:rsidR="00C51F1A" w:rsidRPr="00C51F1A" w:rsidRDefault="00C51F1A" w:rsidP="00C51F1A">
                  <w:pPr>
                    <w:pStyle w:val="TableBodyText"/>
                  </w:pPr>
                  <w:r w:rsidRPr="00C51F1A">
                    <w:t>55</w:t>
                  </w:r>
                </w:p>
              </w:tc>
              <w:tc>
                <w:tcPr>
                  <w:tcW w:w="418" w:type="pct"/>
                  <w:vAlign w:val="center"/>
                </w:tcPr>
                <w:p w:rsidR="00C51F1A" w:rsidRPr="00C51F1A" w:rsidRDefault="00C51F1A" w:rsidP="00C51F1A">
                  <w:pPr>
                    <w:pStyle w:val="TableBodyText"/>
                  </w:pPr>
                  <w:r w:rsidRPr="00C51F1A">
                    <w:t>61</w:t>
                  </w:r>
                </w:p>
              </w:tc>
              <w:tc>
                <w:tcPr>
                  <w:tcW w:w="418" w:type="pct"/>
                  <w:vAlign w:val="center"/>
                </w:tcPr>
                <w:p w:rsidR="00C51F1A" w:rsidRPr="00C51F1A" w:rsidRDefault="00C51F1A" w:rsidP="00C51F1A">
                  <w:pPr>
                    <w:pStyle w:val="TableBodyText"/>
                  </w:pPr>
                  <w:r w:rsidRPr="00C51F1A">
                    <w:t>47</w:t>
                  </w:r>
                </w:p>
              </w:tc>
              <w:tc>
                <w:tcPr>
                  <w:tcW w:w="418" w:type="pct"/>
                  <w:vAlign w:val="center"/>
                </w:tcPr>
                <w:p w:rsidR="00C51F1A" w:rsidRPr="00C51F1A" w:rsidRDefault="00C51F1A" w:rsidP="00C51F1A">
                  <w:pPr>
                    <w:pStyle w:val="TableBodyText"/>
                  </w:pPr>
                  <w:r w:rsidRPr="00C51F1A">
                    <w:t>40</w:t>
                  </w:r>
                </w:p>
              </w:tc>
              <w:tc>
                <w:tcPr>
                  <w:tcW w:w="417" w:type="pct"/>
                  <w:vAlign w:val="center"/>
                </w:tcPr>
                <w:p w:rsidR="00C51F1A" w:rsidRPr="00C51F1A" w:rsidRDefault="00C51F1A" w:rsidP="00C51F1A">
                  <w:pPr>
                    <w:pStyle w:val="TableBodyText"/>
                  </w:pPr>
                  <w:r w:rsidRPr="00C51F1A">
                    <w:t>50</w:t>
                  </w:r>
                </w:p>
              </w:tc>
              <w:tc>
                <w:tcPr>
                  <w:tcW w:w="419" w:type="pct"/>
                  <w:vAlign w:val="center"/>
                </w:tcPr>
                <w:p w:rsidR="00C51F1A" w:rsidRPr="00C51F1A" w:rsidRDefault="00C51F1A" w:rsidP="00C51F1A">
                  <w:pPr>
                    <w:pStyle w:val="TableBodyText"/>
                  </w:pPr>
                  <w:r w:rsidRPr="00C51F1A">
                    <w:t>54</w:t>
                  </w:r>
                </w:p>
              </w:tc>
            </w:tr>
            <w:tr w:rsidR="00C51F1A" w:rsidTr="00393026">
              <w:tc>
                <w:tcPr>
                  <w:tcW w:w="1156" w:type="pct"/>
                </w:tcPr>
                <w:p w:rsidR="00C51F1A" w:rsidRPr="00B76090" w:rsidRDefault="00C51F1A" w:rsidP="00A376A3">
                  <w:pPr>
                    <w:pStyle w:val="TableBodyText"/>
                    <w:jc w:val="left"/>
                    <w:rPr>
                      <w:b/>
                    </w:rPr>
                  </w:pPr>
                  <w:r w:rsidRPr="00B76090">
                    <w:rPr>
                      <w:b/>
                    </w:rPr>
                    <w:t xml:space="preserve">  Total</w:t>
                  </w:r>
                  <w:r w:rsidRPr="005A22A1">
                    <w:rPr>
                      <w:rStyle w:val="NoteLabel"/>
                    </w:rPr>
                    <w:t>d</w:t>
                  </w:r>
                </w:p>
              </w:tc>
              <w:tc>
                <w:tcPr>
                  <w:tcW w:w="500" w:type="pct"/>
                  <w:vAlign w:val="center"/>
                </w:tcPr>
                <w:p w:rsidR="00C51F1A" w:rsidRPr="00C51F1A" w:rsidRDefault="00C51F1A" w:rsidP="00C51F1A">
                  <w:pPr>
                    <w:pStyle w:val="TableBodyText"/>
                    <w:rPr>
                      <w:b/>
                    </w:rPr>
                  </w:pPr>
                  <w:r w:rsidRPr="00C51F1A">
                    <w:rPr>
                      <w:b/>
                    </w:rPr>
                    <w:t>30</w:t>
                  </w:r>
                </w:p>
              </w:tc>
              <w:tc>
                <w:tcPr>
                  <w:tcW w:w="418" w:type="pct"/>
                  <w:vAlign w:val="center"/>
                </w:tcPr>
                <w:p w:rsidR="00C51F1A" w:rsidRPr="00C51F1A" w:rsidRDefault="00C51F1A" w:rsidP="00C51F1A">
                  <w:pPr>
                    <w:pStyle w:val="TableBodyText"/>
                    <w:rPr>
                      <w:b/>
                    </w:rPr>
                  </w:pPr>
                  <w:r w:rsidRPr="00C51F1A">
                    <w:rPr>
                      <w:b/>
                    </w:rPr>
                    <w:t>38</w:t>
                  </w:r>
                </w:p>
              </w:tc>
              <w:tc>
                <w:tcPr>
                  <w:tcW w:w="417" w:type="pct"/>
                  <w:vAlign w:val="center"/>
                </w:tcPr>
                <w:p w:rsidR="00C51F1A" w:rsidRPr="00C51F1A" w:rsidRDefault="00C51F1A" w:rsidP="00C51F1A">
                  <w:pPr>
                    <w:pStyle w:val="TableBodyText"/>
                    <w:rPr>
                      <w:b/>
                    </w:rPr>
                  </w:pPr>
                  <w:r w:rsidRPr="00C51F1A">
                    <w:rPr>
                      <w:b/>
                    </w:rPr>
                    <w:t>41</w:t>
                  </w:r>
                </w:p>
              </w:tc>
              <w:tc>
                <w:tcPr>
                  <w:tcW w:w="417" w:type="pct"/>
                  <w:vAlign w:val="center"/>
                </w:tcPr>
                <w:p w:rsidR="00C51F1A" w:rsidRPr="00C51F1A" w:rsidRDefault="00C51F1A" w:rsidP="00C51F1A">
                  <w:pPr>
                    <w:pStyle w:val="TableBodyText"/>
                    <w:rPr>
                      <w:b/>
                    </w:rPr>
                  </w:pPr>
                  <w:r w:rsidRPr="00C51F1A">
                    <w:rPr>
                      <w:b/>
                    </w:rPr>
                    <w:t>46</w:t>
                  </w:r>
                </w:p>
              </w:tc>
              <w:tc>
                <w:tcPr>
                  <w:tcW w:w="418" w:type="pct"/>
                  <w:vAlign w:val="center"/>
                </w:tcPr>
                <w:p w:rsidR="00C51F1A" w:rsidRPr="00C51F1A" w:rsidRDefault="00C51F1A" w:rsidP="00C51F1A">
                  <w:pPr>
                    <w:pStyle w:val="TableBodyText"/>
                    <w:rPr>
                      <w:b/>
                    </w:rPr>
                  </w:pPr>
                  <w:r w:rsidRPr="00C51F1A">
                    <w:rPr>
                      <w:b/>
                    </w:rPr>
                    <w:t>41</w:t>
                  </w:r>
                </w:p>
              </w:tc>
              <w:tc>
                <w:tcPr>
                  <w:tcW w:w="418" w:type="pct"/>
                  <w:vAlign w:val="center"/>
                </w:tcPr>
                <w:p w:rsidR="00C51F1A" w:rsidRPr="00C51F1A" w:rsidRDefault="00C51F1A" w:rsidP="00C51F1A">
                  <w:pPr>
                    <w:pStyle w:val="TableBodyText"/>
                    <w:rPr>
                      <w:b/>
                    </w:rPr>
                  </w:pPr>
                  <w:r w:rsidRPr="00C51F1A">
                    <w:rPr>
                      <w:b/>
                    </w:rPr>
                    <w:t>25</w:t>
                  </w:r>
                </w:p>
              </w:tc>
              <w:tc>
                <w:tcPr>
                  <w:tcW w:w="418" w:type="pct"/>
                  <w:vAlign w:val="center"/>
                </w:tcPr>
                <w:p w:rsidR="00C51F1A" w:rsidRPr="00C51F1A" w:rsidRDefault="00C51F1A" w:rsidP="00C51F1A">
                  <w:pPr>
                    <w:pStyle w:val="TableBodyText"/>
                    <w:rPr>
                      <w:b/>
                    </w:rPr>
                  </w:pPr>
                  <w:r w:rsidRPr="00C51F1A">
                    <w:rPr>
                      <w:b/>
                    </w:rPr>
                    <w:t>29</w:t>
                  </w:r>
                </w:p>
              </w:tc>
              <w:tc>
                <w:tcPr>
                  <w:tcW w:w="417" w:type="pct"/>
                  <w:vAlign w:val="center"/>
                </w:tcPr>
                <w:p w:rsidR="00C51F1A" w:rsidRPr="00C51F1A" w:rsidRDefault="00C51F1A" w:rsidP="00C51F1A">
                  <w:pPr>
                    <w:pStyle w:val="TableBodyText"/>
                    <w:rPr>
                      <w:b/>
                    </w:rPr>
                  </w:pPr>
                  <w:r w:rsidRPr="00C51F1A">
                    <w:rPr>
                      <w:b/>
                    </w:rPr>
                    <w:t>24</w:t>
                  </w:r>
                </w:p>
              </w:tc>
              <w:tc>
                <w:tcPr>
                  <w:tcW w:w="419" w:type="pct"/>
                  <w:vAlign w:val="center"/>
                </w:tcPr>
                <w:p w:rsidR="00C51F1A" w:rsidRPr="00C51F1A" w:rsidRDefault="00C51F1A" w:rsidP="00C51F1A">
                  <w:pPr>
                    <w:pStyle w:val="TableBodyText"/>
                    <w:rPr>
                      <w:b/>
                    </w:rPr>
                  </w:pPr>
                  <w:r w:rsidRPr="00C51F1A">
                    <w:rPr>
                      <w:b/>
                    </w:rPr>
                    <w:t>36</w:t>
                  </w:r>
                </w:p>
              </w:tc>
            </w:tr>
            <w:tr w:rsidR="00C51F1A" w:rsidTr="0083330D">
              <w:tc>
                <w:tcPr>
                  <w:tcW w:w="1156" w:type="pct"/>
                  <w:shd w:val="clear" w:color="auto" w:fill="auto"/>
                </w:tcPr>
                <w:p w:rsidR="00C51F1A" w:rsidRDefault="00C51F1A" w:rsidP="00604654">
                  <w:pPr>
                    <w:pStyle w:val="TableBodyText"/>
                    <w:jc w:val="left"/>
                  </w:pPr>
                  <w:r>
                    <w:t>2013-14</w:t>
                  </w:r>
                </w:p>
              </w:tc>
              <w:tc>
                <w:tcPr>
                  <w:tcW w:w="500" w:type="pct"/>
                  <w:shd w:val="clear" w:color="auto" w:fill="auto"/>
                </w:tcPr>
                <w:p w:rsidR="00C51F1A" w:rsidRDefault="00C51F1A" w:rsidP="00604654">
                  <w:pPr>
                    <w:pStyle w:val="TableBodyText"/>
                  </w:pPr>
                </w:p>
              </w:tc>
              <w:tc>
                <w:tcPr>
                  <w:tcW w:w="418" w:type="pct"/>
                  <w:shd w:val="clear" w:color="auto" w:fill="auto"/>
                </w:tcPr>
                <w:p w:rsidR="00C51F1A" w:rsidRDefault="00C51F1A" w:rsidP="00604654">
                  <w:pPr>
                    <w:pStyle w:val="TableBodyText"/>
                  </w:pPr>
                </w:p>
              </w:tc>
              <w:tc>
                <w:tcPr>
                  <w:tcW w:w="417" w:type="pct"/>
                  <w:shd w:val="clear" w:color="auto" w:fill="auto"/>
                </w:tcPr>
                <w:p w:rsidR="00C51F1A" w:rsidRDefault="00C51F1A" w:rsidP="00604654">
                  <w:pPr>
                    <w:pStyle w:val="TableBodyText"/>
                  </w:pPr>
                </w:p>
              </w:tc>
              <w:tc>
                <w:tcPr>
                  <w:tcW w:w="417" w:type="pct"/>
                  <w:shd w:val="clear" w:color="auto" w:fill="auto"/>
                </w:tcPr>
                <w:p w:rsidR="00C51F1A" w:rsidRDefault="00C51F1A" w:rsidP="00604654">
                  <w:pPr>
                    <w:pStyle w:val="TableBodyText"/>
                  </w:pPr>
                </w:p>
              </w:tc>
              <w:tc>
                <w:tcPr>
                  <w:tcW w:w="418" w:type="pct"/>
                  <w:shd w:val="clear" w:color="auto" w:fill="auto"/>
                </w:tcPr>
                <w:p w:rsidR="00C51F1A" w:rsidRDefault="00C51F1A" w:rsidP="00604654">
                  <w:pPr>
                    <w:pStyle w:val="TableBodyText"/>
                  </w:pPr>
                </w:p>
              </w:tc>
              <w:tc>
                <w:tcPr>
                  <w:tcW w:w="418" w:type="pct"/>
                  <w:shd w:val="clear" w:color="auto" w:fill="auto"/>
                </w:tcPr>
                <w:p w:rsidR="00C51F1A" w:rsidRDefault="00C51F1A" w:rsidP="00604654">
                  <w:pPr>
                    <w:pStyle w:val="TableBodyText"/>
                  </w:pPr>
                </w:p>
              </w:tc>
              <w:tc>
                <w:tcPr>
                  <w:tcW w:w="418" w:type="pct"/>
                  <w:shd w:val="clear" w:color="auto" w:fill="auto"/>
                </w:tcPr>
                <w:p w:rsidR="00C51F1A" w:rsidRDefault="00C51F1A" w:rsidP="00604654">
                  <w:pPr>
                    <w:pStyle w:val="TableBodyText"/>
                  </w:pPr>
                </w:p>
              </w:tc>
              <w:tc>
                <w:tcPr>
                  <w:tcW w:w="417" w:type="pct"/>
                  <w:shd w:val="clear" w:color="auto" w:fill="auto"/>
                </w:tcPr>
                <w:p w:rsidR="00C51F1A" w:rsidRDefault="00C51F1A" w:rsidP="00604654">
                  <w:pPr>
                    <w:pStyle w:val="TableBodyText"/>
                  </w:pPr>
                </w:p>
              </w:tc>
              <w:tc>
                <w:tcPr>
                  <w:tcW w:w="419" w:type="pct"/>
                  <w:shd w:val="clear" w:color="auto" w:fill="auto"/>
                </w:tcPr>
                <w:p w:rsidR="00C51F1A" w:rsidRDefault="00C51F1A" w:rsidP="00604654">
                  <w:pPr>
                    <w:pStyle w:val="TableBodyText"/>
                    <w:ind w:right="28"/>
                  </w:pPr>
                </w:p>
              </w:tc>
            </w:tr>
            <w:tr w:rsidR="00447053" w:rsidTr="0083330D">
              <w:tc>
                <w:tcPr>
                  <w:tcW w:w="1156" w:type="pct"/>
                  <w:shd w:val="clear" w:color="auto" w:fill="auto"/>
                </w:tcPr>
                <w:p w:rsidR="00447053" w:rsidRDefault="00447053" w:rsidP="00A376A3">
                  <w:pPr>
                    <w:pStyle w:val="TableBodyText"/>
                    <w:jc w:val="left"/>
                  </w:pPr>
                  <w:r>
                    <w:t xml:space="preserve">  1 — Resuscitation</w:t>
                  </w:r>
                </w:p>
              </w:tc>
              <w:tc>
                <w:tcPr>
                  <w:tcW w:w="500" w:type="pct"/>
                  <w:shd w:val="clear" w:color="auto" w:fill="auto"/>
                  <w:vAlign w:val="center"/>
                </w:tcPr>
                <w:p w:rsidR="00447053" w:rsidRPr="00447053" w:rsidRDefault="00447053" w:rsidP="00447053">
                  <w:pPr>
                    <w:pStyle w:val="TableBodyText"/>
                  </w:pPr>
                  <w:r w:rsidRPr="00447053">
                    <w:t>51</w:t>
                  </w:r>
                </w:p>
              </w:tc>
              <w:tc>
                <w:tcPr>
                  <w:tcW w:w="418" w:type="pct"/>
                  <w:shd w:val="clear" w:color="auto" w:fill="auto"/>
                  <w:vAlign w:val="center"/>
                </w:tcPr>
                <w:p w:rsidR="00447053" w:rsidRPr="00447053" w:rsidRDefault="00447053" w:rsidP="00447053">
                  <w:pPr>
                    <w:pStyle w:val="TableBodyText"/>
                  </w:pPr>
                  <w:r w:rsidRPr="00447053">
                    <w:t>57</w:t>
                  </w:r>
                </w:p>
              </w:tc>
              <w:tc>
                <w:tcPr>
                  <w:tcW w:w="417" w:type="pct"/>
                  <w:shd w:val="clear" w:color="auto" w:fill="auto"/>
                  <w:vAlign w:val="center"/>
                </w:tcPr>
                <w:p w:rsidR="00447053" w:rsidRPr="00447053" w:rsidRDefault="00447053" w:rsidP="00447053">
                  <w:pPr>
                    <w:pStyle w:val="TableBodyText"/>
                  </w:pPr>
                  <w:r w:rsidRPr="00447053">
                    <w:t>59</w:t>
                  </w:r>
                </w:p>
              </w:tc>
              <w:tc>
                <w:tcPr>
                  <w:tcW w:w="417" w:type="pct"/>
                  <w:shd w:val="clear" w:color="auto" w:fill="auto"/>
                  <w:vAlign w:val="center"/>
                </w:tcPr>
                <w:p w:rsidR="00447053" w:rsidRPr="00447053" w:rsidRDefault="00447053" w:rsidP="00447053">
                  <w:pPr>
                    <w:pStyle w:val="TableBodyText"/>
                  </w:pPr>
                  <w:r w:rsidRPr="00447053">
                    <w:t>66</w:t>
                  </w:r>
                </w:p>
              </w:tc>
              <w:tc>
                <w:tcPr>
                  <w:tcW w:w="418" w:type="pct"/>
                  <w:shd w:val="clear" w:color="auto" w:fill="auto"/>
                  <w:vAlign w:val="center"/>
                </w:tcPr>
                <w:p w:rsidR="00447053" w:rsidRPr="00447053" w:rsidRDefault="00447053" w:rsidP="00447053">
                  <w:pPr>
                    <w:pStyle w:val="TableBodyText"/>
                  </w:pPr>
                  <w:r w:rsidRPr="00447053">
                    <w:t>54</w:t>
                  </w:r>
                </w:p>
              </w:tc>
              <w:tc>
                <w:tcPr>
                  <w:tcW w:w="418" w:type="pct"/>
                  <w:shd w:val="clear" w:color="auto" w:fill="auto"/>
                  <w:vAlign w:val="center"/>
                </w:tcPr>
                <w:p w:rsidR="00447053" w:rsidRPr="00447053" w:rsidRDefault="00447053" w:rsidP="00447053">
                  <w:pPr>
                    <w:pStyle w:val="TableBodyText"/>
                  </w:pPr>
                  <w:r w:rsidRPr="00447053">
                    <w:t>58</w:t>
                  </w:r>
                </w:p>
              </w:tc>
              <w:tc>
                <w:tcPr>
                  <w:tcW w:w="418" w:type="pct"/>
                  <w:shd w:val="clear" w:color="auto" w:fill="auto"/>
                  <w:vAlign w:val="center"/>
                </w:tcPr>
                <w:p w:rsidR="00447053" w:rsidRPr="00447053" w:rsidRDefault="00447053" w:rsidP="00447053">
                  <w:pPr>
                    <w:pStyle w:val="TableBodyText"/>
                  </w:pPr>
                  <w:r w:rsidRPr="00447053">
                    <w:t>63</w:t>
                  </w:r>
                </w:p>
              </w:tc>
              <w:tc>
                <w:tcPr>
                  <w:tcW w:w="417" w:type="pct"/>
                  <w:shd w:val="clear" w:color="auto" w:fill="auto"/>
                  <w:vAlign w:val="center"/>
                </w:tcPr>
                <w:p w:rsidR="00447053" w:rsidRPr="00447053" w:rsidRDefault="00447053" w:rsidP="00447053">
                  <w:pPr>
                    <w:pStyle w:val="TableBodyText"/>
                  </w:pPr>
                  <w:r w:rsidRPr="00447053">
                    <w:t>46</w:t>
                  </w:r>
                </w:p>
              </w:tc>
              <w:tc>
                <w:tcPr>
                  <w:tcW w:w="419" w:type="pct"/>
                  <w:shd w:val="clear" w:color="auto" w:fill="auto"/>
                  <w:vAlign w:val="center"/>
                </w:tcPr>
                <w:p w:rsidR="00447053" w:rsidRPr="00447053" w:rsidRDefault="00447053" w:rsidP="00447053">
                  <w:pPr>
                    <w:pStyle w:val="TableBodyText"/>
                  </w:pPr>
                  <w:r w:rsidRPr="00447053">
                    <w:t>56</w:t>
                  </w:r>
                </w:p>
              </w:tc>
            </w:tr>
            <w:tr w:rsidR="00447053" w:rsidTr="0083330D">
              <w:tc>
                <w:tcPr>
                  <w:tcW w:w="1156" w:type="pct"/>
                  <w:shd w:val="clear" w:color="auto" w:fill="auto"/>
                </w:tcPr>
                <w:p w:rsidR="00447053" w:rsidRDefault="00447053" w:rsidP="00A376A3">
                  <w:pPr>
                    <w:pStyle w:val="TableBodyText"/>
                    <w:jc w:val="left"/>
                  </w:pPr>
                  <w:r>
                    <w:t xml:space="preserve">  2 — Emergency</w:t>
                  </w:r>
                </w:p>
              </w:tc>
              <w:tc>
                <w:tcPr>
                  <w:tcW w:w="500" w:type="pct"/>
                  <w:shd w:val="clear" w:color="auto" w:fill="auto"/>
                  <w:vAlign w:val="center"/>
                </w:tcPr>
                <w:p w:rsidR="00447053" w:rsidRPr="00447053" w:rsidRDefault="00447053" w:rsidP="00447053">
                  <w:pPr>
                    <w:pStyle w:val="TableBodyText"/>
                  </w:pPr>
                  <w:r w:rsidRPr="00447053">
                    <w:t>43</w:t>
                  </w:r>
                </w:p>
              </w:tc>
              <w:tc>
                <w:tcPr>
                  <w:tcW w:w="418" w:type="pct"/>
                  <w:shd w:val="clear" w:color="auto" w:fill="auto"/>
                  <w:vAlign w:val="center"/>
                </w:tcPr>
                <w:p w:rsidR="00447053" w:rsidRPr="00447053" w:rsidRDefault="00447053" w:rsidP="00447053">
                  <w:pPr>
                    <w:pStyle w:val="TableBodyText"/>
                  </w:pPr>
                  <w:r w:rsidRPr="00447053">
                    <w:t>49</w:t>
                  </w:r>
                </w:p>
              </w:tc>
              <w:tc>
                <w:tcPr>
                  <w:tcW w:w="417" w:type="pct"/>
                  <w:shd w:val="clear" w:color="auto" w:fill="auto"/>
                  <w:vAlign w:val="center"/>
                </w:tcPr>
                <w:p w:rsidR="00447053" w:rsidRPr="00447053" w:rsidRDefault="00447053" w:rsidP="00447053">
                  <w:pPr>
                    <w:pStyle w:val="TableBodyText"/>
                  </w:pPr>
                  <w:r w:rsidRPr="00447053">
                    <w:t>53</w:t>
                  </w:r>
                </w:p>
              </w:tc>
              <w:tc>
                <w:tcPr>
                  <w:tcW w:w="417" w:type="pct"/>
                  <w:shd w:val="clear" w:color="auto" w:fill="auto"/>
                  <w:vAlign w:val="center"/>
                </w:tcPr>
                <w:p w:rsidR="00447053" w:rsidRPr="00447053" w:rsidRDefault="00447053" w:rsidP="00447053">
                  <w:pPr>
                    <w:pStyle w:val="TableBodyText"/>
                  </w:pPr>
                  <w:r w:rsidRPr="00447053">
                    <w:t>58</w:t>
                  </w:r>
                </w:p>
              </w:tc>
              <w:tc>
                <w:tcPr>
                  <w:tcW w:w="418" w:type="pct"/>
                  <w:shd w:val="clear" w:color="auto" w:fill="auto"/>
                  <w:vAlign w:val="center"/>
                </w:tcPr>
                <w:p w:rsidR="00447053" w:rsidRPr="00447053" w:rsidRDefault="00447053" w:rsidP="00447053">
                  <w:pPr>
                    <w:pStyle w:val="TableBodyText"/>
                  </w:pPr>
                  <w:r w:rsidRPr="00447053">
                    <w:t>37</w:t>
                  </w:r>
                </w:p>
              </w:tc>
              <w:tc>
                <w:tcPr>
                  <w:tcW w:w="418" w:type="pct"/>
                  <w:shd w:val="clear" w:color="auto" w:fill="auto"/>
                  <w:vAlign w:val="center"/>
                </w:tcPr>
                <w:p w:rsidR="00447053" w:rsidRPr="00447053" w:rsidRDefault="00447053" w:rsidP="00447053">
                  <w:pPr>
                    <w:pStyle w:val="TableBodyText"/>
                  </w:pPr>
                  <w:r w:rsidRPr="00447053">
                    <w:t>33</w:t>
                  </w:r>
                </w:p>
              </w:tc>
              <w:tc>
                <w:tcPr>
                  <w:tcW w:w="418" w:type="pct"/>
                  <w:shd w:val="clear" w:color="auto" w:fill="auto"/>
                  <w:vAlign w:val="center"/>
                </w:tcPr>
                <w:p w:rsidR="00447053" w:rsidRPr="00447053" w:rsidRDefault="00447053" w:rsidP="00447053">
                  <w:pPr>
                    <w:pStyle w:val="TableBodyText"/>
                  </w:pPr>
                  <w:r w:rsidRPr="00447053">
                    <w:t>45</w:t>
                  </w:r>
                </w:p>
              </w:tc>
              <w:tc>
                <w:tcPr>
                  <w:tcW w:w="417" w:type="pct"/>
                  <w:shd w:val="clear" w:color="auto" w:fill="auto"/>
                  <w:vAlign w:val="center"/>
                </w:tcPr>
                <w:p w:rsidR="00447053" w:rsidRPr="00447053" w:rsidRDefault="00447053" w:rsidP="00447053">
                  <w:pPr>
                    <w:pStyle w:val="TableBodyText"/>
                  </w:pPr>
                  <w:r w:rsidRPr="00447053">
                    <w:t>21</w:t>
                  </w:r>
                </w:p>
              </w:tc>
              <w:tc>
                <w:tcPr>
                  <w:tcW w:w="419" w:type="pct"/>
                  <w:shd w:val="clear" w:color="auto" w:fill="auto"/>
                  <w:vAlign w:val="center"/>
                </w:tcPr>
                <w:p w:rsidR="00447053" w:rsidRPr="00447053" w:rsidRDefault="00447053" w:rsidP="00447053">
                  <w:pPr>
                    <w:pStyle w:val="TableBodyText"/>
                  </w:pPr>
                  <w:r w:rsidRPr="00447053">
                    <w:t>47</w:t>
                  </w:r>
                </w:p>
              </w:tc>
            </w:tr>
            <w:tr w:rsidR="00447053" w:rsidTr="0083330D">
              <w:tc>
                <w:tcPr>
                  <w:tcW w:w="1156" w:type="pct"/>
                  <w:shd w:val="clear" w:color="auto" w:fill="auto"/>
                </w:tcPr>
                <w:p w:rsidR="00447053" w:rsidRDefault="00447053" w:rsidP="00A376A3">
                  <w:pPr>
                    <w:pStyle w:val="TableBodyText"/>
                    <w:jc w:val="left"/>
                  </w:pPr>
                  <w:r>
                    <w:t xml:space="preserve">  3 — Urgent</w:t>
                  </w:r>
                </w:p>
              </w:tc>
              <w:tc>
                <w:tcPr>
                  <w:tcW w:w="500" w:type="pct"/>
                  <w:shd w:val="clear" w:color="auto" w:fill="auto"/>
                  <w:vAlign w:val="center"/>
                </w:tcPr>
                <w:p w:rsidR="00447053" w:rsidRPr="00447053" w:rsidRDefault="00447053" w:rsidP="00447053">
                  <w:pPr>
                    <w:pStyle w:val="TableBodyText"/>
                  </w:pPr>
                  <w:r w:rsidRPr="00447053">
                    <w:t>40</w:t>
                  </w:r>
                </w:p>
              </w:tc>
              <w:tc>
                <w:tcPr>
                  <w:tcW w:w="418" w:type="pct"/>
                  <w:shd w:val="clear" w:color="auto" w:fill="auto"/>
                  <w:vAlign w:val="center"/>
                </w:tcPr>
                <w:p w:rsidR="00447053" w:rsidRPr="00447053" w:rsidRDefault="00447053" w:rsidP="00447053">
                  <w:pPr>
                    <w:pStyle w:val="TableBodyText"/>
                  </w:pPr>
                  <w:r w:rsidRPr="00447053">
                    <w:t>44</w:t>
                  </w:r>
                </w:p>
              </w:tc>
              <w:tc>
                <w:tcPr>
                  <w:tcW w:w="417" w:type="pct"/>
                  <w:shd w:val="clear" w:color="auto" w:fill="auto"/>
                  <w:vAlign w:val="center"/>
                </w:tcPr>
                <w:p w:rsidR="00447053" w:rsidRPr="00447053" w:rsidRDefault="00447053" w:rsidP="00447053">
                  <w:pPr>
                    <w:pStyle w:val="TableBodyText"/>
                  </w:pPr>
                  <w:r w:rsidRPr="00447053">
                    <w:t>51</w:t>
                  </w:r>
                </w:p>
              </w:tc>
              <w:tc>
                <w:tcPr>
                  <w:tcW w:w="417" w:type="pct"/>
                  <w:shd w:val="clear" w:color="auto" w:fill="auto"/>
                  <w:vAlign w:val="center"/>
                </w:tcPr>
                <w:p w:rsidR="00447053" w:rsidRPr="00447053" w:rsidRDefault="00447053" w:rsidP="00447053">
                  <w:pPr>
                    <w:pStyle w:val="TableBodyText"/>
                  </w:pPr>
                  <w:r w:rsidRPr="00447053">
                    <w:t>51</w:t>
                  </w:r>
                </w:p>
              </w:tc>
              <w:tc>
                <w:tcPr>
                  <w:tcW w:w="418" w:type="pct"/>
                  <w:shd w:val="clear" w:color="auto" w:fill="auto"/>
                  <w:vAlign w:val="center"/>
                </w:tcPr>
                <w:p w:rsidR="00447053" w:rsidRPr="00447053" w:rsidRDefault="00447053" w:rsidP="00447053">
                  <w:pPr>
                    <w:pStyle w:val="TableBodyText"/>
                  </w:pPr>
                  <w:r w:rsidRPr="00447053">
                    <w:t>35</w:t>
                  </w:r>
                </w:p>
              </w:tc>
              <w:tc>
                <w:tcPr>
                  <w:tcW w:w="418" w:type="pct"/>
                  <w:shd w:val="clear" w:color="auto" w:fill="auto"/>
                  <w:vAlign w:val="center"/>
                </w:tcPr>
                <w:p w:rsidR="00447053" w:rsidRPr="00447053" w:rsidRDefault="00447053" w:rsidP="00447053">
                  <w:pPr>
                    <w:pStyle w:val="TableBodyText"/>
                  </w:pPr>
                  <w:r w:rsidRPr="00447053">
                    <w:t>25</w:t>
                  </w:r>
                </w:p>
              </w:tc>
              <w:tc>
                <w:tcPr>
                  <w:tcW w:w="418" w:type="pct"/>
                  <w:shd w:val="clear" w:color="auto" w:fill="auto"/>
                  <w:vAlign w:val="center"/>
                </w:tcPr>
                <w:p w:rsidR="00447053" w:rsidRPr="00447053" w:rsidRDefault="00447053" w:rsidP="00447053">
                  <w:pPr>
                    <w:pStyle w:val="TableBodyText"/>
                  </w:pPr>
                  <w:r w:rsidRPr="00447053">
                    <w:t>29</w:t>
                  </w:r>
                </w:p>
              </w:tc>
              <w:tc>
                <w:tcPr>
                  <w:tcW w:w="417" w:type="pct"/>
                  <w:shd w:val="clear" w:color="auto" w:fill="auto"/>
                  <w:vAlign w:val="center"/>
                </w:tcPr>
                <w:p w:rsidR="00447053" w:rsidRPr="00447053" w:rsidRDefault="00447053" w:rsidP="00447053">
                  <w:pPr>
                    <w:pStyle w:val="TableBodyText"/>
                  </w:pPr>
                  <w:r w:rsidRPr="00447053">
                    <w:t>21</w:t>
                  </w:r>
                </w:p>
              </w:tc>
              <w:tc>
                <w:tcPr>
                  <w:tcW w:w="419" w:type="pct"/>
                  <w:shd w:val="clear" w:color="auto" w:fill="auto"/>
                  <w:vAlign w:val="center"/>
                </w:tcPr>
                <w:p w:rsidR="00447053" w:rsidRPr="00447053" w:rsidRDefault="00447053" w:rsidP="00447053">
                  <w:pPr>
                    <w:pStyle w:val="TableBodyText"/>
                  </w:pPr>
                  <w:r w:rsidRPr="00447053">
                    <w:t>43</w:t>
                  </w:r>
                </w:p>
              </w:tc>
            </w:tr>
            <w:tr w:rsidR="00447053" w:rsidTr="0083330D">
              <w:tc>
                <w:tcPr>
                  <w:tcW w:w="1156" w:type="pct"/>
                  <w:shd w:val="clear" w:color="auto" w:fill="auto"/>
                </w:tcPr>
                <w:p w:rsidR="00447053" w:rsidRDefault="00447053" w:rsidP="00A376A3">
                  <w:pPr>
                    <w:pStyle w:val="TableBodyText"/>
                    <w:jc w:val="left"/>
                  </w:pPr>
                  <w:r>
                    <w:t xml:space="preserve">  4 — Semi-urgent</w:t>
                  </w:r>
                </w:p>
              </w:tc>
              <w:tc>
                <w:tcPr>
                  <w:tcW w:w="500" w:type="pct"/>
                  <w:shd w:val="clear" w:color="auto" w:fill="auto"/>
                  <w:vAlign w:val="center"/>
                </w:tcPr>
                <w:p w:rsidR="00447053" w:rsidRPr="00447053" w:rsidRDefault="00447053" w:rsidP="00447053">
                  <w:pPr>
                    <w:pStyle w:val="TableBodyText"/>
                  </w:pPr>
                  <w:r w:rsidRPr="00447053">
                    <w:t>44</w:t>
                  </w:r>
                </w:p>
              </w:tc>
              <w:tc>
                <w:tcPr>
                  <w:tcW w:w="418" w:type="pct"/>
                  <w:shd w:val="clear" w:color="auto" w:fill="auto"/>
                  <w:vAlign w:val="center"/>
                </w:tcPr>
                <w:p w:rsidR="00447053" w:rsidRPr="00447053" w:rsidRDefault="00447053" w:rsidP="00447053">
                  <w:pPr>
                    <w:pStyle w:val="TableBodyText"/>
                  </w:pPr>
                  <w:r w:rsidRPr="00447053">
                    <w:t>45</w:t>
                  </w:r>
                </w:p>
              </w:tc>
              <w:tc>
                <w:tcPr>
                  <w:tcW w:w="417" w:type="pct"/>
                  <w:shd w:val="clear" w:color="auto" w:fill="auto"/>
                  <w:vAlign w:val="center"/>
                </w:tcPr>
                <w:p w:rsidR="00447053" w:rsidRPr="00447053" w:rsidRDefault="00447053" w:rsidP="00447053">
                  <w:pPr>
                    <w:pStyle w:val="TableBodyText"/>
                  </w:pPr>
                  <w:r w:rsidRPr="00447053">
                    <w:t>57</w:t>
                  </w:r>
                </w:p>
              </w:tc>
              <w:tc>
                <w:tcPr>
                  <w:tcW w:w="417" w:type="pct"/>
                  <w:shd w:val="clear" w:color="auto" w:fill="auto"/>
                  <w:vAlign w:val="center"/>
                </w:tcPr>
                <w:p w:rsidR="00447053" w:rsidRPr="00447053" w:rsidRDefault="00447053" w:rsidP="00447053">
                  <w:pPr>
                    <w:pStyle w:val="TableBodyText"/>
                  </w:pPr>
                  <w:r w:rsidRPr="00447053">
                    <w:t>52</w:t>
                  </w:r>
                </w:p>
              </w:tc>
              <w:tc>
                <w:tcPr>
                  <w:tcW w:w="418" w:type="pct"/>
                  <w:shd w:val="clear" w:color="auto" w:fill="auto"/>
                  <w:vAlign w:val="center"/>
                </w:tcPr>
                <w:p w:rsidR="00447053" w:rsidRPr="00447053" w:rsidRDefault="00447053" w:rsidP="00447053">
                  <w:pPr>
                    <w:pStyle w:val="TableBodyText"/>
                  </w:pPr>
                  <w:r w:rsidRPr="00447053">
                    <w:t>42</w:t>
                  </w:r>
                </w:p>
              </w:tc>
              <w:tc>
                <w:tcPr>
                  <w:tcW w:w="418" w:type="pct"/>
                  <w:shd w:val="clear" w:color="auto" w:fill="auto"/>
                  <w:vAlign w:val="center"/>
                </w:tcPr>
                <w:p w:rsidR="00447053" w:rsidRPr="00447053" w:rsidRDefault="00447053" w:rsidP="00447053">
                  <w:pPr>
                    <w:pStyle w:val="TableBodyText"/>
                  </w:pPr>
                  <w:r w:rsidRPr="00447053">
                    <w:t>28</w:t>
                  </w:r>
                </w:p>
              </w:tc>
              <w:tc>
                <w:tcPr>
                  <w:tcW w:w="418" w:type="pct"/>
                  <w:shd w:val="clear" w:color="auto" w:fill="auto"/>
                  <w:vAlign w:val="center"/>
                </w:tcPr>
                <w:p w:rsidR="00447053" w:rsidRPr="00447053" w:rsidRDefault="00447053" w:rsidP="00447053">
                  <w:pPr>
                    <w:pStyle w:val="TableBodyText"/>
                  </w:pPr>
                  <w:r w:rsidRPr="00447053">
                    <w:t>33</w:t>
                  </w:r>
                </w:p>
              </w:tc>
              <w:tc>
                <w:tcPr>
                  <w:tcW w:w="417" w:type="pct"/>
                  <w:shd w:val="clear" w:color="auto" w:fill="auto"/>
                  <w:vAlign w:val="center"/>
                </w:tcPr>
                <w:p w:rsidR="00447053" w:rsidRPr="00447053" w:rsidRDefault="00447053" w:rsidP="00447053">
                  <w:pPr>
                    <w:pStyle w:val="TableBodyText"/>
                  </w:pPr>
                  <w:r w:rsidRPr="00447053">
                    <w:t>22</w:t>
                  </w:r>
                </w:p>
              </w:tc>
              <w:tc>
                <w:tcPr>
                  <w:tcW w:w="419" w:type="pct"/>
                  <w:shd w:val="clear" w:color="auto" w:fill="auto"/>
                  <w:vAlign w:val="center"/>
                </w:tcPr>
                <w:p w:rsidR="00447053" w:rsidRPr="00447053" w:rsidRDefault="00447053" w:rsidP="00447053">
                  <w:pPr>
                    <w:pStyle w:val="TableBodyText"/>
                  </w:pPr>
                  <w:r w:rsidRPr="00447053">
                    <w:t>46</w:t>
                  </w:r>
                </w:p>
              </w:tc>
            </w:tr>
            <w:tr w:rsidR="00447053" w:rsidTr="0083330D">
              <w:tc>
                <w:tcPr>
                  <w:tcW w:w="1156" w:type="pct"/>
                  <w:shd w:val="clear" w:color="auto" w:fill="auto"/>
                </w:tcPr>
                <w:p w:rsidR="00447053" w:rsidRDefault="00447053" w:rsidP="00A376A3">
                  <w:pPr>
                    <w:pStyle w:val="TableBodyText"/>
                    <w:jc w:val="left"/>
                  </w:pPr>
                  <w:r>
                    <w:t xml:space="preserve">  5 — Non-urgent</w:t>
                  </w:r>
                </w:p>
              </w:tc>
              <w:tc>
                <w:tcPr>
                  <w:tcW w:w="500" w:type="pct"/>
                  <w:shd w:val="clear" w:color="auto" w:fill="auto"/>
                  <w:vAlign w:val="center"/>
                </w:tcPr>
                <w:p w:rsidR="00447053" w:rsidRPr="00447053" w:rsidRDefault="00447053" w:rsidP="00447053">
                  <w:pPr>
                    <w:pStyle w:val="TableBodyText"/>
                  </w:pPr>
                  <w:r w:rsidRPr="00447053">
                    <w:t>65</w:t>
                  </w:r>
                </w:p>
              </w:tc>
              <w:tc>
                <w:tcPr>
                  <w:tcW w:w="418" w:type="pct"/>
                  <w:shd w:val="clear" w:color="auto" w:fill="auto"/>
                  <w:vAlign w:val="center"/>
                </w:tcPr>
                <w:p w:rsidR="00447053" w:rsidRPr="00447053" w:rsidRDefault="00447053" w:rsidP="00447053">
                  <w:pPr>
                    <w:pStyle w:val="TableBodyText"/>
                  </w:pPr>
                  <w:r w:rsidRPr="00447053">
                    <w:t>60</w:t>
                  </w:r>
                </w:p>
              </w:tc>
              <w:tc>
                <w:tcPr>
                  <w:tcW w:w="417" w:type="pct"/>
                  <w:shd w:val="clear" w:color="auto" w:fill="auto"/>
                  <w:vAlign w:val="center"/>
                </w:tcPr>
                <w:p w:rsidR="00447053" w:rsidRPr="00447053" w:rsidRDefault="00447053" w:rsidP="00447053">
                  <w:pPr>
                    <w:pStyle w:val="TableBodyText"/>
                  </w:pPr>
                  <w:r w:rsidRPr="00447053">
                    <w:t>68</w:t>
                  </w:r>
                </w:p>
              </w:tc>
              <w:tc>
                <w:tcPr>
                  <w:tcW w:w="417" w:type="pct"/>
                  <w:shd w:val="clear" w:color="auto" w:fill="auto"/>
                  <w:vAlign w:val="center"/>
                </w:tcPr>
                <w:p w:rsidR="00447053" w:rsidRPr="00447053" w:rsidRDefault="00447053" w:rsidP="00447053">
                  <w:pPr>
                    <w:pStyle w:val="TableBodyText"/>
                  </w:pPr>
                  <w:r w:rsidRPr="00447053">
                    <w:t>60</w:t>
                  </w:r>
                </w:p>
              </w:tc>
              <w:tc>
                <w:tcPr>
                  <w:tcW w:w="418" w:type="pct"/>
                  <w:shd w:val="clear" w:color="auto" w:fill="auto"/>
                  <w:vAlign w:val="center"/>
                </w:tcPr>
                <w:p w:rsidR="00447053" w:rsidRPr="00447053" w:rsidRDefault="00447053" w:rsidP="00447053">
                  <w:pPr>
                    <w:pStyle w:val="TableBodyText"/>
                  </w:pPr>
                  <w:r w:rsidRPr="00447053">
                    <w:t>59</w:t>
                  </w:r>
                </w:p>
              </w:tc>
              <w:tc>
                <w:tcPr>
                  <w:tcW w:w="418" w:type="pct"/>
                  <w:shd w:val="clear" w:color="auto" w:fill="auto"/>
                  <w:vAlign w:val="center"/>
                </w:tcPr>
                <w:p w:rsidR="00447053" w:rsidRPr="00447053" w:rsidRDefault="00447053" w:rsidP="00447053">
                  <w:pPr>
                    <w:pStyle w:val="TableBodyText"/>
                  </w:pPr>
                  <w:r w:rsidRPr="00447053">
                    <w:t>44</w:t>
                  </w:r>
                </w:p>
              </w:tc>
              <w:tc>
                <w:tcPr>
                  <w:tcW w:w="418" w:type="pct"/>
                  <w:shd w:val="clear" w:color="auto" w:fill="auto"/>
                  <w:vAlign w:val="center"/>
                </w:tcPr>
                <w:p w:rsidR="00447053" w:rsidRPr="00447053" w:rsidRDefault="00447053" w:rsidP="00447053">
                  <w:pPr>
                    <w:pStyle w:val="TableBodyText"/>
                  </w:pPr>
                  <w:r w:rsidRPr="00447053">
                    <w:t>45</w:t>
                  </w:r>
                </w:p>
              </w:tc>
              <w:tc>
                <w:tcPr>
                  <w:tcW w:w="417" w:type="pct"/>
                  <w:shd w:val="clear" w:color="auto" w:fill="auto"/>
                  <w:vAlign w:val="center"/>
                </w:tcPr>
                <w:p w:rsidR="00447053" w:rsidRPr="00447053" w:rsidRDefault="00447053" w:rsidP="00447053">
                  <w:pPr>
                    <w:pStyle w:val="TableBodyText"/>
                  </w:pPr>
                  <w:r w:rsidRPr="00447053">
                    <w:t>50</w:t>
                  </w:r>
                </w:p>
              </w:tc>
              <w:tc>
                <w:tcPr>
                  <w:tcW w:w="419" w:type="pct"/>
                  <w:shd w:val="clear" w:color="auto" w:fill="auto"/>
                  <w:vAlign w:val="center"/>
                </w:tcPr>
                <w:p w:rsidR="00447053" w:rsidRPr="00447053" w:rsidRDefault="00447053" w:rsidP="00447053">
                  <w:pPr>
                    <w:pStyle w:val="TableBodyText"/>
                  </w:pPr>
                  <w:r w:rsidRPr="00447053">
                    <w:t>62</w:t>
                  </w:r>
                </w:p>
              </w:tc>
            </w:tr>
            <w:tr w:rsidR="00447053" w:rsidTr="0083330D">
              <w:tc>
                <w:tcPr>
                  <w:tcW w:w="1156" w:type="pct"/>
                  <w:tcBorders>
                    <w:bottom w:val="single" w:sz="6" w:space="0" w:color="BFBFBF"/>
                  </w:tcBorders>
                  <w:shd w:val="clear" w:color="auto" w:fill="auto"/>
                </w:tcPr>
                <w:p w:rsidR="00447053" w:rsidRPr="005A22A1" w:rsidRDefault="00447053" w:rsidP="00604654">
                  <w:pPr>
                    <w:pStyle w:val="TableBodyText"/>
                    <w:jc w:val="left"/>
                    <w:rPr>
                      <w:b/>
                    </w:rPr>
                  </w:pPr>
                  <w:r w:rsidRPr="005A22A1">
                    <w:rPr>
                      <w:b/>
                    </w:rPr>
                    <w:t xml:space="preserve">  Total</w:t>
                  </w:r>
                  <w:r w:rsidRPr="005A22A1">
                    <w:rPr>
                      <w:rStyle w:val="NoteLabel"/>
                    </w:rPr>
                    <w:t>d</w:t>
                  </w:r>
                </w:p>
              </w:tc>
              <w:tc>
                <w:tcPr>
                  <w:tcW w:w="500" w:type="pct"/>
                  <w:tcBorders>
                    <w:bottom w:val="single" w:sz="6" w:space="0" w:color="BFBFBF"/>
                  </w:tcBorders>
                  <w:shd w:val="clear" w:color="auto" w:fill="auto"/>
                  <w:vAlign w:val="center"/>
                </w:tcPr>
                <w:p w:rsidR="00447053" w:rsidRPr="00447053" w:rsidRDefault="00447053" w:rsidP="00447053">
                  <w:pPr>
                    <w:pStyle w:val="TableBodyText"/>
                    <w:rPr>
                      <w:b/>
                    </w:rPr>
                  </w:pPr>
                  <w:r w:rsidRPr="00447053">
                    <w:rPr>
                      <w:b/>
                    </w:rPr>
                    <w:t>42</w:t>
                  </w:r>
                </w:p>
              </w:tc>
              <w:tc>
                <w:tcPr>
                  <w:tcW w:w="418" w:type="pct"/>
                  <w:tcBorders>
                    <w:bottom w:val="single" w:sz="6" w:space="0" w:color="BFBFBF"/>
                  </w:tcBorders>
                  <w:shd w:val="clear" w:color="auto" w:fill="auto"/>
                  <w:vAlign w:val="center"/>
                </w:tcPr>
                <w:p w:rsidR="00447053" w:rsidRPr="00447053" w:rsidRDefault="00447053" w:rsidP="00447053">
                  <w:pPr>
                    <w:pStyle w:val="TableBodyText"/>
                    <w:rPr>
                      <w:b/>
                    </w:rPr>
                  </w:pPr>
                  <w:r w:rsidRPr="00447053">
                    <w:rPr>
                      <w:b/>
                    </w:rPr>
                    <w:t>46</w:t>
                  </w:r>
                </w:p>
              </w:tc>
              <w:tc>
                <w:tcPr>
                  <w:tcW w:w="417" w:type="pct"/>
                  <w:tcBorders>
                    <w:bottom w:val="single" w:sz="6" w:space="0" w:color="BFBFBF"/>
                  </w:tcBorders>
                  <w:shd w:val="clear" w:color="auto" w:fill="auto"/>
                  <w:vAlign w:val="center"/>
                </w:tcPr>
                <w:p w:rsidR="00447053" w:rsidRPr="00447053" w:rsidRDefault="00447053" w:rsidP="00447053">
                  <w:pPr>
                    <w:pStyle w:val="TableBodyText"/>
                    <w:rPr>
                      <w:b/>
                    </w:rPr>
                  </w:pPr>
                  <w:r w:rsidRPr="00447053">
                    <w:rPr>
                      <w:b/>
                    </w:rPr>
                    <w:t>53</w:t>
                  </w:r>
                </w:p>
              </w:tc>
              <w:tc>
                <w:tcPr>
                  <w:tcW w:w="417" w:type="pct"/>
                  <w:tcBorders>
                    <w:bottom w:val="single" w:sz="6" w:space="0" w:color="BFBFBF"/>
                  </w:tcBorders>
                  <w:shd w:val="clear" w:color="auto" w:fill="auto"/>
                  <w:vAlign w:val="center"/>
                </w:tcPr>
                <w:p w:rsidR="00447053" w:rsidRPr="00447053" w:rsidRDefault="00447053" w:rsidP="00447053">
                  <w:pPr>
                    <w:pStyle w:val="TableBodyText"/>
                    <w:rPr>
                      <w:b/>
                    </w:rPr>
                  </w:pPr>
                  <w:r w:rsidRPr="00447053">
                    <w:rPr>
                      <w:b/>
                    </w:rPr>
                    <w:t>53</w:t>
                  </w:r>
                </w:p>
              </w:tc>
              <w:tc>
                <w:tcPr>
                  <w:tcW w:w="418" w:type="pct"/>
                  <w:tcBorders>
                    <w:bottom w:val="single" w:sz="6" w:space="0" w:color="BFBFBF"/>
                  </w:tcBorders>
                  <w:shd w:val="clear" w:color="auto" w:fill="auto"/>
                  <w:vAlign w:val="center"/>
                </w:tcPr>
                <w:p w:rsidR="00447053" w:rsidRPr="00447053" w:rsidRDefault="00447053" w:rsidP="00447053">
                  <w:pPr>
                    <w:pStyle w:val="TableBodyText"/>
                    <w:rPr>
                      <w:b/>
                    </w:rPr>
                  </w:pPr>
                  <w:r w:rsidRPr="00447053">
                    <w:rPr>
                      <w:b/>
                    </w:rPr>
                    <w:t>38</w:t>
                  </w:r>
                </w:p>
              </w:tc>
              <w:tc>
                <w:tcPr>
                  <w:tcW w:w="418" w:type="pct"/>
                  <w:tcBorders>
                    <w:bottom w:val="single" w:sz="6" w:space="0" w:color="BFBFBF"/>
                  </w:tcBorders>
                  <w:shd w:val="clear" w:color="auto" w:fill="auto"/>
                  <w:vAlign w:val="center"/>
                </w:tcPr>
                <w:p w:rsidR="00447053" w:rsidRPr="00447053" w:rsidRDefault="00447053" w:rsidP="00447053">
                  <w:pPr>
                    <w:pStyle w:val="TableBodyText"/>
                    <w:rPr>
                      <w:b/>
                    </w:rPr>
                  </w:pPr>
                  <w:r w:rsidRPr="00447053">
                    <w:rPr>
                      <w:b/>
                    </w:rPr>
                    <w:t>28</w:t>
                  </w:r>
                </w:p>
              </w:tc>
              <w:tc>
                <w:tcPr>
                  <w:tcW w:w="418" w:type="pct"/>
                  <w:tcBorders>
                    <w:bottom w:val="single" w:sz="6" w:space="0" w:color="BFBFBF"/>
                  </w:tcBorders>
                  <w:shd w:val="clear" w:color="auto" w:fill="auto"/>
                  <w:vAlign w:val="center"/>
                </w:tcPr>
                <w:p w:rsidR="00447053" w:rsidRPr="00447053" w:rsidRDefault="00447053" w:rsidP="00447053">
                  <w:pPr>
                    <w:pStyle w:val="TableBodyText"/>
                    <w:rPr>
                      <w:b/>
                    </w:rPr>
                  </w:pPr>
                  <w:r w:rsidRPr="00447053">
                    <w:rPr>
                      <w:b/>
                    </w:rPr>
                    <w:t>34</w:t>
                  </w:r>
                </w:p>
              </w:tc>
              <w:tc>
                <w:tcPr>
                  <w:tcW w:w="417" w:type="pct"/>
                  <w:tcBorders>
                    <w:bottom w:val="single" w:sz="6" w:space="0" w:color="BFBFBF"/>
                  </w:tcBorders>
                  <w:shd w:val="clear" w:color="auto" w:fill="auto"/>
                  <w:vAlign w:val="center"/>
                </w:tcPr>
                <w:p w:rsidR="00447053" w:rsidRPr="00447053" w:rsidRDefault="00447053" w:rsidP="00447053">
                  <w:pPr>
                    <w:pStyle w:val="TableBodyText"/>
                    <w:rPr>
                      <w:b/>
                    </w:rPr>
                  </w:pPr>
                  <w:r w:rsidRPr="00447053">
                    <w:rPr>
                      <w:b/>
                    </w:rPr>
                    <w:t>22</w:t>
                  </w:r>
                </w:p>
              </w:tc>
              <w:tc>
                <w:tcPr>
                  <w:tcW w:w="419" w:type="pct"/>
                  <w:tcBorders>
                    <w:bottom w:val="single" w:sz="6" w:space="0" w:color="BFBFBF"/>
                  </w:tcBorders>
                  <w:shd w:val="clear" w:color="auto" w:fill="auto"/>
                  <w:vAlign w:val="center"/>
                </w:tcPr>
                <w:p w:rsidR="00447053" w:rsidRPr="00447053" w:rsidRDefault="00447053" w:rsidP="00447053">
                  <w:pPr>
                    <w:pStyle w:val="TableBodyText"/>
                    <w:rPr>
                      <w:b/>
                    </w:rPr>
                  </w:pPr>
                  <w:r w:rsidRPr="00447053">
                    <w:rPr>
                      <w:b/>
                    </w:rPr>
                    <w:t>45</w:t>
                  </w:r>
                </w:p>
              </w:tc>
            </w:tr>
          </w:tbl>
          <w:p w:rsidR="007A48D1" w:rsidRDefault="007A48D1" w:rsidP="00604654">
            <w:pPr>
              <w:pStyle w:val="Box"/>
            </w:pPr>
          </w:p>
        </w:tc>
      </w:tr>
      <w:tr w:rsidR="007A48D1" w:rsidTr="00604654">
        <w:trPr>
          <w:cantSplit/>
        </w:trPr>
        <w:tc>
          <w:tcPr>
            <w:tcW w:w="8771" w:type="dxa"/>
            <w:tcBorders>
              <w:top w:val="nil"/>
              <w:left w:val="nil"/>
              <w:bottom w:val="nil"/>
              <w:right w:val="nil"/>
            </w:tcBorders>
            <w:shd w:val="clear" w:color="auto" w:fill="auto"/>
          </w:tcPr>
          <w:p w:rsidR="007A48D1" w:rsidRDefault="007A48D1" w:rsidP="00044772">
            <w:pPr>
              <w:pStyle w:val="Note"/>
              <w:rPr>
                <w:i/>
              </w:rPr>
            </w:pPr>
            <w:r w:rsidRPr="008E77FE">
              <w:rPr>
                <w:rStyle w:val="NoteLabel"/>
              </w:rPr>
              <w:t>a</w:t>
            </w:r>
            <w:r>
              <w:t xml:space="preserve"> </w:t>
            </w:r>
            <w:r w:rsidR="002E104F" w:rsidRPr="002E104F">
              <w:t xml:space="preserve">Includes presentations for all types of visit. </w:t>
            </w:r>
            <w:r w:rsidR="002E104F" w:rsidRPr="002E104F">
              <w:rPr>
                <w:rStyle w:val="NoteLabel"/>
              </w:rPr>
              <w:t>b</w:t>
            </w:r>
            <w:r w:rsidR="002E104F" w:rsidRPr="002E104F">
              <w:t xml:space="preserve"> Length of stay is calculated as the length of time between presentation to the emergency department and physical departure. </w:t>
            </w:r>
            <w:r w:rsidR="002E104F" w:rsidRPr="002E104F">
              <w:rPr>
                <w:rStyle w:val="NoteLabel"/>
              </w:rPr>
              <w:t>c</w:t>
            </w:r>
            <w:r w:rsidR="002E104F" w:rsidRPr="002E104F">
              <w:t xml:space="preserve"> </w:t>
            </w:r>
            <w:r w:rsidR="00233533" w:rsidRPr="0083330D">
              <w:t xml:space="preserve">Data includes Principal referral and specialist women’s and children’s hospitals, Large hospitals and hospitals in other peer groups that reported to the </w:t>
            </w:r>
            <w:r w:rsidR="002D5981" w:rsidRPr="0083330D">
              <w:t>National Non-Admitted Patient Emergency Department Care Database.</w:t>
            </w:r>
            <w:r w:rsidR="002E104F" w:rsidRPr="002E104F">
              <w:t xml:space="preserve"> </w:t>
            </w:r>
            <w:r w:rsidR="002E104F" w:rsidRPr="002E104F">
              <w:rPr>
                <w:rStyle w:val="NoteLabel"/>
              </w:rPr>
              <w:t>d</w:t>
            </w:r>
            <w:r w:rsidR="002E104F" w:rsidRPr="002E104F">
              <w:t xml:space="preserve"> Total includes presentations for which the triage category was not reported.</w:t>
            </w:r>
          </w:p>
        </w:tc>
      </w:tr>
      <w:tr w:rsidR="007A48D1" w:rsidTr="00604654">
        <w:trPr>
          <w:cantSplit/>
        </w:trPr>
        <w:tc>
          <w:tcPr>
            <w:tcW w:w="8771" w:type="dxa"/>
            <w:tcBorders>
              <w:top w:val="nil"/>
              <w:left w:val="nil"/>
              <w:bottom w:val="nil"/>
              <w:right w:val="nil"/>
            </w:tcBorders>
            <w:shd w:val="clear" w:color="auto" w:fill="auto"/>
          </w:tcPr>
          <w:p w:rsidR="007A48D1" w:rsidRDefault="007A48D1" w:rsidP="004F7D79">
            <w:pPr>
              <w:pStyle w:val="Source"/>
            </w:pPr>
            <w:r>
              <w:rPr>
                <w:i/>
              </w:rPr>
              <w:t>Source(s)</w:t>
            </w:r>
            <w:r w:rsidRPr="00167F06">
              <w:t xml:space="preserve">: </w:t>
            </w:r>
            <w:r w:rsidR="005A22A1" w:rsidRPr="005A22A1">
              <w:t>AIHW (201</w:t>
            </w:r>
            <w:r w:rsidR="00A972C2">
              <w:t>4</w:t>
            </w:r>
            <w:r w:rsidR="005A22A1" w:rsidRPr="005A22A1">
              <w:t xml:space="preserve">), </w:t>
            </w:r>
            <w:r w:rsidR="005A22A1" w:rsidRPr="005A22A1">
              <w:rPr>
                <w:i/>
              </w:rPr>
              <w:t>Australian hospital statistics 201</w:t>
            </w:r>
            <w:r w:rsidR="00A972C2">
              <w:rPr>
                <w:i/>
              </w:rPr>
              <w:t>3</w:t>
            </w:r>
            <w:r w:rsidR="005A22A1" w:rsidRPr="005A22A1">
              <w:rPr>
                <w:i/>
              </w:rPr>
              <w:t>–1</w:t>
            </w:r>
            <w:r w:rsidR="00A972C2">
              <w:rPr>
                <w:i/>
              </w:rPr>
              <w:t>4</w:t>
            </w:r>
            <w:r w:rsidR="005A22A1" w:rsidRPr="005A22A1">
              <w:rPr>
                <w:i/>
              </w:rPr>
              <w:t>: emergency department care</w:t>
            </w:r>
            <w:r w:rsidR="005A22A1" w:rsidRPr="005A22A1">
              <w:t xml:space="preserve">, Health services series no. </w:t>
            </w:r>
            <w:r w:rsidR="00447053" w:rsidRPr="00447053">
              <w:t>58</w:t>
            </w:r>
            <w:r w:rsidR="005A22A1" w:rsidRPr="005A22A1">
              <w:t xml:space="preserve">. Cat. no. HSE </w:t>
            </w:r>
            <w:r w:rsidR="00447053" w:rsidRPr="00447053">
              <w:t>153</w:t>
            </w:r>
            <w:r w:rsidR="005A22A1" w:rsidRPr="005A22A1">
              <w:t xml:space="preserve">. Canberra; </w:t>
            </w:r>
            <w:r w:rsidR="00A972C2" w:rsidRPr="00A972C2">
              <w:t xml:space="preserve">AIHW (2013), </w:t>
            </w:r>
            <w:r w:rsidR="00A972C2" w:rsidRPr="00A972C2">
              <w:rPr>
                <w:i/>
              </w:rPr>
              <w:t>Australian hospital statistics 2012–13: emergency department care</w:t>
            </w:r>
            <w:r w:rsidR="00A972C2" w:rsidRPr="00A972C2">
              <w:t>, Health services series no. 52. Cat. no. HSE 142. Canberra</w:t>
            </w:r>
            <w:r w:rsidR="005A22A1" w:rsidRPr="005A22A1">
              <w:t>; table 11A.4</w:t>
            </w:r>
            <w:r w:rsidR="004F7D79">
              <w:t>7</w:t>
            </w:r>
            <w:r w:rsidR="005A22A1" w:rsidRPr="005A22A1">
              <w:t>.</w:t>
            </w:r>
          </w:p>
        </w:tc>
      </w:tr>
      <w:tr w:rsidR="007A48D1" w:rsidTr="00604654">
        <w:trPr>
          <w:cantSplit/>
        </w:trPr>
        <w:tc>
          <w:tcPr>
            <w:tcW w:w="8771" w:type="dxa"/>
            <w:tcBorders>
              <w:top w:val="nil"/>
              <w:left w:val="nil"/>
              <w:bottom w:val="single" w:sz="6" w:space="0" w:color="78A22F"/>
              <w:right w:val="nil"/>
            </w:tcBorders>
            <w:shd w:val="clear" w:color="auto" w:fill="auto"/>
          </w:tcPr>
          <w:p w:rsidR="007A48D1" w:rsidRDefault="007A48D1" w:rsidP="00604654">
            <w:pPr>
              <w:pStyle w:val="Box"/>
              <w:spacing w:before="0" w:line="120" w:lineRule="exact"/>
            </w:pPr>
          </w:p>
        </w:tc>
      </w:tr>
      <w:tr w:rsidR="007A48D1" w:rsidRPr="000863A5" w:rsidTr="00604654">
        <w:tc>
          <w:tcPr>
            <w:tcW w:w="8771" w:type="dxa"/>
            <w:tcBorders>
              <w:top w:val="single" w:sz="6" w:space="0" w:color="78A22F"/>
              <w:left w:val="nil"/>
              <w:bottom w:val="nil"/>
              <w:right w:val="nil"/>
            </w:tcBorders>
          </w:tcPr>
          <w:p w:rsidR="007A48D1" w:rsidRPr="00626D32" w:rsidRDefault="007A48D1" w:rsidP="00604654">
            <w:pPr>
              <w:pStyle w:val="BoxSpaceBelow"/>
            </w:pPr>
          </w:p>
        </w:tc>
      </w:tr>
    </w:tbl>
    <w:p w:rsidR="007A48D1" w:rsidRDefault="007A48D1" w:rsidP="007A48D1">
      <w:pPr>
        <w:pStyle w:val="BodyText"/>
      </w:pPr>
      <w:r>
        <w:t xml:space="preserve">Data on emergency department presentations for non-admitted patients may be affected by variations in reporting practices across states and territories and over time. The comparability of emergency department waiting times data across jurisdictions can be influenced by differences in data coverage (table 11.2) and clinical practices — in particular, the allocation of cases to urgency categories. </w:t>
      </w:r>
    </w:p>
    <w:p w:rsidR="007A48D1" w:rsidRDefault="007A48D1" w:rsidP="001B73E8">
      <w:pPr>
        <w:pStyle w:val="BodyText"/>
      </w:pPr>
      <w:r>
        <w:t xml:space="preserve">Data in table 11.4 are for all hospitals. Data for </w:t>
      </w:r>
      <w:r w:rsidR="005C529A">
        <w:t>peer group A (</w:t>
      </w:r>
      <w:r>
        <w:t>‘Principal referral and specialist women’s and children’s’ hospitals</w:t>
      </w:r>
      <w:r w:rsidR="005C529A">
        <w:t>)</w:t>
      </w:r>
      <w:r>
        <w:t xml:space="preserve"> and </w:t>
      </w:r>
      <w:r w:rsidR="005C529A">
        <w:t>B (</w:t>
      </w:r>
      <w:r>
        <w:t>‘Large hospitals’</w:t>
      </w:r>
      <w:r w:rsidR="005C529A">
        <w:t>)</w:t>
      </w:r>
      <w:r>
        <w:t xml:space="preserve"> are presented in table 11A.4</w:t>
      </w:r>
      <w:r w:rsidR="004F7D79">
        <w:t>7</w:t>
      </w:r>
      <w:r w:rsidRPr="0083330D">
        <w:t>. Nationally in 201</w:t>
      </w:r>
      <w:r w:rsidR="00596429" w:rsidRPr="0083330D">
        <w:t>3</w:t>
      </w:r>
      <w:r w:rsidRPr="0083330D">
        <w:t>-1</w:t>
      </w:r>
      <w:r w:rsidR="00596429" w:rsidRPr="0083330D">
        <w:t>4</w:t>
      </w:r>
      <w:r w:rsidR="005C529A" w:rsidRPr="0083330D">
        <w:t>,</w:t>
      </w:r>
      <w:r w:rsidRPr="0083330D">
        <w:t xml:space="preserve"> a </w:t>
      </w:r>
      <w:r w:rsidR="00FF5D69" w:rsidRPr="0083330D">
        <w:t>lower</w:t>
      </w:r>
      <w:r w:rsidRPr="0083330D">
        <w:t xml:space="preserve"> proportion of </w:t>
      </w:r>
      <w:r w:rsidR="000C5053" w:rsidRPr="0083330D">
        <w:t>patients were admitted within 4 </w:t>
      </w:r>
      <w:r w:rsidRPr="0083330D">
        <w:t>hours or less in large hospitals than in principal referral and specialist women’s and children’s hospitals for all triage categories</w:t>
      </w:r>
      <w:r>
        <w:t xml:space="preserve"> </w:t>
      </w:r>
      <w:r w:rsidR="00596429">
        <w:t>(table </w:t>
      </w:r>
      <w:r>
        <w:t>11A.4</w:t>
      </w:r>
      <w:r w:rsidR="004F7D79">
        <w:t>7</w:t>
      </w:r>
      <w:r>
        <w:t>).</w:t>
      </w:r>
    </w:p>
    <w:p w:rsidR="007A48D1" w:rsidRDefault="007A48D1" w:rsidP="007A48D1">
      <w:pPr>
        <w:pStyle w:val="Heading3"/>
      </w:pPr>
      <w:r>
        <w:lastRenderedPageBreak/>
        <w:t>Effectiveness — appropriateness</w:t>
      </w:r>
    </w:p>
    <w:p w:rsidR="007A48D1" w:rsidRDefault="007A48D1" w:rsidP="007A48D1">
      <w:pPr>
        <w:pStyle w:val="Heading4"/>
      </w:pPr>
      <w:r>
        <w:t>Separation rates for selected procedures</w:t>
      </w:r>
    </w:p>
    <w:p w:rsidR="007A48D1" w:rsidRDefault="007A48D1" w:rsidP="007A48D1">
      <w:pPr>
        <w:pStyle w:val="BodyText"/>
      </w:pPr>
      <w:r>
        <w:t>‘Separation rates for selected procedures’ is an indicator of the appropriateness of hospital services (box 11.5).</w:t>
      </w:r>
    </w:p>
    <w:p w:rsidR="007A48D1" w:rsidRDefault="007A48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A48D1" w:rsidTr="00604654">
        <w:tc>
          <w:tcPr>
            <w:tcW w:w="8771" w:type="dxa"/>
            <w:tcBorders>
              <w:top w:val="single" w:sz="6" w:space="0" w:color="78A22F"/>
              <w:left w:val="nil"/>
              <w:bottom w:val="nil"/>
              <w:right w:val="nil"/>
            </w:tcBorders>
            <w:shd w:val="clear" w:color="auto" w:fill="F2F2F2"/>
          </w:tcPr>
          <w:p w:rsidR="007A48D1" w:rsidRDefault="007A48D1">
            <w:pPr>
              <w:pStyle w:val="BoxTitle"/>
            </w:pPr>
            <w:r>
              <w:rPr>
                <w:b w:val="0"/>
              </w:rPr>
              <w:t>Box 11.</w:t>
            </w:r>
            <w:r w:rsidR="009A53E9">
              <w:rPr>
                <w:b w:val="0"/>
                <w:noProof/>
              </w:rPr>
              <w:t>5</w:t>
            </w:r>
            <w:r>
              <w:tab/>
            </w:r>
            <w:r w:rsidRPr="007A48D1">
              <w:t>Separation rates for selected procedures</w:t>
            </w:r>
          </w:p>
        </w:tc>
      </w:tr>
      <w:tr w:rsidR="007A48D1" w:rsidTr="00604654">
        <w:trPr>
          <w:cantSplit/>
        </w:trPr>
        <w:tc>
          <w:tcPr>
            <w:tcW w:w="8771" w:type="dxa"/>
            <w:tcBorders>
              <w:top w:val="nil"/>
              <w:left w:val="nil"/>
              <w:bottom w:val="nil"/>
              <w:right w:val="nil"/>
            </w:tcBorders>
            <w:shd w:val="clear" w:color="auto" w:fill="F2F2F2"/>
          </w:tcPr>
          <w:p w:rsidR="00F61EFD" w:rsidRDefault="00F61EFD" w:rsidP="00F61EFD">
            <w:pPr>
              <w:pStyle w:val="Box"/>
            </w:pPr>
            <w:r>
              <w:t>‘Separation rates for selected procedures’ is defined as separations per 1000 people for certain procedures in public hospitals. The procedures are selected for their frequency, for sometimes being elective and discretionary, and because alternative treatments are sometimes available.</w:t>
            </w:r>
          </w:p>
          <w:p w:rsidR="00F61EFD" w:rsidRDefault="00F61EFD" w:rsidP="00F61EFD">
            <w:pPr>
              <w:pStyle w:val="Box"/>
            </w:pPr>
            <w:r>
              <w:t xml:space="preserve">Higher/lower or increasing/decreasing rates are not necessarily associated with inappropriate care. However, large jurisdictional variations in rates for particular procedures can require investigation to determine whether service levels are appropriate. </w:t>
            </w:r>
          </w:p>
          <w:p w:rsidR="007A48D1" w:rsidRDefault="00F61EFD" w:rsidP="00F61EFD">
            <w:pPr>
              <w:pStyle w:val="Box"/>
            </w:pPr>
            <w:r>
              <w:t>Care needs to be taken when interpreting differences in the separation rates for the selected procedures. Variations in rates can be attributable to variations in the prevalence of the conditions being treated, or to differences in clinical practice across states and territories. Higher rates can be acceptable for certain conditions and not for others. Higher rates of angioplasties, for example, can represent appropriate levels of care, whereas higher rates of hysterectomies or tonsillectomies can represent an over</w:t>
            </w:r>
            <w:r w:rsidR="005C529A">
              <w:t>-</w:t>
            </w:r>
            <w:r>
              <w:t>reliance on procedures. Some of the selected procedures, such as angioplasty and coronary artery bypass graft, are alternative treatment options for people diagnosed with similar conditions.</w:t>
            </w:r>
          </w:p>
          <w:p w:rsidR="00F61EFD" w:rsidRDefault="00F61EFD" w:rsidP="00F61EFD">
            <w:pPr>
              <w:pStyle w:val="Box"/>
            </w:pPr>
            <w:r>
              <w:t>Data reported for this indicator are:</w:t>
            </w:r>
          </w:p>
          <w:p w:rsidR="00F61EFD" w:rsidRDefault="00F61EFD" w:rsidP="00F61EFD">
            <w:pPr>
              <w:pStyle w:val="BoxListBullet"/>
            </w:pPr>
            <w:r>
              <w:t>comparable (subject to caveats) across jurisdictions and over time</w:t>
            </w:r>
          </w:p>
          <w:p w:rsidR="00F61EFD" w:rsidRDefault="00F61EFD" w:rsidP="00F61EFD">
            <w:pPr>
              <w:pStyle w:val="BoxListBullet"/>
            </w:pPr>
            <w:r>
              <w:t>complete (subject to caveats) for the current reporting period. All required 201</w:t>
            </w:r>
            <w:r w:rsidR="00E70026">
              <w:t>2</w:t>
            </w:r>
            <w:r>
              <w:t>-1</w:t>
            </w:r>
            <w:r w:rsidR="00E70026">
              <w:t>3</w:t>
            </w:r>
            <w:r>
              <w:t xml:space="preserve"> data are available for all jurisdictions.</w:t>
            </w:r>
          </w:p>
          <w:p w:rsidR="00F61EFD" w:rsidRDefault="001605A5" w:rsidP="001605A5">
            <w:pPr>
              <w:pStyle w:val="Box"/>
            </w:pPr>
            <w:r w:rsidRPr="001605A5">
              <w:t>Data quality</w:t>
            </w:r>
            <w:r>
              <w:t xml:space="preserve"> information for this indicator</w:t>
            </w:r>
            <w:r w:rsidR="008C0550">
              <w:t xml:space="preserve"> is at www.pc.gov.au</w:t>
            </w:r>
            <w:r w:rsidRPr="001605A5">
              <w:t>/rogs/2015.</w:t>
            </w:r>
          </w:p>
        </w:tc>
      </w:tr>
      <w:tr w:rsidR="007A48D1" w:rsidTr="00604654">
        <w:trPr>
          <w:cantSplit/>
        </w:trPr>
        <w:tc>
          <w:tcPr>
            <w:tcW w:w="8771" w:type="dxa"/>
            <w:tcBorders>
              <w:top w:val="nil"/>
              <w:left w:val="nil"/>
              <w:bottom w:val="single" w:sz="6" w:space="0" w:color="78A22F"/>
              <w:right w:val="nil"/>
            </w:tcBorders>
            <w:shd w:val="clear" w:color="auto" w:fill="F2F2F2"/>
          </w:tcPr>
          <w:p w:rsidR="007A48D1" w:rsidRDefault="007A48D1">
            <w:pPr>
              <w:pStyle w:val="Box"/>
              <w:spacing w:before="0" w:line="120" w:lineRule="exact"/>
            </w:pPr>
          </w:p>
        </w:tc>
      </w:tr>
      <w:tr w:rsidR="007A48D1" w:rsidRPr="000863A5" w:rsidTr="00604654">
        <w:tc>
          <w:tcPr>
            <w:tcW w:w="8771" w:type="dxa"/>
            <w:tcBorders>
              <w:top w:val="single" w:sz="6" w:space="0" w:color="78A22F"/>
              <w:left w:val="nil"/>
              <w:bottom w:val="nil"/>
              <w:right w:val="nil"/>
            </w:tcBorders>
          </w:tcPr>
          <w:p w:rsidR="007A48D1" w:rsidRPr="00626D32" w:rsidRDefault="007A48D1" w:rsidP="00604654">
            <w:pPr>
              <w:pStyle w:val="BoxSpaceBelow"/>
            </w:pPr>
          </w:p>
        </w:tc>
      </w:tr>
    </w:tbl>
    <w:p w:rsidR="007A48D1" w:rsidRDefault="00F61EFD" w:rsidP="007A48D1">
      <w:pPr>
        <w:pStyle w:val="BodyText"/>
      </w:pPr>
      <w:r w:rsidRPr="00F61EFD">
        <w:t>The separation rates for selected procedures reported here reflect the activities of the public health system. For all procedures, separation rates varied across jurisdictions (table 11.5).</w:t>
      </w:r>
    </w:p>
    <w:p w:rsidR="00F61EFD" w:rsidRDefault="00F61EFD" w:rsidP="0060465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61EFD" w:rsidTr="00604654">
        <w:tc>
          <w:tcPr>
            <w:tcW w:w="8771" w:type="dxa"/>
            <w:tcBorders>
              <w:top w:val="single" w:sz="6" w:space="0" w:color="78A22F"/>
              <w:left w:val="nil"/>
              <w:bottom w:val="nil"/>
              <w:right w:val="nil"/>
            </w:tcBorders>
            <w:shd w:val="clear" w:color="auto" w:fill="auto"/>
          </w:tcPr>
          <w:p w:rsidR="00F61EFD" w:rsidRPr="00784A05" w:rsidRDefault="00F61EFD" w:rsidP="00A2571D">
            <w:pPr>
              <w:pStyle w:val="TableTitle"/>
            </w:pPr>
            <w:r>
              <w:rPr>
                <w:b w:val="0"/>
              </w:rPr>
              <w:t>Table 11.</w:t>
            </w:r>
            <w:r w:rsidR="009A53E9">
              <w:rPr>
                <w:b w:val="0"/>
                <w:noProof/>
              </w:rPr>
              <w:t>5</w:t>
            </w:r>
            <w:r>
              <w:tab/>
            </w:r>
            <w:r w:rsidR="00A2571D" w:rsidRPr="00A2571D">
              <w:t>Separations for selected procedures per 1000 people, public hospitals, 201</w:t>
            </w:r>
            <w:r w:rsidR="00A2571D">
              <w:t>2</w:t>
            </w:r>
            <w:r w:rsidR="00A2571D" w:rsidRPr="00A2571D">
              <w:t>-1</w:t>
            </w:r>
            <w:r w:rsidR="00A2571D">
              <w:t>3</w:t>
            </w:r>
            <w:r w:rsidR="00A2571D" w:rsidRPr="00A2571D">
              <w:rPr>
                <w:rStyle w:val="NoteLabel"/>
                <w:b/>
                <w:szCs w:val="20"/>
              </w:rPr>
              <w:t>a</w:t>
            </w:r>
          </w:p>
        </w:tc>
      </w:tr>
      <w:tr w:rsidR="00F61EFD" w:rsidTr="00604654">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963"/>
              <w:gridCol w:w="850"/>
              <w:gridCol w:w="708"/>
              <w:gridCol w:w="710"/>
              <w:gridCol w:w="708"/>
              <w:gridCol w:w="710"/>
              <w:gridCol w:w="710"/>
              <w:gridCol w:w="710"/>
              <w:gridCol w:w="708"/>
              <w:gridCol w:w="710"/>
            </w:tblGrid>
            <w:tr w:rsidR="00A2571D" w:rsidTr="00A2571D">
              <w:tc>
                <w:tcPr>
                  <w:tcW w:w="1156" w:type="pct"/>
                  <w:tcBorders>
                    <w:top w:val="single" w:sz="6" w:space="0" w:color="BFBFBF"/>
                    <w:bottom w:val="single" w:sz="6" w:space="0" w:color="BFBFBF"/>
                  </w:tcBorders>
                  <w:shd w:val="clear" w:color="auto" w:fill="auto"/>
                  <w:tcMar>
                    <w:top w:w="28" w:type="dxa"/>
                  </w:tcMar>
                </w:tcPr>
                <w:p w:rsidR="00604654" w:rsidRDefault="00604654" w:rsidP="00604654">
                  <w:pPr>
                    <w:pStyle w:val="TableColumnHeading"/>
                    <w:jc w:val="left"/>
                  </w:pPr>
                </w:p>
              </w:tc>
              <w:tc>
                <w:tcPr>
                  <w:tcW w:w="501" w:type="pct"/>
                  <w:tcBorders>
                    <w:top w:val="single" w:sz="6" w:space="0" w:color="BFBFBF"/>
                    <w:bottom w:val="single" w:sz="6" w:space="0" w:color="BFBFBF"/>
                  </w:tcBorders>
                </w:tcPr>
                <w:p w:rsidR="00604654" w:rsidRDefault="00604654" w:rsidP="00604654">
                  <w:pPr>
                    <w:pStyle w:val="TableColumnHeading"/>
                  </w:pPr>
                  <w:r>
                    <w:t>NSW</w:t>
                  </w:r>
                </w:p>
              </w:tc>
              <w:tc>
                <w:tcPr>
                  <w:tcW w:w="417" w:type="pct"/>
                  <w:tcBorders>
                    <w:top w:val="single" w:sz="6" w:space="0" w:color="BFBFBF"/>
                    <w:bottom w:val="single" w:sz="6" w:space="0" w:color="BFBFBF"/>
                  </w:tcBorders>
                </w:tcPr>
                <w:p w:rsidR="00604654" w:rsidRDefault="00604654" w:rsidP="00604654">
                  <w:pPr>
                    <w:pStyle w:val="TableColumnHeading"/>
                  </w:pPr>
                  <w:r>
                    <w:t>Vic</w:t>
                  </w:r>
                </w:p>
              </w:tc>
              <w:tc>
                <w:tcPr>
                  <w:tcW w:w="418" w:type="pct"/>
                  <w:tcBorders>
                    <w:top w:val="single" w:sz="6" w:space="0" w:color="BFBFBF"/>
                    <w:bottom w:val="single" w:sz="6" w:space="0" w:color="BFBFBF"/>
                  </w:tcBorders>
                </w:tcPr>
                <w:p w:rsidR="00604654" w:rsidRDefault="00604654" w:rsidP="00604654">
                  <w:pPr>
                    <w:pStyle w:val="TableColumnHeading"/>
                  </w:pPr>
                  <w:r>
                    <w:t>Qld</w:t>
                  </w:r>
                </w:p>
              </w:tc>
              <w:tc>
                <w:tcPr>
                  <w:tcW w:w="417" w:type="pct"/>
                  <w:tcBorders>
                    <w:top w:val="single" w:sz="6" w:space="0" w:color="BFBFBF"/>
                    <w:bottom w:val="single" w:sz="6" w:space="0" w:color="BFBFBF"/>
                  </w:tcBorders>
                </w:tcPr>
                <w:p w:rsidR="00604654" w:rsidRDefault="00604654" w:rsidP="00604654">
                  <w:pPr>
                    <w:pStyle w:val="TableColumnHeading"/>
                  </w:pPr>
                  <w:r>
                    <w:t>WA</w:t>
                  </w:r>
                </w:p>
              </w:tc>
              <w:tc>
                <w:tcPr>
                  <w:tcW w:w="418" w:type="pct"/>
                  <w:tcBorders>
                    <w:top w:val="single" w:sz="6" w:space="0" w:color="BFBFBF"/>
                    <w:bottom w:val="single" w:sz="6" w:space="0" w:color="BFBFBF"/>
                  </w:tcBorders>
                </w:tcPr>
                <w:p w:rsidR="00604654" w:rsidRDefault="00604654" w:rsidP="00604654">
                  <w:pPr>
                    <w:pStyle w:val="TableColumnHeading"/>
                  </w:pPr>
                  <w:r>
                    <w:t>SA</w:t>
                  </w:r>
                </w:p>
              </w:tc>
              <w:tc>
                <w:tcPr>
                  <w:tcW w:w="418" w:type="pct"/>
                  <w:tcBorders>
                    <w:top w:val="single" w:sz="6" w:space="0" w:color="BFBFBF"/>
                    <w:bottom w:val="single" w:sz="6" w:space="0" w:color="BFBFBF"/>
                  </w:tcBorders>
                </w:tcPr>
                <w:p w:rsidR="00604654" w:rsidRDefault="00604654" w:rsidP="00604654">
                  <w:pPr>
                    <w:pStyle w:val="TableColumnHeading"/>
                  </w:pPr>
                  <w:r>
                    <w:t>Tas</w:t>
                  </w:r>
                </w:p>
              </w:tc>
              <w:tc>
                <w:tcPr>
                  <w:tcW w:w="418" w:type="pct"/>
                  <w:tcBorders>
                    <w:top w:val="single" w:sz="6" w:space="0" w:color="BFBFBF"/>
                    <w:bottom w:val="single" w:sz="6" w:space="0" w:color="BFBFBF"/>
                  </w:tcBorders>
                </w:tcPr>
                <w:p w:rsidR="00604654" w:rsidRDefault="00604654" w:rsidP="00604654">
                  <w:pPr>
                    <w:pStyle w:val="TableColumnHeading"/>
                  </w:pPr>
                  <w:r>
                    <w:t>ACT</w:t>
                  </w:r>
                </w:p>
              </w:tc>
              <w:tc>
                <w:tcPr>
                  <w:tcW w:w="417" w:type="pct"/>
                  <w:tcBorders>
                    <w:top w:val="single" w:sz="6" w:space="0" w:color="BFBFBF"/>
                    <w:bottom w:val="single" w:sz="6" w:space="0" w:color="BFBFBF"/>
                  </w:tcBorders>
                  <w:shd w:val="clear" w:color="auto" w:fill="auto"/>
                  <w:tcMar>
                    <w:top w:w="28" w:type="dxa"/>
                  </w:tcMar>
                </w:tcPr>
                <w:p w:rsidR="00604654" w:rsidRDefault="00604654" w:rsidP="00604654">
                  <w:pPr>
                    <w:pStyle w:val="TableColumnHeading"/>
                  </w:pPr>
                  <w:r>
                    <w:t>NT</w:t>
                  </w:r>
                </w:p>
              </w:tc>
              <w:tc>
                <w:tcPr>
                  <w:tcW w:w="418" w:type="pct"/>
                  <w:tcBorders>
                    <w:top w:val="single" w:sz="6" w:space="0" w:color="BFBFBF"/>
                    <w:bottom w:val="single" w:sz="6" w:space="0" w:color="BFBFBF"/>
                  </w:tcBorders>
                  <w:shd w:val="clear" w:color="auto" w:fill="auto"/>
                  <w:tcMar>
                    <w:top w:w="28" w:type="dxa"/>
                  </w:tcMar>
                </w:tcPr>
                <w:p w:rsidR="00604654" w:rsidRDefault="00604654" w:rsidP="00604654">
                  <w:pPr>
                    <w:pStyle w:val="TableColumnHeading"/>
                    <w:ind w:right="28"/>
                  </w:pPr>
                  <w:r>
                    <w:t>Aust</w:t>
                  </w:r>
                </w:p>
              </w:tc>
            </w:tr>
            <w:tr w:rsidR="00A2571D" w:rsidTr="00A2571D">
              <w:tc>
                <w:tcPr>
                  <w:tcW w:w="1156" w:type="pct"/>
                  <w:tcBorders>
                    <w:top w:val="single" w:sz="6" w:space="0" w:color="BFBFBF"/>
                  </w:tcBorders>
                </w:tcPr>
                <w:p w:rsidR="00604654" w:rsidRPr="00C22CA1" w:rsidRDefault="00C22CA1" w:rsidP="00604654">
                  <w:pPr>
                    <w:pStyle w:val="TableUnitsRow"/>
                    <w:jc w:val="left"/>
                    <w:rPr>
                      <w:i/>
                    </w:rPr>
                  </w:pPr>
                  <w:r w:rsidRPr="00C22CA1">
                    <w:rPr>
                      <w:i/>
                    </w:rPr>
                    <w:t>Procedure</w:t>
                  </w:r>
                </w:p>
              </w:tc>
              <w:tc>
                <w:tcPr>
                  <w:tcW w:w="501" w:type="pct"/>
                  <w:tcBorders>
                    <w:top w:val="single" w:sz="6" w:space="0" w:color="BFBFBF"/>
                  </w:tcBorders>
                </w:tcPr>
                <w:p w:rsidR="00604654" w:rsidRDefault="00604654" w:rsidP="00604654">
                  <w:pPr>
                    <w:pStyle w:val="TableUnitsRow"/>
                  </w:pPr>
                </w:p>
              </w:tc>
              <w:tc>
                <w:tcPr>
                  <w:tcW w:w="417" w:type="pct"/>
                  <w:tcBorders>
                    <w:top w:val="single" w:sz="6" w:space="0" w:color="BFBFBF"/>
                  </w:tcBorders>
                </w:tcPr>
                <w:p w:rsidR="00604654" w:rsidRDefault="00604654" w:rsidP="00604654">
                  <w:pPr>
                    <w:pStyle w:val="TableUnitsRow"/>
                  </w:pPr>
                </w:p>
              </w:tc>
              <w:tc>
                <w:tcPr>
                  <w:tcW w:w="418" w:type="pct"/>
                  <w:tcBorders>
                    <w:top w:val="single" w:sz="6" w:space="0" w:color="BFBFBF"/>
                  </w:tcBorders>
                </w:tcPr>
                <w:p w:rsidR="00604654" w:rsidRDefault="00604654" w:rsidP="00604654">
                  <w:pPr>
                    <w:pStyle w:val="TableUnitsRow"/>
                  </w:pPr>
                </w:p>
              </w:tc>
              <w:tc>
                <w:tcPr>
                  <w:tcW w:w="417" w:type="pct"/>
                  <w:tcBorders>
                    <w:top w:val="single" w:sz="6" w:space="0" w:color="BFBFBF"/>
                  </w:tcBorders>
                </w:tcPr>
                <w:p w:rsidR="00604654" w:rsidRDefault="00604654" w:rsidP="00604654">
                  <w:pPr>
                    <w:pStyle w:val="TableUnitsRow"/>
                  </w:pPr>
                </w:p>
              </w:tc>
              <w:tc>
                <w:tcPr>
                  <w:tcW w:w="418" w:type="pct"/>
                  <w:tcBorders>
                    <w:top w:val="single" w:sz="6" w:space="0" w:color="BFBFBF"/>
                  </w:tcBorders>
                </w:tcPr>
                <w:p w:rsidR="00604654" w:rsidRDefault="00604654" w:rsidP="00604654">
                  <w:pPr>
                    <w:pStyle w:val="TableUnitsRow"/>
                  </w:pPr>
                </w:p>
              </w:tc>
              <w:tc>
                <w:tcPr>
                  <w:tcW w:w="418" w:type="pct"/>
                  <w:tcBorders>
                    <w:top w:val="single" w:sz="6" w:space="0" w:color="BFBFBF"/>
                  </w:tcBorders>
                </w:tcPr>
                <w:p w:rsidR="00604654" w:rsidRDefault="00604654" w:rsidP="00604654">
                  <w:pPr>
                    <w:pStyle w:val="TableUnitsRow"/>
                  </w:pPr>
                </w:p>
              </w:tc>
              <w:tc>
                <w:tcPr>
                  <w:tcW w:w="418" w:type="pct"/>
                  <w:tcBorders>
                    <w:top w:val="single" w:sz="6" w:space="0" w:color="BFBFBF"/>
                  </w:tcBorders>
                </w:tcPr>
                <w:p w:rsidR="00604654" w:rsidRDefault="00604654" w:rsidP="00604654">
                  <w:pPr>
                    <w:pStyle w:val="TableUnitsRow"/>
                  </w:pPr>
                </w:p>
              </w:tc>
              <w:tc>
                <w:tcPr>
                  <w:tcW w:w="417" w:type="pct"/>
                  <w:tcBorders>
                    <w:top w:val="single" w:sz="6" w:space="0" w:color="BFBFBF"/>
                  </w:tcBorders>
                </w:tcPr>
                <w:p w:rsidR="00604654" w:rsidRDefault="00604654" w:rsidP="00604654">
                  <w:pPr>
                    <w:pStyle w:val="TableUnitsRow"/>
                  </w:pPr>
                </w:p>
              </w:tc>
              <w:tc>
                <w:tcPr>
                  <w:tcW w:w="418" w:type="pct"/>
                  <w:tcBorders>
                    <w:top w:val="single" w:sz="6" w:space="0" w:color="BFBFBF"/>
                  </w:tcBorders>
                </w:tcPr>
                <w:p w:rsidR="00604654" w:rsidRDefault="00604654" w:rsidP="00604654">
                  <w:pPr>
                    <w:pStyle w:val="TableUnitsRow"/>
                    <w:ind w:right="28"/>
                  </w:pPr>
                </w:p>
              </w:tc>
            </w:tr>
            <w:tr w:rsidR="0099310A" w:rsidTr="00393026">
              <w:tc>
                <w:tcPr>
                  <w:tcW w:w="1156" w:type="pct"/>
                </w:tcPr>
                <w:p w:rsidR="0099310A" w:rsidRPr="005F3E56" w:rsidRDefault="0099310A" w:rsidP="00A376A3">
                  <w:pPr>
                    <w:pStyle w:val="TableBodyText"/>
                    <w:ind w:left="136"/>
                    <w:jc w:val="left"/>
                  </w:pPr>
                  <w:r w:rsidRPr="005F3E56">
                    <w:t>Cataract extraction</w:t>
                  </w:r>
                </w:p>
              </w:tc>
              <w:tc>
                <w:tcPr>
                  <w:tcW w:w="501" w:type="pct"/>
                  <w:vAlign w:val="center"/>
                </w:tcPr>
                <w:p w:rsidR="0099310A" w:rsidRPr="0099310A" w:rsidRDefault="0099310A" w:rsidP="0099310A">
                  <w:pPr>
                    <w:pStyle w:val="TableBodyText"/>
                  </w:pPr>
                  <w:r w:rsidRPr="0099310A">
                    <w:t>2.7</w:t>
                  </w:r>
                </w:p>
              </w:tc>
              <w:tc>
                <w:tcPr>
                  <w:tcW w:w="417" w:type="pct"/>
                  <w:vAlign w:val="center"/>
                </w:tcPr>
                <w:p w:rsidR="0099310A" w:rsidRPr="0099310A" w:rsidRDefault="0099310A" w:rsidP="0099310A">
                  <w:pPr>
                    <w:pStyle w:val="TableBodyText"/>
                  </w:pPr>
                  <w:r w:rsidRPr="0099310A">
                    <w:t>3.0</w:t>
                  </w:r>
                </w:p>
              </w:tc>
              <w:tc>
                <w:tcPr>
                  <w:tcW w:w="418" w:type="pct"/>
                  <w:vAlign w:val="center"/>
                </w:tcPr>
                <w:p w:rsidR="0099310A" w:rsidRPr="0099310A" w:rsidRDefault="0099310A" w:rsidP="0099310A">
                  <w:pPr>
                    <w:pStyle w:val="TableBodyText"/>
                  </w:pPr>
                  <w:r w:rsidRPr="0099310A">
                    <w:t>1.6</w:t>
                  </w:r>
                </w:p>
              </w:tc>
              <w:tc>
                <w:tcPr>
                  <w:tcW w:w="417" w:type="pct"/>
                  <w:vAlign w:val="center"/>
                </w:tcPr>
                <w:p w:rsidR="0099310A" w:rsidRPr="0099310A" w:rsidRDefault="0099310A" w:rsidP="0099310A">
                  <w:pPr>
                    <w:pStyle w:val="TableBodyText"/>
                  </w:pPr>
                  <w:r w:rsidRPr="0099310A">
                    <w:t>4.7</w:t>
                  </w:r>
                </w:p>
              </w:tc>
              <w:tc>
                <w:tcPr>
                  <w:tcW w:w="418" w:type="pct"/>
                  <w:vAlign w:val="center"/>
                </w:tcPr>
                <w:p w:rsidR="0099310A" w:rsidRPr="0099310A" w:rsidRDefault="0099310A" w:rsidP="0099310A">
                  <w:pPr>
                    <w:pStyle w:val="TableBodyText"/>
                  </w:pPr>
                  <w:r w:rsidRPr="0099310A">
                    <w:t>3.4</w:t>
                  </w:r>
                </w:p>
              </w:tc>
              <w:tc>
                <w:tcPr>
                  <w:tcW w:w="418" w:type="pct"/>
                  <w:vAlign w:val="center"/>
                </w:tcPr>
                <w:p w:rsidR="0099310A" w:rsidRPr="0099310A" w:rsidRDefault="0099310A" w:rsidP="0099310A">
                  <w:pPr>
                    <w:pStyle w:val="TableBodyText"/>
                  </w:pPr>
                  <w:r w:rsidRPr="0099310A">
                    <w:t>2.0</w:t>
                  </w:r>
                </w:p>
              </w:tc>
              <w:tc>
                <w:tcPr>
                  <w:tcW w:w="418" w:type="pct"/>
                  <w:vAlign w:val="center"/>
                </w:tcPr>
                <w:p w:rsidR="0099310A" w:rsidRPr="0099310A" w:rsidRDefault="0099310A" w:rsidP="0099310A">
                  <w:pPr>
                    <w:pStyle w:val="TableBodyText"/>
                  </w:pPr>
                  <w:r w:rsidRPr="0099310A">
                    <w:t>4.1</w:t>
                  </w:r>
                </w:p>
              </w:tc>
              <w:tc>
                <w:tcPr>
                  <w:tcW w:w="417" w:type="pct"/>
                  <w:vAlign w:val="center"/>
                </w:tcPr>
                <w:p w:rsidR="0099310A" w:rsidRPr="0099310A" w:rsidRDefault="0099310A" w:rsidP="0099310A">
                  <w:pPr>
                    <w:pStyle w:val="TableBodyText"/>
                  </w:pPr>
                  <w:r w:rsidRPr="0099310A">
                    <w:t>6.7</w:t>
                  </w:r>
                </w:p>
              </w:tc>
              <w:tc>
                <w:tcPr>
                  <w:tcW w:w="418" w:type="pct"/>
                  <w:vAlign w:val="center"/>
                </w:tcPr>
                <w:p w:rsidR="0099310A" w:rsidRPr="0099310A" w:rsidRDefault="0099310A" w:rsidP="0099310A">
                  <w:pPr>
                    <w:pStyle w:val="TableBodyText"/>
                  </w:pPr>
                  <w:r w:rsidRPr="0099310A">
                    <w:t>2.8</w:t>
                  </w:r>
                </w:p>
              </w:tc>
            </w:tr>
            <w:tr w:rsidR="0099310A" w:rsidTr="00393026">
              <w:tc>
                <w:tcPr>
                  <w:tcW w:w="1156" w:type="pct"/>
                </w:tcPr>
                <w:p w:rsidR="0099310A" w:rsidRPr="005F3E56" w:rsidRDefault="0099310A" w:rsidP="00A376A3">
                  <w:pPr>
                    <w:pStyle w:val="TableBodyText"/>
                    <w:ind w:left="136"/>
                    <w:jc w:val="left"/>
                  </w:pPr>
                  <w:r w:rsidRPr="005F3E56">
                    <w:t>Cholecystectomy</w:t>
                  </w:r>
                </w:p>
              </w:tc>
              <w:tc>
                <w:tcPr>
                  <w:tcW w:w="501" w:type="pct"/>
                  <w:vAlign w:val="center"/>
                </w:tcPr>
                <w:p w:rsidR="0099310A" w:rsidRPr="0099310A" w:rsidRDefault="0099310A" w:rsidP="0099310A">
                  <w:pPr>
                    <w:pStyle w:val="TableBodyText"/>
                  </w:pPr>
                  <w:r w:rsidRPr="0099310A">
                    <w:t>1.4</w:t>
                  </w:r>
                </w:p>
              </w:tc>
              <w:tc>
                <w:tcPr>
                  <w:tcW w:w="417" w:type="pct"/>
                  <w:vAlign w:val="center"/>
                </w:tcPr>
                <w:p w:rsidR="0099310A" w:rsidRPr="0099310A" w:rsidRDefault="0099310A" w:rsidP="0099310A">
                  <w:pPr>
                    <w:pStyle w:val="TableBodyText"/>
                  </w:pPr>
                  <w:r w:rsidRPr="0099310A">
                    <w:t>1.5</w:t>
                  </w:r>
                </w:p>
              </w:tc>
              <w:tc>
                <w:tcPr>
                  <w:tcW w:w="418" w:type="pct"/>
                  <w:vAlign w:val="center"/>
                </w:tcPr>
                <w:p w:rsidR="0099310A" w:rsidRPr="0099310A" w:rsidRDefault="0099310A" w:rsidP="0099310A">
                  <w:pPr>
                    <w:pStyle w:val="TableBodyText"/>
                  </w:pPr>
                  <w:r w:rsidRPr="0099310A">
                    <w:t>1.2</w:t>
                  </w:r>
                </w:p>
              </w:tc>
              <w:tc>
                <w:tcPr>
                  <w:tcW w:w="417" w:type="pct"/>
                  <w:vAlign w:val="center"/>
                </w:tcPr>
                <w:p w:rsidR="0099310A" w:rsidRPr="0099310A" w:rsidRDefault="0099310A" w:rsidP="0099310A">
                  <w:pPr>
                    <w:pStyle w:val="TableBodyText"/>
                  </w:pPr>
                  <w:r w:rsidRPr="0099310A">
                    <w:t>1.2</w:t>
                  </w:r>
                </w:p>
              </w:tc>
              <w:tc>
                <w:tcPr>
                  <w:tcW w:w="418" w:type="pct"/>
                  <w:vAlign w:val="center"/>
                </w:tcPr>
                <w:p w:rsidR="0099310A" w:rsidRPr="0099310A" w:rsidRDefault="0099310A" w:rsidP="0099310A">
                  <w:pPr>
                    <w:pStyle w:val="TableBodyText"/>
                  </w:pPr>
                  <w:r w:rsidRPr="0099310A">
                    <w:t>1.5</w:t>
                  </w:r>
                </w:p>
              </w:tc>
              <w:tc>
                <w:tcPr>
                  <w:tcW w:w="418" w:type="pct"/>
                  <w:vAlign w:val="center"/>
                </w:tcPr>
                <w:p w:rsidR="0099310A" w:rsidRPr="0099310A" w:rsidRDefault="0099310A" w:rsidP="0099310A">
                  <w:pPr>
                    <w:pStyle w:val="TableBodyText"/>
                  </w:pPr>
                  <w:r w:rsidRPr="0099310A">
                    <w:t>1.4</w:t>
                  </w:r>
                </w:p>
              </w:tc>
              <w:tc>
                <w:tcPr>
                  <w:tcW w:w="418" w:type="pct"/>
                  <w:vAlign w:val="center"/>
                </w:tcPr>
                <w:p w:rsidR="0099310A" w:rsidRPr="0099310A" w:rsidRDefault="0099310A" w:rsidP="0099310A">
                  <w:pPr>
                    <w:pStyle w:val="TableBodyText"/>
                  </w:pPr>
                  <w:r w:rsidRPr="0099310A">
                    <w:t>1.4</w:t>
                  </w:r>
                </w:p>
              </w:tc>
              <w:tc>
                <w:tcPr>
                  <w:tcW w:w="417" w:type="pct"/>
                  <w:vAlign w:val="center"/>
                </w:tcPr>
                <w:p w:rsidR="0099310A" w:rsidRPr="0099310A" w:rsidRDefault="0099310A" w:rsidP="0099310A">
                  <w:pPr>
                    <w:pStyle w:val="TableBodyText"/>
                  </w:pPr>
                  <w:r w:rsidRPr="0099310A">
                    <w:t>1.2</w:t>
                  </w:r>
                </w:p>
              </w:tc>
              <w:tc>
                <w:tcPr>
                  <w:tcW w:w="418" w:type="pct"/>
                  <w:vAlign w:val="center"/>
                </w:tcPr>
                <w:p w:rsidR="0099310A" w:rsidRPr="0099310A" w:rsidRDefault="0099310A" w:rsidP="0099310A">
                  <w:pPr>
                    <w:pStyle w:val="TableBodyText"/>
                  </w:pPr>
                  <w:r w:rsidRPr="0099310A">
                    <w:t>1.4</w:t>
                  </w:r>
                </w:p>
              </w:tc>
            </w:tr>
            <w:tr w:rsidR="0099310A" w:rsidTr="00393026">
              <w:tc>
                <w:tcPr>
                  <w:tcW w:w="1156" w:type="pct"/>
                </w:tcPr>
                <w:p w:rsidR="0099310A" w:rsidRPr="005F3E56" w:rsidRDefault="0099310A" w:rsidP="00A376A3">
                  <w:pPr>
                    <w:pStyle w:val="TableBodyText"/>
                    <w:ind w:left="136"/>
                    <w:jc w:val="left"/>
                  </w:pPr>
                  <w:r w:rsidRPr="005F3E56">
                    <w:t>Coronary angioplasty</w:t>
                  </w:r>
                </w:p>
              </w:tc>
              <w:tc>
                <w:tcPr>
                  <w:tcW w:w="501" w:type="pct"/>
                  <w:vAlign w:val="center"/>
                </w:tcPr>
                <w:p w:rsidR="0099310A" w:rsidRPr="0099310A" w:rsidRDefault="0099310A" w:rsidP="0099310A">
                  <w:pPr>
                    <w:pStyle w:val="TableBodyText"/>
                  </w:pPr>
                  <w:r w:rsidRPr="0099310A">
                    <w:t>0.9</w:t>
                  </w:r>
                </w:p>
              </w:tc>
              <w:tc>
                <w:tcPr>
                  <w:tcW w:w="417" w:type="pct"/>
                  <w:vAlign w:val="center"/>
                </w:tcPr>
                <w:p w:rsidR="0099310A" w:rsidRPr="0099310A" w:rsidRDefault="0099310A" w:rsidP="0099310A">
                  <w:pPr>
                    <w:pStyle w:val="TableBodyText"/>
                  </w:pPr>
                  <w:r w:rsidRPr="0099310A">
                    <w:t>0.8</w:t>
                  </w:r>
                </w:p>
              </w:tc>
              <w:tc>
                <w:tcPr>
                  <w:tcW w:w="418" w:type="pct"/>
                  <w:vAlign w:val="center"/>
                </w:tcPr>
                <w:p w:rsidR="0099310A" w:rsidRPr="0099310A" w:rsidRDefault="0099310A" w:rsidP="0099310A">
                  <w:pPr>
                    <w:pStyle w:val="TableBodyText"/>
                  </w:pPr>
                  <w:r w:rsidRPr="0099310A">
                    <w:t>0.8</w:t>
                  </w:r>
                </w:p>
              </w:tc>
              <w:tc>
                <w:tcPr>
                  <w:tcW w:w="417" w:type="pct"/>
                  <w:vAlign w:val="center"/>
                </w:tcPr>
                <w:p w:rsidR="0099310A" w:rsidRPr="0099310A" w:rsidRDefault="0099310A" w:rsidP="0099310A">
                  <w:pPr>
                    <w:pStyle w:val="TableBodyText"/>
                  </w:pPr>
                  <w:r w:rsidRPr="0099310A">
                    <w:t>0.8</w:t>
                  </w:r>
                </w:p>
              </w:tc>
              <w:tc>
                <w:tcPr>
                  <w:tcW w:w="418" w:type="pct"/>
                  <w:vAlign w:val="center"/>
                </w:tcPr>
                <w:p w:rsidR="0099310A" w:rsidRPr="0099310A" w:rsidRDefault="0099310A" w:rsidP="0099310A">
                  <w:pPr>
                    <w:pStyle w:val="TableBodyText"/>
                  </w:pPr>
                  <w:r w:rsidRPr="0099310A">
                    <w:t>0.9</w:t>
                  </w:r>
                </w:p>
              </w:tc>
              <w:tc>
                <w:tcPr>
                  <w:tcW w:w="418" w:type="pct"/>
                  <w:vAlign w:val="center"/>
                </w:tcPr>
                <w:p w:rsidR="0099310A" w:rsidRPr="0099310A" w:rsidRDefault="0099310A" w:rsidP="0099310A">
                  <w:pPr>
                    <w:pStyle w:val="TableBodyText"/>
                  </w:pPr>
                  <w:r w:rsidRPr="0099310A">
                    <w:t>1.0</w:t>
                  </w:r>
                </w:p>
              </w:tc>
              <w:tc>
                <w:tcPr>
                  <w:tcW w:w="418" w:type="pct"/>
                  <w:vAlign w:val="center"/>
                </w:tcPr>
                <w:p w:rsidR="0099310A" w:rsidRPr="0099310A" w:rsidRDefault="0099310A" w:rsidP="0099310A">
                  <w:pPr>
                    <w:pStyle w:val="TableBodyText"/>
                  </w:pPr>
                  <w:r w:rsidRPr="0099310A">
                    <w:t>2.0</w:t>
                  </w:r>
                </w:p>
              </w:tc>
              <w:tc>
                <w:tcPr>
                  <w:tcW w:w="417" w:type="pct"/>
                  <w:vAlign w:val="center"/>
                </w:tcPr>
                <w:p w:rsidR="0099310A" w:rsidRPr="0099310A" w:rsidRDefault="0099310A" w:rsidP="0099310A">
                  <w:pPr>
                    <w:pStyle w:val="TableBodyText"/>
                  </w:pPr>
                  <w:r w:rsidRPr="0099310A">
                    <w:t>..</w:t>
                  </w:r>
                </w:p>
              </w:tc>
              <w:tc>
                <w:tcPr>
                  <w:tcW w:w="418" w:type="pct"/>
                  <w:vAlign w:val="center"/>
                </w:tcPr>
                <w:p w:rsidR="0099310A" w:rsidRPr="0099310A" w:rsidRDefault="0099310A" w:rsidP="0099310A">
                  <w:pPr>
                    <w:pStyle w:val="TableBodyText"/>
                  </w:pPr>
                  <w:r w:rsidRPr="0099310A">
                    <w:t>0.9</w:t>
                  </w:r>
                </w:p>
              </w:tc>
            </w:tr>
            <w:tr w:rsidR="0099310A" w:rsidTr="00393026">
              <w:tc>
                <w:tcPr>
                  <w:tcW w:w="1156" w:type="pct"/>
                </w:tcPr>
                <w:p w:rsidR="0099310A" w:rsidRPr="005F3E56" w:rsidRDefault="0099310A" w:rsidP="00A376A3">
                  <w:pPr>
                    <w:pStyle w:val="TableBodyText"/>
                    <w:ind w:left="136"/>
                    <w:jc w:val="left"/>
                  </w:pPr>
                  <w:r w:rsidRPr="005F3E56">
                    <w:t>Coronary artery bypass graft</w:t>
                  </w:r>
                </w:p>
              </w:tc>
              <w:tc>
                <w:tcPr>
                  <w:tcW w:w="501" w:type="pct"/>
                  <w:vAlign w:val="center"/>
                </w:tcPr>
                <w:p w:rsidR="0099310A" w:rsidRPr="0099310A" w:rsidRDefault="0099310A" w:rsidP="0099310A">
                  <w:pPr>
                    <w:pStyle w:val="TableBodyText"/>
                  </w:pPr>
                  <w:r w:rsidRPr="0099310A">
                    <w:t>0.3</w:t>
                  </w:r>
                </w:p>
              </w:tc>
              <w:tc>
                <w:tcPr>
                  <w:tcW w:w="417" w:type="pct"/>
                  <w:vAlign w:val="center"/>
                </w:tcPr>
                <w:p w:rsidR="0099310A" w:rsidRPr="0099310A" w:rsidRDefault="0099310A" w:rsidP="0099310A">
                  <w:pPr>
                    <w:pStyle w:val="TableBodyText"/>
                  </w:pPr>
                  <w:r w:rsidRPr="0099310A">
                    <w:t>0.3</w:t>
                  </w:r>
                </w:p>
              </w:tc>
              <w:tc>
                <w:tcPr>
                  <w:tcW w:w="418" w:type="pct"/>
                  <w:vAlign w:val="center"/>
                </w:tcPr>
                <w:p w:rsidR="0099310A" w:rsidRPr="0099310A" w:rsidRDefault="0099310A" w:rsidP="0099310A">
                  <w:pPr>
                    <w:pStyle w:val="TableBodyText"/>
                  </w:pPr>
                  <w:r w:rsidRPr="0099310A">
                    <w:t>0.3</w:t>
                  </w:r>
                </w:p>
              </w:tc>
              <w:tc>
                <w:tcPr>
                  <w:tcW w:w="417" w:type="pct"/>
                  <w:vAlign w:val="center"/>
                </w:tcPr>
                <w:p w:rsidR="0099310A" w:rsidRPr="0099310A" w:rsidRDefault="0099310A" w:rsidP="0099310A">
                  <w:pPr>
                    <w:pStyle w:val="TableBodyText"/>
                  </w:pPr>
                  <w:r w:rsidRPr="0099310A">
                    <w:t>0.2</w:t>
                  </w:r>
                </w:p>
              </w:tc>
              <w:tc>
                <w:tcPr>
                  <w:tcW w:w="418" w:type="pct"/>
                  <w:vAlign w:val="center"/>
                </w:tcPr>
                <w:p w:rsidR="0099310A" w:rsidRPr="0099310A" w:rsidRDefault="0099310A" w:rsidP="0099310A">
                  <w:pPr>
                    <w:pStyle w:val="TableBodyText"/>
                  </w:pPr>
                  <w:r w:rsidRPr="0099310A">
                    <w:t>0.3</w:t>
                  </w:r>
                </w:p>
              </w:tc>
              <w:tc>
                <w:tcPr>
                  <w:tcW w:w="418" w:type="pct"/>
                  <w:vAlign w:val="center"/>
                </w:tcPr>
                <w:p w:rsidR="0099310A" w:rsidRPr="0099310A" w:rsidRDefault="0099310A" w:rsidP="0099310A">
                  <w:pPr>
                    <w:pStyle w:val="TableBodyText"/>
                  </w:pPr>
                  <w:r w:rsidRPr="0099310A">
                    <w:t>0.3</w:t>
                  </w:r>
                </w:p>
              </w:tc>
              <w:tc>
                <w:tcPr>
                  <w:tcW w:w="418" w:type="pct"/>
                  <w:vAlign w:val="center"/>
                </w:tcPr>
                <w:p w:rsidR="0099310A" w:rsidRPr="0099310A" w:rsidRDefault="0099310A" w:rsidP="0099310A">
                  <w:pPr>
                    <w:pStyle w:val="TableBodyText"/>
                  </w:pPr>
                  <w:r w:rsidRPr="0099310A">
                    <w:t>0.5</w:t>
                  </w:r>
                </w:p>
              </w:tc>
              <w:tc>
                <w:tcPr>
                  <w:tcW w:w="417" w:type="pct"/>
                  <w:vAlign w:val="center"/>
                </w:tcPr>
                <w:p w:rsidR="0099310A" w:rsidRPr="0099310A" w:rsidRDefault="0099310A" w:rsidP="0099310A">
                  <w:pPr>
                    <w:pStyle w:val="TableBodyText"/>
                  </w:pPr>
                  <w:r w:rsidRPr="0099310A">
                    <w:t>..</w:t>
                  </w:r>
                </w:p>
              </w:tc>
              <w:tc>
                <w:tcPr>
                  <w:tcW w:w="418" w:type="pct"/>
                  <w:vAlign w:val="center"/>
                </w:tcPr>
                <w:p w:rsidR="0099310A" w:rsidRPr="0099310A" w:rsidRDefault="0099310A" w:rsidP="0099310A">
                  <w:pPr>
                    <w:pStyle w:val="TableBodyText"/>
                  </w:pPr>
                  <w:r w:rsidRPr="0099310A">
                    <w:t>0.3</w:t>
                  </w:r>
                </w:p>
              </w:tc>
            </w:tr>
            <w:tr w:rsidR="0099310A" w:rsidTr="00393026">
              <w:tc>
                <w:tcPr>
                  <w:tcW w:w="1156" w:type="pct"/>
                </w:tcPr>
                <w:p w:rsidR="0099310A" w:rsidRPr="005F3E56" w:rsidRDefault="0099310A" w:rsidP="00A376A3">
                  <w:pPr>
                    <w:pStyle w:val="TableBodyText"/>
                    <w:ind w:left="136"/>
                    <w:jc w:val="left"/>
                  </w:pPr>
                  <w:r w:rsidRPr="005F3E56">
                    <w:t>Cystoscopy</w:t>
                  </w:r>
                </w:p>
              </w:tc>
              <w:tc>
                <w:tcPr>
                  <w:tcW w:w="501" w:type="pct"/>
                  <w:vAlign w:val="center"/>
                </w:tcPr>
                <w:p w:rsidR="0099310A" w:rsidRPr="0099310A" w:rsidRDefault="0099310A" w:rsidP="0099310A">
                  <w:pPr>
                    <w:pStyle w:val="TableBodyText"/>
                  </w:pPr>
                  <w:r w:rsidRPr="0099310A">
                    <w:t>1.6</w:t>
                  </w:r>
                </w:p>
              </w:tc>
              <w:tc>
                <w:tcPr>
                  <w:tcW w:w="417" w:type="pct"/>
                  <w:vAlign w:val="center"/>
                </w:tcPr>
                <w:p w:rsidR="0099310A" w:rsidRPr="0099310A" w:rsidRDefault="0099310A" w:rsidP="0099310A">
                  <w:pPr>
                    <w:pStyle w:val="TableBodyText"/>
                  </w:pPr>
                  <w:r w:rsidRPr="0099310A">
                    <w:t>2.9</w:t>
                  </w:r>
                </w:p>
              </w:tc>
              <w:tc>
                <w:tcPr>
                  <w:tcW w:w="418" w:type="pct"/>
                  <w:vAlign w:val="center"/>
                </w:tcPr>
                <w:p w:rsidR="0099310A" w:rsidRPr="0099310A" w:rsidRDefault="0099310A" w:rsidP="0099310A">
                  <w:pPr>
                    <w:pStyle w:val="TableBodyText"/>
                  </w:pPr>
                  <w:r w:rsidRPr="0099310A">
                    <w:t>2.0</w:t>
                  </w:r>
                </w:p>
              </w:tc>
              <w:tc>
                <w:tcPr>
                  <w:tcW w:w="417" w:type="pct"/>
                  <w:vAlign w:val="center"/>
                </w:tcPr>
                <w:p w:rsidR="0099310A" w:rsidRPr="0099310A" w:rsidRDefault="0099310A" w:rsidP="0099310A">
                  <w:pPr>
                    <w:pStyle w:val="TableBodyText"/>
                  </w:pPr>
                  <w:r w:rsidRPr="0099310A">
                    <w:t>3.3</w:t>
                  </w:r>
                </w:p>
              </w:tc>
              <w:tc>
                <w:tcPr>
                  <w:tcW w:w="418" w:type="pct"/>
                  <w:vAlign w:val="center"/>
                </w:tcPr>
                <w:p w:rsidR="0099310A" w:rsidRPr="0099310A" w:rsidRDefault="0099310A" w:rsidP="0099310A">
                  <w:pPr>
                    <w:pStyle w:val="TableBodyText"/>
                  </w:pPr>
                  <w:r w:rsidRPr="0099310A">
                    <w:t>2.7</w:t>
                  </w:r>
                </w:p>
              </w:tc>
              <w:tc>
                <w:tcPr>
                  <w:tcW w:w="418" w:type="pct"/>
                  <w:vAlign w:val="center"/>
                </w:tcPr>
                <w:p w:rsidR="0099310A" w:rsidRPr="0099310A" w:rsidRDefault="0099310A" w:rsidP="0099310A">
                  <w:pPr>
                    <w:pStyle w:val="TableBodyText"/>
                  </w:pPr>
                  <w:r w:rsidRPr="0099310A">
                    <w:t>1.6</w:t>
                  </w:r>
                </w:p>
              </w:tc>
              <w:tc>
                <w:tcPr>
                  <w:tcW w:w="418" w:type="pct"/>
                  <w:vAlign w:val="center"/>
                </w:tcPr>
                <w:p w:rsidR="0099310A" w:rsidRPr="0099310A" w:rsidRDefault="0099310A" w:rsidP="0099310A">
                  <w:pPr>
                    <w:pStyle w:val="TableBodyText"/>
                  </w:pPr>
                  <w:r w:rsidRPr="0099310A">
                    <w:t>3.0</w:t>
                  </w:r>
                </w:p>
              </w:tc>
              <w:tc>
                <w:tcPr>
                  <w:tcW w:w="417" w:type="pct"/>
                  <w:vAlign w:val="center"/>
                </w:tcPr>
                <w:p w:rsidR="0099310A" w:rsidRPr="0099310A" w:rsidRDefault="0099310A" w:rsidP="0099310A">
                  <w:pPr>
                    <w:pStyle w:val="TableBodyText"/>
                  </w:pPr>
                  <w:r w:rsidRPr="0099310A">
                    <w:t>2.0</w:t>
                  </w:r>
                </w:p>
              </w:tc>
              <w:tc>
                <w:tcPr>
                  <w:tcW w:w="418" w:type="pct"/>
                  <w:vAlign w:val="center"/>
                </w:tcPr>
                <w:p w:rsidR="0099310A" w:rsidRPr="0099310A" w:rsidRDefault="0099310A" w:rsidP="0099310A">
                  <w:pPr>
                    <w:pStyle w:val="TableBodyText"/>
                  </w:pPr>
                  <w:r w:rsidRPr="0099310A">
                    <w:t>2.3</w:t>
                  </w:r>
                </w:p>
              </w:tc>
            </w:tr>
            <w:tr w:rsidR="0099310A" w:rsidTr="00393026">
              <w:tc>
                <w:tcPr>
                  <w:tcW w:w="1156" w:type="pct"/>
                </w:tcPr>
                <w:p w:rsidR="0099310A" w:rsidRPr="005F3E56" w:rsidRDefault="0099310A" w:rsidP="00A376A3">
                  <w:pPr>
                    <w:pStyle w:val="TableBodyText"/>
                    <w:ind w:left="136"/>
                    <w:jc w:val="left"/>
                  </w:pPr>
                  <w:r w:rsidRPr="005F3E56">
                    <w:t>Haemorrhoidectomy</w:t>
                  </w:r>
                </w:p>
              </w:tc>
              <w:tc>
                <w:tcPr>
                  <w:tcW w:w="501" w:type="pct"/>
                  <w:vAlign w:val="center"/>
                </w:tcPr>
                <w:p w:rsidR="0099310A" w:rsidRPr="0099310A" w:rsidRDefault="0099310A" w:rsidP="0099310A">
                  <w:pPr>
                    <w:pStyle w:val="TableBodyText"/>
                  </w:pPr>
                  <w:r w:rsidRPr="0099310A">
                    <w:t>1.0</w:t>
                  </w:r>
                </w:p>
              </w:tc>
              <w:tc>
                <w:tcPr>
                  <w:tcW w:w="417" w:type="pct"/>
                  <w:vAlign w:val="center"/>
                </w:tcPr>
                <w:p w:rsidR="0099310A" w:rsidRPr="0099310A" w:rsidRDefault="0099310A" w:rsidP="0099310A">
                  <w:pPr>
                    <w:pStyle w:val="TableBodyText"/>
                  </w:pPr>
                  <w:r w:rsidRPr="0099310A">
                    <w:t>0.8</w:t>
                  </w:r>
                </w:p>
              </w:tc>
              <w:tc>
                <w:tcPr>
                  <w:tcW w:w="418" w:type="pct"/>
                  <w:vAlign w:val="center"/>
                </w:tcPr>
                <w:p w:rsidR="0099310A" w:rsidRPr="0099310A" w:rsidRDefault="0099310A" w:rsidP="0099310A">
                  <w:pPr>
                    <w:pStyle w:val="TableBodyText"/>
                  </w:pPr>
                  <w:r w:rsidRPr="0099310A">
                    <w:t>0.3</w:t>
                  </w:r>
                </w:p>
              </w:tc>
              <w:tc>
                <w:tcPr>
                  <w:tcW w:w="417" w:type="pct"/>
                  <w:vAlign w:val="center"/>
                </w:tcPr>
                <w:p w:rsidR="0099310A" w:rsidRPr="0099310A" w:rsidRDefault="0099310A" w:rsidP="0099310A">
                  <w:pPr>
                    <w:pStyle w:val="TableBodyText"/>
                  </w:pPr>
                  <w:r w:rsidRPr="0099310A">
                    <w:t>0.5</w:t>
                  </w:r>
                </w:p>
              </w:tc>
              <w:tc>
                <w:tcPr>
                  <w:tcW w:w="418" w:type="pct"/>
                  <w:vAlign w:val="center"/>
                </w:tcPr>
                <w:p w:rsidR="0099310A" w:rsidRPr="0099310A" w:rsidRDefault="0099310A" w:rsidP="0099310A">
                  <w:pPr>
                    <w:pStyle w:val="TableBodyText"/>
                  </w:pPr>
                  <w:r w:rsidRPr="0099310A">
                    <w:t>0.5</w:t>
                  </w:r>
                </w:p>
              </w:tc>
              <w:tc>
                <w:tcPr>
                  <w:tcW w:w="418" w:type="pct"/>
                  <w:vAlign w:val="center"/>
                </w:tcPr>
                <w:p w:rsidR="0099310A" w:rsidRPr="0099310A" w:rsidRDefault="0099310A" w:rsidP="0099310A">
                  <w:pPr>
                    <w:pStyle w:val="TableBodyText"/>
                  </w:pPr>
                  <w:r w:rsidRPr="0099310A">
                    <w:t>0.6</w:t>
                  </w:r>
                </w:p>
              </w:tc>
              <w:tc>
                <w:tcPr>
                  <w:tcW w:w="418" w:type="pct"/>
                  <w:vAlign w:val="center"/>
                </w:tcPr>
                <w:p w:rsidR="0099310A" w:rsidRPr="0099310A" w:rsidRDefault="0099310A" w:rsidP="0099310A">
                  <w:pPr>
                    <w:pStyle w:val="TableBodyText"/>
                  </w:pPr>
                  <w:r w:rsidRPr="0099310A">
                    <w:t>0.3</w:t>
                  </w:r>
                </w:p>
              </w:tc>
              <w:tc>
                <w:tcPr>
                  <w:tcW w:w="417" w:type="pct"/>
                  <w:vAlign w:val="center"/>
                </w:tcPr>
                <w:p w:rsidR="0099310A" w:rsidRPr="0099310A" w:rsidRDefault="0099310A" w:rsidP="0099310A">
                  <w:pPr>
                    <w:pStyle w:val="TableBodyText"/>
                  </w:pPr>
                  <w:r w:rsidRPr="0099310A">
                    <w:t>0.9</w:t>
                  </w:r>
                </w:p>
              </w:tc>
              <w:tc>
                <w:tcPr>
                  <w:tcW w:w="418" w:type="pct"/>
                  <w:vAlign w:val="center"/>
                </w:tcPr>
                <w:p w:rsidR="0099310A" w:rsidRPr="0099310A" w:rsidRDefault="0099310A" w:rsidP="0099310A">
                  <w:pPr>
                    <w:pStyle w:val="TableBodyText"/>
                  </w:pPr>
                  <w:r w:rsidRPr="0099310A">
                    <w:t>0.7</w:t>
                  </w:r>
                </w:p>
              </w:tc>
            </w:tr>
            <w:tr w:rsidR="0099310A" w:rsidTr="00393026">
              <w:tc>
                <w:tcPr>
                  <w:tcW w:w="1156" w:type="pct"/>
                </w:tcPr>
                <w:p w:rsidR="0099310A" w:rsidRPr="005F3E56" w:rsidRDefault="0099310A" w:rsidP="00A376A3">
                  <w:pPr>
                    <w:pStyle w:val="TableBodyText"/>
                    <w:ind w:left="136"/>
                    <w:jc w:val="left"/>
                  </w:pPr>
                  <w:r w:rsidRPr="005F3E56">
                    <w:t>Hip replacement</w:t>
                  </w:r>
                </w:p>
              </w:tc>
              <w:tc>
                <w:tcPr>
                  <w:tcW w:w="501" w:type="pct"/>
                  <w:vAlign w:val="center"/>
                </w:tcPr>
                <w:p w:rsidR="0099310A" w:rsidRPr="0099310A" w:rsidRDefault="0099310A" w:rsidP="0099310A">
                  <w:pPr>
                    <w:pStyle w:val="TableBodyText"/>
                  </w:pPr>
                  <w:r w:rsidRPr="0099310A">
                    <w:t>0.6</w:t>
                  </w:r>
                </w:p>
              </w:tc>
              <w:tc>
                <w:tcPr>
                  <w:tcW w:w="417" w:type="pct"/>
                  <w:vAlign w:val="center"/>
                </w:tcPr>
                <w:p w:rsidR="0099310A" w:rsidRPr="0099310A" w:rsidRDefault="0099310A" w:rsidP="0099310A">
                  <w:pPr>
                    <w:pStyle w:val="TableBodyText"/>
                  </w:pPr>
                  <w:r w:rsidRPr="0099310A">
                    <w:t>0.7</w:t>
                  </w:r>
                </w:p>
              </w:tc>
              <w:tc>
                <w:tcPr>
                  <w:tcW w:w="418" w:type="pct"/>
                  <w:vAlign w:val="center"/>
                </w:tcPr>
                <w:p w:rsidR="0099310A" w:rsidRPr="0099310A" w:rsidRDefault="0099310A" w:rsidP="0099310A">
                  <w:pPr>
                    <w:pStyle w:val="TableBodyText"/>
                  </w:pPr>
                  <w:r w:rsidRPr="0099310A">
                    <w:t>0.5</w:t>
                  </w:r>
                </w:p>
              </w:tc>
              <w:tc>
                <w:tcPr>
                  <w:tcW w:w="417" w:type="pct"/>
                  <w:vAlign w:val="center"/>
                </w:tcPr>
                <w:p w:rsidR="0099310A" w:rsidRPr="0099310A" w:rsidRDefault="0099310A" w:rsidP="0099310A">
                  <w:pPr>
                    <w:pStyle w:val="TableBodyText"/>
                  </w:pPr>
                  <w:r w:rsidRPr="0099310A">
                    <w:t>0.8</w:t>
                  </w:r>
                </w:p>
              </w:tc>
              <w:tc>
                <w:tcPr>
                  <w:tcW w:w="418" w:type="pct"/>
                  <w:vAlign w:val="center"/>
                </w:tcPr>
                <w:p w:rsidR="0099310A" w:rsidRPr="0099310A" w:rsidRDefault="0099310A" w:rsidP="0099310A">
                  <w:pPr>
                    <w:pStyle w:val="TableBodyText"/>
                  </w:pPr>
                  <w:r w:rsidRPr="0099310A">
                    <w:t>0.7</w:t>
                  </w:r>
                </w:p>
              </w:tc>
              <w:tc>
                <w:tcPr>
                  <w:tcW w:w="418" w:type="pct"/>
                  <w:vAlign w:val="center"/>
                </w:tcPr>
                <w:p w:rsidR="0099310A" w:rsidRPr="0099310A" w:rsidRDefault="0099310A" w:rsidP="0099310A">
                  <w:pPr>
                    <w:pStyle w:val="TableBodyText"/>
                  </w:pPr>
                  <w:r w:rsidRPr="0099310A">
                    <w:t>0.7</w:t>
                  </w:r>
                </w:p>
              </w:tc>
              <w:tc>
                <w:tcPr>
                  <w:tcW w:w="418" w:type="pct"/>
                  <w:vAlign w:val="center"/>
                </w:tcPr>
                <w:p w:rsidR="0099310A" w:rsidRPr="0099310A" w:rsidRDefault="0099310A" w:rsidP="0099310A">
                  <w:pPr>
                    <w:pStyle w:val="TableBodyText"/>
                  </w:pPr>
                  <w:r w:rsidRPr="0099310A">
                    <w:t>1.0</w:t>
                  </w:r>
                </w:p>
              </w:tc>
              <w:tc>
                <w:tcPr>
                  <w:tcW w:w="417" w:type="pct"/>
                  <w:vAlign w:val="center"/>
                </w:tcPr>
                <w:p w:rsidR="0099310A" w:rsidRPr="0099310A" w:rsidRDefault="0099310A" w:rsidP="0099310A">
                  <w:pPr>
                    <w:pStyle w:val="TableBodyText"/>
                  </w:pPr>
                  <w:r w:rsidRPr="0099310A">
                    <w:t>0.6</w:t>
                  </w:r>
                </w:p>
              </w:tc>
              <w:tc>
                <w:tcPr>
                  <w:tcW w:w="418" w:type="pct"/>
                  <w:vAlign w:val="center"/>
                </w:tcPr>
                <w:p w:rsidR="0099310A" w:rsidRPr="0099310A" w:rsidRDefault="0099310A" w:rsidP="0099310A">
                  <w:pPr>
                    <w:pStyle w:val="TableBodyText"/>
                  </w:pPr>
                  <w:r w:rsidRPr="0099310A">
                    <w:t>0.6</w:t>
                  </w:r>
                </w:p>
              </w:tc>
            </w:tr>
            <w:tr w:rsidR="0099310A" w:rsidTr="00393026">
              <w:tc>
                <w:tcPr>
                  <w:tcW w:w="1156" w:type="pct"/>
                </w:tcPr>
                <w:p w:rsidR="0099310A" w:rsidRPr="005F3E56" w:rsidRDefault="0099310A" w:rsidP="00A376A3">
                  <w:pPr>
                    <w:pStyle w:val="TableBodyText"/>
                    <w:ind w:left="136"/>
                    <w:jc w:val="left"/>
                  </w:pPr>
                  <w:r w:rsidRPr="005F3E56">
                    <w:t>Hysterectomy, females aged 15–69</w:t>
                  </w:r>
                  <w:r>
                    <w:t xml:space="preserve"> years</w:t>
                  </w:r>
                </w:p>
              </w:tc>
              <w:tc>
                <w:tcPr>
                  <w:tcW w:w="501" w:type="pct"/>
                  <w:vAlign w:val="center"/>
                </w:tcPr>
                <w:p w:rsidR="0099310A" w:rsidRPr="0099310A" w:rsidRDefault="0099310A" w:rsidP="0099310A">
                  <w:pPr>
                    <w:pStyle w:val="TableBodyText"/>
                  </w:pPr>
                  <w:r w:rsidRPr="0099310A">
                    <w:t>1.0</w:t>
                  </w:r>
                </w:p>
              </w:tc>
              <w:tc>
                <w:tcPr>
                  <w:tcW w:w="417" w:type="pct"/>
                  <w:vAlign w:val="center"/>
                </w:tcPr>
                <w:p w:rsidR="0099310A" w:rsidRPr="0099310A" w:rsidRDefault="0099310A" w:rsidP="0099310A">
                  <w:pPr>
                    <w:pStyle w:val="TableBodyText"/>
                  </w:pPr>
                  <w:r w:rsidRPr="0099310A">
                    <w:t>1.1</w:t>
                  </w:r>
                </w:p>
              </w:tc>
              <w:tc>
                <w:tcPr>
                  <w:tcW w:w="418" w:type="pct"/>
                  <w:vAlign w:val="center"/>
                </w:tcPr>
                <w:p w:rsidR="0099310A" w:rsidRPr="0099310A" w:rsidRDefault="0099310A" w:rsidP="0099310A">
                  <w:pPr>
                    <w:pStyle w:val="TableBodyText"/>
                  </w:pPr>
                  <w:r w:rsidRPr="0099310A">
                    <w:t>1.0</w:t>
                  </w:r>
                </w:p>
              </w:tc>
              <w:tc>
                <w:tcPr>
                  <w:tcW w:w="417" w:type="pct"/>
                  <w:vAlign w:val="center"/>
                </w:tcPr>
                <w:p w:rsidR="0099310A" w:rsidRPr="0099310A" w:rsidRDefault="0099310A" w:rsidP="0099310A">
                  <w:pPr>
                    <w:pStyle w:val="TableBodyText"/>
                  </w:pPr>
                  <w:r w:rsidRPr="0099310A">
                    <w:t>1.0</w:t>
                  </w:r>
                </w:p>
              </w:tc>
              <w:tc>
                <w:tcPr>
                  <w:tcW w:w="418" w:type="pct"/>
                  <w:vAlign w:val="center"/>
                </w:tcPr>
                <w:p w:rsidR="0099310A" w:rsidRPr="0099310A" w:rsidRDefault="0099310A" w:rsidP="0099310A">
                  <w:pPr>
                    <w:pStyle w:val="TableBodyText"/>
                  </w:pPr>
                  <w:r w:rsidRPr="0099310A">
                    <w:t>1.2</w:t>
                  </w:r>
                </w:p>
              </w:tc>
              <w:tc>
                <w:tcPr>
                  <w:tcW w:w="418" w:type="pct"/>
                  <w:vAlign w:val="center"/>
                </w:tcPr>
                <w:p w:rsidR="0099310A" w:rsidRPr="0099310A" w:rsidRDefault="0099310A" w:rsidP="0099310A">
                  <w:pPr>
                    <w:pStyle w:val="TableBodyText"/>
                  </w:pPr>
                  <w:r w:rsidRPr="0099310A">
                    <w:t>1.2</w:t>
                  </w:r>
                </w:p>
              </w:tc>
              <w:tc>
                <w:tcPr>
                  <w:tcW w:w="418" w:type="pct"/>
                  <w:vAlign w:val="center"/>
                </w:tcPr>
                <w:p w:rsidR="0099310A" w:rsidRPr="0099310A" w:rsidRDefault="0099310A" w:rsidP="0099310A">
                  <w:pPr>
                    <w:pStyle w:val="TableBodyText"/>
                  </w:pPr>
                  <w:r w:rsidRPr="0099310A">
                    <w:t>0.9</w:t>
                  </w:r>
                </w:p>
              </w:tc>
              <w:tc>
                <w:tcPr>
                  <w:tcW w:w="417" w:type="pct"/>
                  <w:vAlign w:val="center"/>
                </w:tcPr>
                <w:p w:rsidR="0099310A" w:rsidRPr="0099310A" w:rsidRDefault="0099310A" w:rsidP="0099310A">
                  <w:pPr>
                    <w:pStyle w:val="TableBodyText"/>
                  </w:pPr>
                  <w:r w:rsidRPr="0099310A">
                    <w:t>0.8</w:t>
                  </w:r>
                </w:p>
              </w:tc>
              <w:tc>
                <w:tcPr>
                  <w:tcW w:w="418" w:type="pct"/>
                  <w:vAlign w:val="center"/>
                </w:tcPr>
                <w:p w:rsidR="0099310A" w:rsidRPr="0099310A" w:rsidRDefault="0099310A" w:rsidP="0099310A">
                  <w:pPr>
                    <w:pStyle w:val="TableBodyText"/>
                  </w:pPr>
                  <w:r w:rsidRPr="0099310A">
                    <w:t>1.0</w:t>
                  </w:r>
                </w:p>
              </w:tc>
            </w:tr>
            <w:tr w:rsidR="0099310A" w:rsidTr="00393026">
              <w:tc>
                <w:tcPr>
                  <w:tcW w:w="1156" w:type="pct"/>
                </w:tcPr>
                <w:p w:rsidR="0099310A" w:rsidRPr="005F3E56" w:rsidRDefault="0099310A" w:rsidP="00A376A3">
                  <w:pPr>
                    <w:pStyle w:val="TableBodyText"/>
                    <w:ind w:left="136"/>
                    <w:jc w:val="left"/>
                  </w:pPr>
                  <w:r w:rsidRPr="005F3E56">
                    <w:t>Inguinal herniorrhaphy</w:t>
                  </w:r>
                </w:p>
              </w:tc>
              <w:tc>
                <w:tcPr>
                  <w:tcW w:w="501" w:type="pct"/>
                  <w:vAlign w:val="center"/>
                </w:tcPr>
                <w:p w:rsidR="0099310A" w:rsidRPr="0099310A" w:rsidRDefault="0099310A" w:rsidP="0099310A">
                  <w:pPr>
                    <w:pStyle w:val="TableBodyText"/>
                  </w:pPr>
                  <w:r w:rsidRPr="0099310A">
                    <w:t>1.0</w:t>
                  </w:r>
                </w:p>
              </w:tc>
              <w:tc>
                <w:tcPr>
                  <w:tcW w:w="417" w:type="pct"/>
                  <w:vAlign w:val="center"/>
                </w:tcPr>
                <w:p w:rsidR="0099310A" w:rsidRPr="0099310A" w:rsidRDefault="0099310A" w:rsidP="0099310A">
                  <w:pPr>
                    <w:pStyle w:val="TableBodyText"/>
                  </w:pPr>
                  <w:r w:rsidRPr="0099310A">
                    <w:t>1.0</w:t>
                  </w:r>
                </w:p>
              </w:tc>
              <w:tc>
                <w:tcPr>
                  <w:tcW w:w="418" w:type="pct"/>
                  <w:vAlign w:val="center"/>
                </w:tcPr>
                <w:p w:rsidR="0099310A" w:rsidRPr="0099310A" w:rsidRDefault="0099310A" w:rsidP="0099310A">
                  <w:pPr>
                    <w:pStyle w:val="TableBodyText"/>
                  </w:pPr>
                  <w:r w:rsidRPr="0099310A">
                    <w:t>0.8</w:t>
                  </w:r>
                </w:p>
              </w:tc>
              <w:tc>
                <w:tcPr>
                  <w:tcW w:w="417" w:type="pct"/>
                  <w:vAlign w:val="center"/>
                </w:tcPr>
                <w:p w:rsidR="0099310A" w:rsidRPr="0099310A" w:rsidRDefault="0099310A" w:rsidP="0099310A">
                  <w:pPr>
                    <w:pStyle w:val="TableBodyText"/>
                  </w:pPr>
                  <w:r w:rsidRPr="0099310A">
                    <w:t>1.0</w:t>
                  </w:r>
                </w:p>
              </w:tc>
              <w:tc>
                <w:tcPr>
                  <w:tcW w:w="418" w:type="pct"/>
                  <w:vAlign w:val="center"/>
                </w:tcPr>
                <w:p w:rsidR="0099310A" w:rsidRPr="0099310A" w:rsidRDefault="0099310A" w:rsidP="0099310A">
                  <w:pPr>
                    <w:pStyle w:val="TableBodyText"/>
                  </w:pPr>
                  <w:r w:rsidRPr="0099310A">
                    <w:t>1.0</w:t>
                  </w:r>
                </w:p>
              </w:tc>
              <w:tc>
                <w:tcPr>
                  <w:tcW w:w="418" w:type="pct"/>
                  <w:vAlign w:val="center"/>
                </w:tcPr>
                <w:p w:rsidR="0099310A" w:rsidRPr="0099310A" w:rsidRDefault="0099310A" w:rsidP="0099310A">
                  <w:pPr>
                    <w:pStyle w:val="TableBodyText"/>
                  </w:pPr>
                  <w:r w:rsidRPr="0099310A">
                    <w:t>1.0</w:t>
                  </w:r>
                </w:p>
              </w:tc>
              <w:tc>
                <w:tcPr>
                  <w:tcW w:w="418" w:type="pct"/>
                  <w:vAlign w:val="center"/>
                </w:tcPr>
                <w:p w:rsidR="0099310A" w:rsidRPr="0099310A" w:rsidRDefault="0099310A" w:rsidP="0099310A">
                  <w:pPr>
                    <w:pStyle w:val="TableBodyText"/>
                  </w:pPr>
                  <w:r w:rsidRPr="0099310A">
                    <w:t>1.0</w:t>
                  </w:r>
                </w:p>
              </w:tc>
              <w:tc>
                <w:tcPr>
                  <w:tcW w:w="417" w:type="pct"/>
                  <w:vAlign w:val="center"/>
                </w:tcPr>
                <w:p w:rsidR="0099310A" w:rsidRPr="0099310A" w:rsidRDefault="0099310A" w:rsidP="0099310A">
                  <w:pPr>
                    <w:pStyle w:val="TableBodyText"/>
                  </w:pPr>
                  <w:r w:rsidRPr="0099310A">
                    <w:t>1.0</w:t>
                  </w:r>
                </w:p>
              </w:tc>
              <w:tc>
                <w:tcPr>
                  <w:tcW w:w="418" w:type="pct"/>
                  <w:vAlign w:val="center"/>
                </w:tcPr>
                <w:p w:rsidR="0099310A" w:rsidRPr="0099310A" w:rsidRDefault="0099310A" w:rsidP="0099310A">
                  <w:pPr>
                    <w:pStyle w:val="TableBodyText"/>
                  </w:pPr>
                  <w:r w:rsidRPr="0099310A">
                    <w:t>1.0</w:t>
                  </w:r>
                </w:p>
              </w:tc>
            </w:tr>
            <w:tr w:rsidR="0099310A" w:rsidTr="00393026">
              <w:tc>
                <w:tcPr>
                  <w:tcW w:w="1156" w:type="pct"/>
                </w:tcPr>
                <w:p w:rsidR="0099310A" w:rsidRPr="005F3E56" w:rsidRDefault="0099310A" w:rsidP="00A376A3">
                  <w:pPr>
                    <w:pStyle w:val="TableBodyText"/>
                    <w:ind w:left="136"/>
                    <w:jc w:val="left"/>
                  </w:pPr>
                  <w:r w:rsidRPr="005F3E56">
                    <w:t>Knee replacement</w:t>
                  </w:r>
                </w:p>
              </w:tc>
              <w:tc>
                <w:tcPr>
                  <w:tcW w:w="501" w:type="pct"/>
                  <w:vAlign w:val="center"/>
                </w:tcPr>
                <w:p w:rsidR="0099310A" w:rsidRPr="0099310A" w:rsidRDefault="0099310A" w:rsidP="0099310A">
                  <w:pPr>
                    <w:pStyle w:val="TableBodyText"/>
                  </w:pPr>
                  <w:r w:rsidRPr="0099310A">
                    <w:t>0.7</w:t>
                  </w:r>
                </w:p>
              </w:tc>
              <w:tc>
                <w:tcPr>
                  <w:tcW w:w="417" w:type="pct"/>
                  <w:vAlign w:val="center"/>
                </w:tcPr>
                <w:p w:rsidR="0099310A" w:rsidRPr="0099310A" w:rsidRDefault="0099310A" w:rsidP="0099310A">
                  <w:pPr>
                    <w:pStyle w:val="TableBodyText"/>
                  </w:pPr>
                  <w:r w:rsidRPr="0099310A">
                    <w:t>0.5</w:t>
                  </w:r>
                </w:p>
              </w:tc>
              <w:tc>
                <w:tcPr>
                  <w:tcW w:w="418" w:type="pct"/>
                  <w:vAlign w:val="center"/>
                </w:tcPr>
                <w:p w:rsidR="0099310A" w:rsidRPr="0099310A" w:rsidRDefault="0099310A" w:rsidP="0099310A">
                  <w:pPr>
                    <w:pStyle w:val="TableBodyText"/>
                  </w:pPr>
                  <w:r w:rsidRPr="0099310A">
                    <w:t>0.5</w:t>
                  </w:r>
                </w:p>
              </w:tc>
              <w:tc>
                <w:tcPr>
                  <w:tcW w:w="417" w:type="pct"/>
                  <w:vAlign w:val="center"/>
                </w:tcPr>
                <w:p w:rsidR="0099310A" w:rsidRPr="0099310A" w:rsidRDefault="0099310A" w:rsidP="0099310A">
                  <w:pPr>
                    <w:pStyle w:val="TableBodyText"/>
                  </w:pPr>
                  <w:r w:rsidRPr="0099310A">
                    <w:t>0.7</w:t>
                  </w:r>
                </w:p>
              </w:tc>
              <w:tc>
                <w:tcPr>
                  <w:tcW w:w="418" w:type="pct"/>
                  <w:vAlign w:val="center"/>
                </w:tcPr>
                <w:p w:rsidR="0099310A" w:rsidRPr="0099310A" w:rsidRDefault="0099310A" w:rsidP="0099310A">
                  <w:pPr>
                    <w:pStyle w:val="TableBodyText"/>
                  </w:pPr>
                  <w:r w:rsidRPr="0099310A">
                    <w:t>0.6</w:t>
                  </w:r>
                </w:p>
              </w:tc>
              <w:tc>
                <w:tcPr>
                  <w:tcW w:w="418" w:type="pct"/>
                  <w:vAlign w:val="center"/>
                </w:tcPr>
                <w:p w:rsidR="0099310A" w:rsidRPr="0099310A" w:rsidRDefault="0099310A" w:rsidP="0099310A">
                  <w:pPr>
                    <w:pStyle w:val="TableBodyText"/>
                  </w:pPr>
                  <w:r w:rsidRPr="0099310A">
                    <w:t>0.4</w:t>
                  </w:r>
                </w:p>
              </w:tc>
              <w:tc>
                <w:tcPr>
                  <w:tcW w:w="418" w:type="pct"/>
                  <w:vAlign w:val="center"/>
                </w:tcPr>
                <w:p w:rsidR="0099310A" w:rsidRPr="0099310A" w:rsidRDefault="0099310A" w:rsidP="0099310A">
                  <w:pPr>
                    <w:pStyle w:val="TableBodyText"/>
                  </w:pPr>
                  <w:r w:rsidRPr="0099310A">
                    <w:t>0.7</w:t>
                  </w:r>
                </w:p>
              </w:tc>
              <w:tc>
                <w:tcPr>
                  <w:tcW w:w="417" w:type="pct"/>
                  <w:vAlign w:val="center"/>
                </w:tcPr>
                <w:p w:rsidR="0099310A" w:rsidRPr="0099310A" w:rsidRDefault="0099310A" w:rsidP="0099310A">
                  <w:pPr>
                    <w:pStyle w:val="TableBodyText"/>
                  </w:pPr>
                  <w:r w:rsidRPr="0099310A">
                    <w:t>0.5</w:t>
                  </w:r>
                </w:p>
              </w:tc>
              <w:tc>
                <w:tcPr>
                  <w:tcW w:w="418" w:type="pct"/>
                  <w:vAlign w:val="center"/>
                </w:tcPr>
                <w:p w:rsidR="0099310A" w:rsidRPr="0099310A" w:rsidRDefault="0099310A" w:rsidP="0099310A">
                  <w:pPr>
                    <w:pStyle w:val="TableBodyText"/>
                  </w:pPr>
                  <w:r w:rsidRPr="0099310A">
                    <w:t>0.6</w:t>
                  </w:r>
                </w:p>
              </w:tc>
            </w:tr>
            <w:tr w:rsidR="0099310A" w:rsidTr="00393026">
              <w:tc>
                <w:tcPr>
                  <w:tcW w:w="1156" w:type="pct"/>
                </w:tcPr>
                <w:p w:rsidR="0099310A" w:rsidRPr="005F3E56" w:rsidRDefault="0099310A" w:rsidP="00A376A3">
                  <w:pPr>
                    <w:pStyle w:val="TableBodyText"/>
                    <w:ind w:left="136"/>
                    <w:jc w:val="left"/>
                  </w:pPr>
                  <w:r w:rsidRPr="005F3E56">
                    <w:t>Myringotomy (with insertion of tube)</w:t>
                  </w:r>
                </w:p>
              </w:tc>
              <w:tc>
                <w:tcPr>
                  <w:tcW w:w="501" w:type="pct"/>
                  <w:vAlign w:val="center"/>
                </w:tcPr>
                <w:p w:rsidR="0099310A" w:rsidRPr="0099310A" w:rsidRDefault="0099310A" w:rsidP="0099310A">
                  <w:pPr>
                    <w:pStyle w:val="TableBodyText"/>
                  </w:pPr>
                  <w:r w:rsidRPr="0099310A">
                    <w:t>0.5</w:t>
                  </w:r>
                </w:p>
              </w:tc>
              <w:tc>
                <w:tcPr>
                  <w:tcW w:w="417" w:type="pct"/>
                  <w:vAlign w:val="center"/>
                </w:tcPr>
                <w:p w:rsidR="0099310A" w:rsidRPr="0099310A" w:rsidRDefault="0099310A" w:rsidP="0099310A">
                  <w:pPr>
                    <w:pStyle w:val="TableBodyText"/>
                  </w:pPr>
                  <w:r w:rsidRPr="0099310A">
                    <w:t>0.7</w:t>
                  </w:r>
                </w:p>
              </w:tc>
              <w:tc>
                <w:tcPr>
                  <w:tcW w:w="418" w:type="pct"/>
                  <w:vAlign w:val="center"/>
                </w:tcPr>
                <w:p w:rsidR="0099310A" w:rsidRPr="0099310A" w:rsidRDefault="0099310A" w:rsidP="0099310A">
                  <w:pPr>
                    <w:pStyle w:val="TableBodyText"/>
                  </w:pPr>
                  <w:r w:rsidRPr="0099310A">
                    <w:t>0.6</w:t>
                  </w:r>
                </w:p>
              </w:tc>
              <w:tc>
                <w:tcPr>
                  <w:tcW w:w="417" w:type="pct"/>
                  <w:vAlign w:val="center"/>
                </w:tcPr>
                <w:p w:rsidR="0099310A" w:rsidRPr="0099310A" w:rsidRDefault="0099310A" w:rsidP="0099310A">
                  <w:pPr>
                    <w:pStyle w:val="TableBodyText"/>
                  </w:pPr>
                  <w:r w:rsidRPr="0099310A">
                    <w:t>0.8</w:t>
                  </w:r>
                </w:p>
              </w:tc>
              <w:tc>
                <w:tcPr>
                  <w:tcW w:w="418" w:type="pct"/>
                  <w:vAlign w:val="center"/>
                </w:tcPr>
                <w:p w:rsidR="0099310A" w:rsidRPr="0099310A" w:rsidRDefault="0099310A" w:rsidP="0099310A">
                  <w:pPr>
                    <w:pStyle w:val="TableBodyText"/>
                  </w:pPr>
                  <w:r w:rsidRPr="0099310A">
                    <w:t>1.4</w:t>
                  </w:r>
                </w:p>
              </w:tc>
              <w:tc>
                <w:tcPr>
                  <w:tcW w:w="418" w:type="pct"/>
                  <w:vAlign w:val="center"/>
                </w:tcPr>
                <w:p w:rsidR="0099310A" w:rsidRPr="0099310A" w:rsidRDefault="0099310A" w:rsidP="0099310A">
                  <w:pPr>
                    <w:pStyle w:val="TableBodyText"/>
                  </w:pPr>
                  <w:r w:rsidRPr="0099310A">
                    <w:t>0.5</w:t>
                  </w:r>
                </w:p>
              </w:tc>
              <w:tc>
                <w:tcPr>
                  <w:tcW w:w="418" w:type="pct"/>
                  <w:vAlign w:val="center"/>
                </w:tcPr>
                <w:p w:rsidR="0099310A" w:rsidRPr="0099310A" w:rsidRDefault="0099310A" w:rsidP="0099310A">
                  <w:pPr>
                    <w:pStyle w:val="TableBodyText"/>
                  </w:pPr>
                  <w:r w:rsidRPr="0099310A">
                    <w:t>0.5</w:t>
                  </w:r>
                </w:p>
              </w:tc>
              <w:tc>
                <w:tcPr>
                  <w:tcW w:w="417" w:type="pct"/>
                  <w:vAlign w:val="center"/>
                </w:tcPr>
                <w:p w:rsidR="0099310A" w:rsidRPr="0099310A" w:rsidRDefault="0099310A" w:rsidP="0099310A">
                  <w:pPr>
                    <w:pStyle w:val="TableBodyText"/>
                  </w:pPr>
                  <w:r w:rsidRPr="0099310A">
                    <w:t>0.6</w:t>
                  </w:r>
                </w:p>
              </w:tc>
              <w:tc>
                <w:tcPr>
                  <w:tcW w:w="418" w:type="pct"/>
                  <w:vAlign w:val="center"/>
                </w:tcPr>
                <w:p w:rsidR="0099310A" w:rsidRPr="0099310A" w:rsidRDefault="0099310A" w:rsidP="0099310A">
                  <w:pPr>
                    <w:pStyle w:val="TableBodyText"/>
                  </w:pPr>
                  <w:r w:rsidRPr="0099310A">
                    <w:t>0.7</w:t>
                  </w:r>
                </w:p>
              </w:tc>
            </w:tr>
            <w:tr w:rsidR="0099310A" w:rsidTr="00393026">
              <w:tc>
                <w:tcPr>
                  <w:tcW w:w="1156" w:type="pct"/>
                </w:tcPr>
                <w:p w:rsidR="0099310A" w:rsidRPr="005F3E56" w:rsidRDefault="0099310A" w:rsidP="00A376A3">
                  <w:pPr>
                    <w:pStyle w:val="TableBodyText"/>
                    <w:ind w:left="136"/>
                    <w:jc w:val="left"/>
                  </w:pPr>
                  <w:r w:rsidRPr="005F3E56">
                    <w:t>Prostatectomy</w:t>
                  </w:r>
                </w:p>
              </w:tc>
              <w:tc>
                <w:tcPr>
                  <w:tcW w:w="501" w:type="pct"/>
                  <w:vAlign w:val="center"/>
                </w:tcPr>
                <w:p w:rsidR="0099310A" w:rsidRPr="0099310A" w:rsidRDefault="0099310A" w:rsidP="0099310A">
                  <w:pPr>
                    <w:pStyle w:val="TableBodyText"/>
                  </w:pPr>
                  <w:r w:rsidRPr="0099310A">
                    <w:t>0.9</w:t>
                  </w:r>
                </w:p>
              </w:tc>
              <w:tc>
                <w:tcPr>
                  <w:tcW w:w="417" w:type="pct"/>
                  <w:vAlign w:val="center"/>
                </w:tcPr>
                <w:p w:rsidR="0099310A" w:rsidRPr="0099310A" w:rsidRDefault="0099310A" w:rsidP="0099310A">
                  <w:pPr>
                    <w:pStyle w:val="TableBodyText"/>
                  </w:pPr>
                  <w:r w:rsidRPr="0099310A">
                    <w:t>1.0</w:t>
                  </w:r>
                </w:p>
              </w:tc>
              <w:tc>
                <w:tcPr>
                  <w:tcW w:w="418" w:type="pct"/>
                  <w:vAlign w:val="center"/>
                </w:tcPr>
                <w:p w:rsidR="0099310A" w:rsidRPr="0099310A" w:rsidRDefault="0099310A" w:rsidP="0099310A">
                  <w:pPr>
                    <w:pStyle w:val="TableBodyText"/>
                  </w:pPr>
                  <w:r w:rsidRPr="0099310A">
                    <w:t>0.7</w:t>
                  </w:r>
                </w:p>
              </w:tc>
              <w:tc>
                <w:tcPr>
                  <w:tcW w:w="417" w:type="pct"/>
                  <w:vAlign w:val="center"/>
                </w:tcPr>
                <w:p w:rsidR="0099310A" w:rsidRPr="0099310A" w:rsidRDefault="0099310A" w:rsidP="0099310A">
                  <w:pPr>
                    <w:pStyle w:val="TableBodyText"/>
                  </w:pPr>
                  <w:r w:rsidRPr="0099310A">
                    <w:t>0.9</w:t>
                  </w:r>
                </w:p>
              </w:tc>
              <w:tc>
                <w:tcPr>
                  <w:tcW w:w="418" w:type="pct"/>
                  <w:vAlign w:val="center"/>
                </w:tcPr>
                <w:p w:rsidR="0099310A" w:rsidRPr="0099310A" w:rsidRDefault="0099310A" w:rsidP="0099310A">
                  <w:pPr>
                    <w:pStyle w:val="TableBodyText"/>
                  </w:pPr>
                  <w:r w:rsidRPr="0099310A">
                    <w:t>1.0</w:t>
                  </w:r>
                </w:p>
              </w:tc>
              <w:tc>
                <w:tcPr>
                  <w:tcW w:w="418" w:type="pct"/>
                  <w:vAlign w:val="center"/>
                </w:tcPr>
                <w:p w:rsidR="0099310A" w:rsidRPr="0099310A" w:rsidRDefault="0099310A" w:rsidP="0099310A">
                  <w:pPr>
                    <w:pStyle w:val="TableBodyText"/>
                  </w:pPr>
                  <w:r w:rsidRPr="0099310A">
                    <w:t>0.8</w:t>
                  </w:r>
                </w:p>
              </w:tc>
              <w:tc>
                <w:tcPr>
                  <w:tcW w:w="418" w:type="pct"/>
                  <w:vAlign w:val="center"/>
                </w:tcPr>
                <w:p w:rsidR="0099310A" w:rsidRPr="0099310A" w:rsidRDefault="0099310A" w:rsidP="0099310A">
                  <w:pPr>
                    <w:pStyle w:val="TableBodyText"/>
                  </w:pPr>
                  <w:r w:rsidRPr="0099310A">
                    <w:t>1.1</w:t>
                  </w:r>
                </w:p>
              </w:tc>
              <w:tc>
                <w:tcPr>
                  <w:tcW w:w="417" w:type="pct"/>
                  <w:vAlign w:val="center"/>
                </w:tcPr>
                <w:p w:rsidR="0099310A" w:rsidRPr="0099310A" w:rsidRDefault="0099310A" w:rsidP="0099310A">
                  <w:pPr>
                    <w:pStyle w:val="TableBodyText"/>
                  </w:pPr>
                  <w:r w:rsidRPr="0099310A">
                    <w:t>0.5</w:t>
                  </w:r>
                </w:p>
              </w:tc>
              <w:tc>
                <w:tcPr>
                  <w:tcW w:w="418" w:type="pct"/>
                  <w:vAlign w:val="center"/>
                </w:tcPr>
                <w:p w:rsidR="0099310A" w:rsidRPr="0099310A" w:rsidRDefault="0099310A" w:rsidP="0099310A">
                  <w:pPr>
                    <w:pStyle w:val="TableBodyText"/>
                  </w:pPr>
                  <w:r w:rsidRPr="0099310A">
                    <w:t>0.9</w:t>
                  </w:r>
                </w:p>
              </w:tc>
            </w:tr>
            <w:tr w:rsidR="0099310A" w:rsidTr="00393026">
              <w:tc>
                <w:tcPr>
                  <w:tcW w:w="1156" w:type="pct"/>
                </w:tcPr>
                <w:p w:rsidR="0099310A" w:rsidRPr="005F3E56" w:rsidRDefault="0099310A" w:rsidP="00A376A3">
                  <w:pPr>
                    <w:pStyle w:val="TableBodyText"/>
                    <w:ind w:left="136"/>
                    <w:jc w:val="left"/>
                  </w:pPr>
                  <w:r w:rsidRPr="005F3E56">
                    <w:t>Septoplasty</w:t>
                  </w:r>
                </w:p>
              </w:tc>
              <w:tc>
                <w:tcPr>
                  <w:tcW w:w="501" w:type="pct"/>
                  <w:vAlign w:val="center"/>
                </w:tcPr>
                <w:p w:rsidR="0099310A" w:rsidRPr="0099310A" w:rsidRDefault="0099310A" w:rsidP="0099310A">
                  <w:pPr>
                    <w:pStyle w:val="TableBodyText"/>
                  </w:pPr>
                  <w:r w:rsidRPr="0099310A">
                    <w:t>0.3</w:t>
                  </w:r>
                </w:p>
              </w:tc>
              <w:tc>
                <w:tcPr>
                  <w:tcW w:w="417" w:type="pct"/>
                  <w:vAlign w:val="center"/>
                </w:tcPr>
                <w:p w:rsidR="0099310A" w:rsidRPr="0099310A" w:rsidRDefault="0099310A" w:rsidP="0099310A">
                  <w:pPr>
                    <w:pStyle w:val="TableBodyText"/>
                  </w:pPr>
                  <w:r w:rsidRPr="0099310A">
                    <w:t>0.4</w:t>
                  </w:r>
                </w:p>
              </w:tc>
              <w:tc>
                <w:tcPr>
                  <w:tcW w:w="418" w:type="pct"/>
                  <w:vAlign w:val="center"/>
                </w:tcPr>
                <w:p w:rsidR="0099310A" w:rsidRPr="0099310A" w:rsidRDefault="0099310A" w:rsidP="0099310A">
                  <w:pPr>
                    <w:pStyle w:val="TableBodyText"/>
                  </w:pPr>
                  <w:r w:rsidRPr="0099310A">
                    <w:t>0.2</w:t>
                  </w:r>
                </w:p>
              </w:tc>
              <w:tc>
                <w:tcPr>
                  <w:tcW w:w="417" w:type="pct"/>
                  <w:vAlign w:val="center"/>
                </w:tcPr>
                <w:p w:rsidR="0099310A" w:rsidRPr="0099310A" w:rsidRDefault="0099310A" w:rsidP="0099310A">
                  <w:pPr>
                    <w:pStyle w:val="TableBodyText"/>
                  </w:pPr>
                  <w:r w:rsidRPr="0099310A">
                    <w:t>0.2</w:t>
                  </w:r>
                </w:p>
              </w:tc>
              <w:tc>
                <w:tcPr>
                  <w:tcW w:w="418" w:type="pct"/>
                  <w:vAlign w:val="center"/>
                </w:tcPr>
                <w:p w:rsidR="0099310A" w:rsidRPr="0099310A" w:rsidRDefault="0099310A" w:rsidP="0099310A">
                  <w:pPr>
                    <w:pStyle w:val="TableBodyText"/>
                  </w:pPr>
                  <w:r w:rsidRPr="0099310A">
                    <w:t>0.5</w:t>
                  </w:r>
                </w:p>
              </w:tc>
              <w:tc>
                <w:tcPr>
                  <w:tcW w:w="418" w:type="pct"/>
                  <w:vAlign w:val="center"/>
                </w:tcPr>
                <w:p w:rsidR="0099310A" w:rsidRPr="0099310A" w:rsidRDefault="0099310A" w:rsidP="0099310A">
                  <w:pPr>
                    <w:pStyle w:val="TableBodyText"/>
                  </w:pPr>
                  <w:r w:rsidRPr="0099310A">
                    <w:t>0.1</w:t>
                  </w:r>
                </w:p>
              </w:tc>
              <w:tc>
                <w:tcPr>
                  <w:tcW w:w="418" w:type="pct"/>
                  <w:vAlign w:val="center"/>
                </w:tcPr>
                <w:p w:rsidR="0099310A" w:rsidRPr="0099310A" w:rsidRDefault="0099310A" w:rsidP="0099310A">
                  <w:pPr>
                    <w:pStyle w:val="TableBodyText"/>
                  </w:pPr>
                  <w:r w:rsidRPr="0099310A">
                    <w:t>0.3</w:t>
                  </w:r>
                </w:p>
              </w:tc>
              <w:tc>
                <w:tcPr>
                  <w:tcW w:w="417" w:type="pct"/>
                  <w:vAlign w:val="center"/>
                </w:tcPr>
                <w:p w:rsidR="0099310A" w:rsidRPr="0099310A" w:rsidRDefault="0099310A" w:rsidP="0099310A">
                  <w:pPr>
                    <w:pStyle w:val="TableBodyText"/>
                  </w:pPr>
                  <w:r w:rsidRPr="0099310A">
                    <w:t>0.2</w:t>
                  </w:r>
                </w:p>
              </w:tc>
              <w:tc>
                <w:tcPr>
                  <w:tcW w:w="418" w:type="pct"/>
                  <w:vAlign w:val="center"/>
                </w:tcPr>
                <w:p w:rsidR="0099310A" w:rsidRPr="0099310A" w:rsidRDefault="0099310A" w:rsidP="0099310A">
                  <w:pPr>
                    <w:pStyle w:val="TableBodyText"/>
                  </w:pPr>
                  <w:r w:rsidRPr="0099310A">
                    <w:t>0.3</w:t>
                  </w:r>
                </w:p>
              </w:tc>
            </w:tr>
            <w:tr w:rsidR="0099310A" w:rsidTr="00393026">
              <w:tc>
                <w:tcPr>
                  <w:tcW w:w="1156" w:type="pct"/>
                </w:tcPr>
                <w:p w:rsidR="0099310A" w:rsidRPr="005F3E56" w:rsidRDefault="0099310A" w:rsidP="00A376A3">
                  <w:pPr>
                    <w:pStyle w:val="TableBodyText"/>
                    <w:ind w:left="136"/>
                    <w:jc w:val="left"/>
                  </w:pPr>
                  <w:r w:rsidRPr="005F3E56">
                    <w:t>Tonsillectomy</w:t>
                  </w:r>
                </w:p>
              </w:tc>
              <w:tc>
                <w:tcPr>
                  <w:tcW w:w="501" w:type="pct"/>
                  <w:vAlign w:val="center"/>
                </w:tcPr>
                <w:p w:rsidR="0099310A" w:rsidRPr="0099310A" w:rsidRDefault="0099310A" w:rsidP="0099310A">
                  <w:pPr>
                    <w:pStyle w:val="TableBodyText"/>
                  </w:pPr>
                  <w:r w:rsidRPr="0099310A">
                    <w:t>0.9</w:t>
                  </w:r>
                </w:p>
              </w:tc>
              <w:tc>
                <w:tcPr>
                  <w:tcW w:w="417" w:type="pct"/>
                  <w:vAlign w:val="center"/>
                </w:tcPr>
                <w:p w:rsidR="0099310A" w:rsidRPr="0099310A" w:rsidRDefault="0099310A" w:rsidP="0099310A">
                  <w:pPr>
                    <w:pStyle w:val="TableBodyText"/>
                  </w:pPr>
                  <w:r w:rsidRPr="0099310A">
                    <w:t>1.3</w:t>
                  </w:r>
                </w:p>
              </w:tc>
              <w:tc>
                <w:tcPr>
                  <w:tcW w:w="418" w:type="pct"/>
                  <w:vAlign w:val="center"/>
                </w:tcPr>
                <w:p w:rsidR="0099310A" w:rsidRPr="0099310A" w:rsidRDefault="0099310A" w:rsidP="0099310A">
                  <w:pPr>
                    <w:pStyle w:val="TableBodyText"/>
                  </w:pPr>
                  <w:r w:rsidRPr="0099310A">
                    <w:t>0.8</w:t>
                  </w:r>
                </w:p>
              </w:tc>
              <w:tc>
                <w:tcPr>
                  <w:tcW w:w="417" w:type="pct"/>
                  <w:vAlign w:val="center"/>
                </w:tcPr>
                <w:p w:rsidR="0099310A" w:rsidRPr="0099310A" w:rsidRDefault="0099310A" w:rsidP="0099310A">
                  <w:pPr>
                    <w:pStyle w:val="TableBodyText"/>
                  </w:pPr>
                  <w:r w:rsidRPr="0099310A">
                    <w:t>0.9</w:t>
                  </w:r>
                </w:p>
              </w:tc>
              <w:tc>
                <w:tcPr>
                  <w:tcW w:w="418" w:type="pct"/>
                  <w:vAlign w:val="center"/>
                </w:tcPr>
                <w:p w:rsidR="0099310A" w:rsidRPr="0099310A" w:rsidRDefault="0099310A" w:rsidP="0099310A">
                  <w:pPr>
                    <w:pStyle w:val="TableBodyText"/>
                  </w:pPr>
                  <w:r w:rsidRPr="0099310A">
                    <w:t>1.5</w:t>
                  </w:r>
                </w:p>
              </w:tc>
              <w:tc>
                <w:tcPr>
                  <w:tcW w:w="418" w:type="pct"/>
                  <w:vAlign w:val="center"/>
                </w:tcPr>
                <w:p w:rsidR="0099310A" w:rsidRPr="0099310A" w:rsidRDefault="0099310A" w:rsidP="0099310A">
                  <w:pPr>
                    <w:pStyle w:val="TableBodyText"/>
                  </w:pPr>
                  <w:r w:rsidRPr="0099310A">
                    <w:t>0.7</w:t>
                  </w:r>
                </w:p>
              </w:tc>
              <w:tc>
                <w:tcPr>
                  <w:tcW w:w="418" w:type="pct"/>
                  <w:vAlign w:val="center"/>
                </w:tcPr>
                <w:p w:rsidR="0099310A" w:rsidRPr="0099310A" w:rsidRDefault="0099310A" w:rsidP="0099310A">
                  <w:pPr>
                    <w:pStyle w:val="TableBodyText"/>
                  </w:pPr>
                  <w:r w:rsidRPr="0099310A">
                    <w:t>0.8</w:t>
                  </w:r>
                </w:p>
              </w:tc>
              <w:tc>
                <w:tcPr>
                  <w:tcW w:w="417" w:type="pct"/>
                  <w:vAlign w:val="center"/>
                </w:tcPr>
                <w:p w:rsidR="0099310A" w:rsidRPr="0099310A" w:rsidRDefault="0099310A" w:rsidP="0099310A">
                  <w:pPr>
                    <w:pStyle w:val="TableBodyText"/>
                  </w:pPr>
                  <w:r w:rsidRPr="0099310A">
                    <w:t>1.0</w:t>
                  </w:r>
                </w:p>
              </w:tc>
              <w:tc>
                <w:tcPr>
                  <w:tcW w:w="418" w:type="pct"/>
                  <w:vAlign w:val="center"/>
                </w:tcPr>
                <w:p w:rsidR="0099310A" w:rsidRPr="0099310A" w:rsidRDefault="0099310A" w:rsidP="0099310A">
                  <w:pPr>
                    <w:pStyle w:val="TableBodyText"/>
                  </w:pPr>
                  <w:r w:rsidRPr="0099310A">
                    <w:t>1.0</w:t>
                  </w:r>
                </w:p>
              </w:tc>
            </w:tr>
            <w:tr w:rsidR="0099310A" w:rsidTr="00393026">
              <w:tc>
                <w:tcPr>
                  <w:tcW w:w="1156" w:type="pct"/>
                  <w:tcBorders>
                    <w:bottom w:val="single" w:sz="6" w:space="0" w:color="BFBFBF"/>
                  </w:tcBorders>
                  <w:shd w:val="clear" w:color="auto" w:fill="auto"/>
                </w:tcPr>
                <w:p w:rsidR="0099310A" w:rsidRDefault="0099310A" w:rsidP="00C22CA1">
                  <w:pPr>
                    <w:pStyle w:val="TableBodyText"/>
                    <w:ind w:left="136"/>
                    <w:jc w:val="left"/>
                  </w:pPr>
                  <w:r w:rsidRPr="005F3E56">
                    <w:t>Varicose veins, stripping and ligation</w:t>
                  </w:r>
                </w:p>
              </w:tc>
              <w:tc>
                <w:tcPr>
                  <w:tcW w:w="501" w:type="pct"/>
                  <w:tcBorders>
                    <w:bottom w:val="single" w:sz="6" w:space="0" w:color="BFBFBF"/>
                  </w:tcBorders>
                  <w:vAlign w:val="center"/>
                </w:tcPr>
                <w:p w:rsidR="0099310A" w:rsidRPr="0099310A" w:rsidRDefault="0099310A" w:rsidP="0099310A">
                  <w:pPr>
                    <w:pStyle w:val="TableBodyText"/>
                  </w:pPr>
                  <w:r w:rsidRPr="0099310A">
                    <w:t>0.2</w:t>
                  </w:r>
                </w:p>
              </w:tc>
              <w:tc>
                <w:tcPr>
                  <w:tcW w:w="417" w:type="pct"/>
                  <w:tcBorders>
                    <w:bottom w:val="single" w:sz="6" w:space="0" w:color="BFBFBF"/>
                  </w:tcBorders>
                  <w:vAlign w:val="center"/>
                </w:tcPr>
                <w:p w:rsidR="0099310A" w:rsidRPr="0099310A" w:rsidRDefault="0099310A" w:rsidP="0099310A">
                  <w:pPr>
                    <w:pStyle w:val="TableBodyText"/>
                  </w:pPr>
                  <w:r w:rsidRPr="0099310A">
                    <w:t>0.3</w:t>
                  </w:r>
                </w:p>
              </w:tc>
              <w:tc>
                <w:tcPr>
                  <w:tcW w:w="418" w:type="pct"/>
                  <w:tcBorders>
                    <w:bottom w:val="single" w:sz="6" w:space="0" w:color="BFBFBF"/>
                  </w:tcBorders>
                  <w:vAlign w:val="center"/>
                </w:tcPr>
                <w:p w:rsidR="0099310A" w:rsidRPr="0099310A" w:rsidRDefault="0099310A" w:rsidP="0099310A">
                  <w:pPr>
                    <w:pStyle w:val="TableBodyText"/>
                  </w:pPr>
                  <w:r w:rsidRPr="0099310A">
                    <w:t>0.1</w:t>
                  </w:r>
                </w:p>
              </w:tc>
              <w:tc>
                <w:tcPr>
                  <w:tcW w:w="417" w:type="pct"/>
                  <w:tcBorders>
                    <w:bottom w:val="single" w:sz="6" w:space="0" w:color="BFBFBF"/>
                  </w:tcBorders>
                  <w:vAlign w:val="center"/>
                </w:tcPr>
                <w:p w:rsidR="0099310A" w:rsidRPr="0099310A" w:rsidRDefault="0099310A" w:rsidP="0099310A">
                  <w:pPr>
                    <w:pStyle w:val="TableBodyText"/>
                  </w:pPr>
                  <w:r w:rsidRPr="0099310A">
                    <w:t>0.1</w:t>
                  </w:r>
                </w:p>
              </w:tc>
              <w:tc>
                <w:tcPr>
                  <w:tcW w:w="418" w:type="pct"/>
                  <w:tcBorders>
                    <w:bottom w:val="single" w:sz="6" w:space="0" w:color="BFBFBF"/>
                  </w:tcBorders>
                  <w:vAlign w:val="center"/>
                </w:tcPr>
                <w:p w:rsidR="0099310A" w:rsidRPr="0099310A" w:rsidRDefault="0099310A" w:rsidP="0099310A">
                  <w:pPr>
                    <w:pStyle w:val="TableBodyText"/>
                  </w:pPr>
                  <w:r w:rsidRPr="0099310A">
                    <w:t>0.3</w:t>
                  </w:r>
                </w:p>
              </w:tc>
              <w:tc>
                <w:tcPr>
                  <w:tcW w:w="418" w:type="pct"/>
                  <w:tcBorders>
                    <w:bottom w:val="single" w:sz="6" w:space="0" w:color="BFBFBF"/>
                  </w:tcBorders>
                  <w:vAlign w:val="center"/>
                </w:tcPr>
                <w:p w:rsidR="0099310A" w:rsidRPr="0099310A" w:rsidRDefault="0099310A" w:rsidP="0099310A">
                  <w:pPr>
                    <w:pStyle w:val="TableBodyText"/>
                  </w:pPr>
                  <w:r w:rsidRPr="0099310A">
                    <w:t>&lt;0.1</w:t>
                  </w:r>
                </w:p>
              </w:tc>
              <w:tc>
                <w:tcPr>
                  <w:tcW w:w="418" w:type="pct"/>
                  <w:tcBorders>
                    <w:bottom w:val="single" w:sz="6" w:space="0" w:color="BFBFBF"/>
                  </w:tcBorders>
                  <w:vAlign w:val="center"/>
                </w:tcPr>
                <w:p w:rsidR="0099310A" w:rsidRPr="0099310A" w:rsidRDefault="0099310A" w:rsidP="0099310A">
                  <w:pPr>
                    <w:pStyle w:val="TableBodyText"/>
                  </w:pPr>
                  <w:r w:rsidRPr="0099310A">
                    <w:t>0.5</w:t>
                  </w:r>
                </w:p>
              </w:tc>
              <w:tc>
                <w:tcPr>
                  <w:tcW w:w="417" w:type="pct"/>
                  <w:tcBorders>
                    <w:bottom w:val="single" w:sz="6" w:space="0" w:color="BFBFBF"/>
                  </w:tcBorders>
                  <w:shd w:val="clear" w:color="auto" w:fill="auto"/>
                  <w:vAlign w:val="center"/>
                </w:tcPr>
                <w:p w:rsidR="0099310A" w:rsidRPr="0099310A" w:rsidRDefault="0099310A" w:rsidP="0099310A">
                  <w:pPr>
                    <w:pStyle w:val="TableBodyText"/>
                  </w:pPr>
                  <w:r w:rsidRPr="0099310A">
                    <w:t>0.2</w:t>
                  </w:r>
                </w:p>
              </w:tc>
              <w:tc>
                <w:tcPr>
                  <w:tcW w:w="418" w:type="pct"/>
                  <w:tcBorders>
                    <w:bottom w:val="single" w:sz="6" w:space="0" w:color="BFBFBF"/>
                  </w:tcBorders>
                  <w:shd w:val="clear" w:color="auto" w:fill="auto"/>
                  <w:vAlign w:val="center"/>
                </w:tcPr>
                <w:p w:rsidR="0099310A" w:rsidRPr="0099310A" w:rsidRDefault="0099310A" w:rsidP="0099310A">
                  <w:pPr>
                    <w:pStyle w:val="TableBodyText"/>
                  </w:pPr>
                  <w:r w:rsidRPr="0099310A">
                    <w:t>0.2</w:t>
                  </w:r>
                </w:p>
              </w:tc>
            </w:tr>
          </w:tbl>
          <w:p w:rsidR="00F61EFD" w:rsidRDefault="00F61EFD" w:rsidP="00604654">
            <w:pPr>
              <w:pStyle w:val="Box"/>
            </w:pPr>
          </w:p>
        </w:tc>
      </w:tr>
      <w:tr w:rsidR="00F61EFD" w:rsidTr="00604654">
        <w:trPr>
          <w:cantSplit/>
        </w:trPr>
        <w:tc>
          <w:tcPr>
            <w:tcW w:w="8771" w:type="dxa"/>
            <w:tcBorders>
              <w:top w:val="nil"/>
              <w:left w:val="nil"/>
              <w:bottom w:val="nil"/>
              <w:right w:val="nil"/>
            </w:tcBorders>
            <w:shd w:val="clear" w:color="auto" w:fill="auto"/>
          </w:tcPr>
          <w:p w:rsidR="00F61EFD" w:rsidRDefault="00F61EFD" w:rsidP="00604654">
            <w:pPr>
              <w:pStyle w:val="Note"/>
              <w:rPr>
                <w:i/>
              </w:rPr>
            </w:pPr>
            <w:r w:rsidRPr="008E77FE">
              <w:rPr>
                <w:rStyle w:val="NoteLabel"/>
              </w:rPr>
              <w:t>a</w:t>
            </w:r>
            <w:r>
              <w:t xml:space="preserve"> </w:t>
            </w:r>
            <w:r w:rsidR="00A2571D" w:rsidRPr="00A2571D">
              <w:t xml:space="preserve">Rates are standardised to the Australian population as at 30 June 2001 and are calculated for the total population for all procedures except prostatectomy (rates calculated for the male population only) and hysterectomy (rates calculated for females aged 15–69 years). </w:t>
            </w:r>
            <w:r w:rsidR="00A2571D" w:rsidRPr="00A2571D">
              <w:rPr>
                <w:b/>
              </w:rPr>
              <w:t>..</w:t>
            </w:r>
            <w:r w:rsidR="00A2571D" w:rsidRPr="00A2571D">
              <w:t xml:space="preserve"> Not applicable.</w:t>
            </w:r>
          </w:p>
        </w:tc>
      </w:tr>
      <w:tr w:rsidR="00F61EFD" w:rsidTr="00604654">
        <w:trPr>
          <w:cantSplit/>
        </w:trPr>
        <w:tc>
          <w:tcPr>
            <w:tcW w:w="8771" w:type="dxa"/>
            <w:tcBorders>
              <w:top w:val="nil"/>
              <w:left w:val="nil"/>
              <w:bottom w:val="nil"/>
              <w:right w:val="nil"/>
            </w:tcBorders>
            <w:shd w:val="clear" w:color="auto" w:fill="auto"/>
          </w:tcPr>
          <w:p w:rsidR="00F61EFD" w:rsidRDefault="00F61EFD" w:rsidP="004F7D79">
            <w:pPr>
              <w:pStyle w:val="Source"/>
            </w:pPr>
            <w:r>
              <w:rPr>
                <w:i/>
              </w:rPr>
              <w:t>Source</w:t>
            </w:r>
            <w:r w:rsidRPr="00167F06">
              <w:t xml:space="preserve">: </w:t>
            </w:r>
            <w:r w:rsidR="00D217E8" w:rsidRPr="00D217E8">
              <w:t xml:space="preserve">AIHW (2014), </w:t>
            </w:r>
            <w:r w:rsidR="00D217E8" w:rsidRPr="00D217E8">
              <w:rPr>
                <w:i/>
              </w:rPr>
              <w:t>Australian Hospital Statistics 2012-13</w:t>
            </w:r>
            <w:r w:rsidR="00D217E8" w:rsidRPr="00D217E8">
              <w:t>, Health Services Series No. 54, Cat no.</w:t>
            </w:r>
            <w:r w:rsidR="009551A6">
              <w:t> </w:t>
            </w:r>
            <w:r w:rsidR="00D217E8" w:rsidRPr="00D217E8">
              <w:t>HSE</w:t>
            </w:r>
            <w:r w:rsidR="005C529A">
              <w:t> </w:t>
            </w:r>
            <w:r w:rsidR="00D217E8" w:rsidRPr="00D217E8">
              <w:t>145</w:t>
            </w:r>
            <w:r w:rsidR="00A2571D" w:rsidRPr="00A2571D">
              <w:t>; table 11A.</w:t>
            </w:r>
            <w:r w:rsidR="004F7D79">
              <w:t>48</w:t>
            </w:r>
            <w:r w:rsidR="00A2571D" w:rsidRPr="00A2571D">
              <w:t>.</w:t>
            </w:r>
          </w:p>
        </w:tc>
      </w:tr>
      <w:tr w:rsidR="00F61EFD" w:rsidTr="00604654">
        <w:trPr>
          <w:cantSplit/>
        </w:trPr>
        <w:tc>
          <w:tcPr>
            <w:tcW w:w="8771" w:type="dxa"/>
            <w:tcBorders>
              <w:top w:val="nil"/>
              <w:left w:val="nil"/>
              <w:bottom w:val="single" w:sz="6" w:space="0" w:color="78A22F"/>
              <w:right w:val="nil"/>
            </w:tcBorders>
            <w:shd w:val="clear" w:color="auto" w:fill="auto"/>
          </w:tcPr>
          <w:p w:rsidR="00F61EFD" w:rsidRDefault="00F61EFD" w:rsidP="00604654">
            <w:pPr>
              <w:pStyle w:val="Box"/>
              <w:spacing w:before="0" w:line="120" w:lineRule="exact"/>
            </w:pPr>
          </w:p>
        </w:tc>
      </w:tr>
      <w:tr w:rsidR="00F61EFD" w:rsidRPr="000863A5" w:rsidTr="00604654">
        <w:tc>
          <w:tcPr>
            <w:tcW w:w="8771" w:type="dxa"/>
            <w:tcBorders>
              <w:top w:val="single" w:sz="6" w:space="0" w:color="78A22F"/>
              <w:left w:val="nil"/>
              <w:bottom w:val="nil"/>
              <w:right w:val="nil"/>
            </w:tcBorders>
          </w:tcPr>
          <w:p w:rsidR="00F61EFD" w:rsidRPr="00626D32" w:rsidRDefault="00F61EFD" w:rsidP="00604654">
            <w:pPr>
              <w:pStyle w:val="BoxSpaceBelow"/>
            </w:pPr>
          </w:p>
        </w:tc>
      </w:tr>
    </w:tbl>
    <w:p w:rsidR="00A2571D" w:rsidRDefault="00A2571D" w:rsidP="00A2571D">
      <w:pPr>
        <w:pStyle w:val="BodyText"/>
      </w:pPr>
      <w:r>
        <w:t>Data for private hospitals are reported in table 11A.</w:t>
      </w:r>
      <w:r w:rsidR="004F7D79">
        <w:t>48</w:t>
      </w:r>
      <w:r>
        <w:t>. Table 11A.</w:t>
      </w:r>
      <w:r w:rsidR="004F7D79">
        <w:t>48</w:t>
      </w:r>
      <w:r>
        <w:t xml:space="preserve"> also reports selected separations for all hospitals by Indigenous status, remoteness and socioeconomic status. Table 11A.</w:t>
      </w:r>
      <w:r w:rsidR="004F7D79">
        <w:t>49</w:t>
      </w:r>
      <w:r>
        <w:t xml:space="preserve"> reports additional information for the selected separations for all hospitals such as numbers of separations and the standardised separation rate ratio.</w:t>
      </w:r>
    </w:p>
    <w:p w:rsidR="00A2571D" w:rsidRDefault="00A2571D" w:rsidP="00A2571D">
      <w:pPr>
        <w:pStyle w:val="Heading3"/>
      </w:pPr>
      <w:r>
        <w:t xml:space="preserve">Effectiveness — quality </w:t>
      </w:r>
    </w:p>
    <w:p w:rsidR="00A2571D" w:rsidRDefault="00A2571D" w:rsidP="00A2571D">
      <w:pPr>
        <w:pStyle w:val="BodyText"/>
      </w:pPr>
      <w:r>
        <w:t xml:space="preserve">There is no single definition of quality in healthcare, but the Australian Commission on Safety and Quality in Health Care (ACSQHC) has defined quality as ‘the extent to which the properties of a service or product produce a desired outcome’ (Runciman 2006). No single indicator can measure quality across all providers. An alternative approach is to identify and report on aspects of quality of care. The aspects of quality </w:t>
      </w:r>
      <w:r w:rsidR="005C529A">
        <w:t>highlighted</w:t>
      </w:r>
      <w:r>
        <w:t xml:space="preserve"> in the performance indicator framework are safety, responsiveness and continuity. This Report includes indicators of safety, but no indicators have yet been developed for responsiveness or continuity.</w:t>
      </w:r>
    </w:p>
    <w:p w:rsidR="00A2571D" w:rsidRDefault="00A2571D" w:rsidP="00A2571D">
      <w:pPr>
        <w:pStyle w:val="BodyText"/>
      </w:pPr>
      <w:r>
        <w:lastRenderedPageBreak/>
        <w:t>Various governments publicly report performance indicators for service quality of public hospitals. Some have adopted the same indicators reported in this chapter. For example:</w:t>
      </w:r>
    </w:p>
    <w:p w:rsidR="00A2571D" w:rsidRDefault="00A2571D" w:rsidP="00A2571D">
      <w:pPr>
        <w:pStyle w:val="ListBullet"/>
      </w:pPr>
      <w:r>
        <w:t xml:space="preserve">The Australian Government’s MyHospitals website, which is managed by the National Health Performance Authority, reports </w:t>
      </w:r>
      <w:r w:rsidRPr="00254603">
        <w:rPr>
          <w:i/>
        </w:rPr>
        <w:t>staphylococcus aureus</w:t>
      </w:r>
      <w:r>
        <w:t xml:space="preserve"> bacteraemia (SAB) infect</w:t>
      </w:r>
      <w:r w:rsidR="00D33AB0">
        <w:t>ions as counts and rates per 10 </w:t>
      </w:r>
      <w:r>
        <w:t xml:space="preserve">000 </w:t>
      </w:r>
      <w:r w:rsidR="00D33AB0" w:rsidRPr="0083330D">
        <w:t>patient days under surveillance</w:t>
      </w:r>
      <w:r>
        <w:t xml:space="preserve"> for most public hospitals and a number of private hospitals. </w:t>
      </w:r>
    </w:p>
    <w:p w:rsidR="00A2571D" w:rsidRPr="00A2571D" w:rsidRDefault="00A2571D" w:rsidP="00A2571D">
      <w:pPr>
        <w:pStyle w:val="ListBullet"/>
      </w:pPr>
      <w:r w:rsidRPr="00A2571D">
        <w:t xml:space="preserve">In NSW, reporting of surgical site infection rates for hip and knee surgery is mandatory for public hospitals. </w:t>
      </w:r>
    </w:p>
    <w:p w:rsidR="00A2571D" w:rsidRPr="00A2571D" w:rsidRDefault="00A2571D" w:rsidP="00A2571D">
      <w:pPr>
        <w:pStyle w:val="ListBullet"/>
      </w:pPr>
      <w:r w:rsidRPr="00A2571D">
        <w:t xml:space="preserve">Victorian hospitals are required to publish annual quality of care reports that include safety and quality indicators for infection control, medication errors, falls monitoring and prevention, pressure wound monitoring and prevention, patient satisfaction and consumer participation in health care decision making. </w:t>
      </w:r>
    </w:p>
    <w:p w:rsidR="00A2571D" w:rsidRPr="00A2571D" w:rsidRDefault="00A2571D" w:rsidP="00A2571D">
      <w:pPr>
        <w:pStyle w:val="ListBullet"/>
      </w:pPr>
      <w:r w:rsidRPr="00A2571D">
        <w:t>Queensland Health publishes regular online public hospitals performance, which among other measures, includes patient experience results.</w:t>
      </w:r>
    </w:p>
    <w:p w:rsidR="00A2571D" w:rsidRPr="00A2571D" w:rsidRDefault="00A2571D" w:rsidP="00A2571D">
      <w:pPr>
        <w:pStyle w:val="ListBullet"/>
      </w:pPr>
      <w:r w:rsidRPr="00A2571D">
        <w:t>Both the WA and Tasmanian health departments’ annual reports incl</w:t>
      </w:r>
      <w:r w:rsidR="00044772">
        <w:t>ude information on unplanned re</w:t>
      </w:r>
      <w:r w:rsidRPr="00A2571D">
        <w:t xml:space="preserve">admission rates and WA also includes a section on patient evaluation of health services. </w:t>
      </w:r>
    </w:p>
    <w:p w:rsidR="00A2571D" w:rsidRPr="00A2571D" w:rsidRDefault="00A2571D" w:rsidP="00A2571D">
      <w:pPr>
        <w:pStyle w:val="ListBullet"/>
      </w:pPr>
      <w:r w:rsidRPr="00A2571D">
        <w:t>SA Health publishes an annual patient safety report, which provides a summary of the types of incidents that occurred in public hospitals and a comprehensive overview of the major patient safety programs being conducted by SA Health. It links the programs to the safety issues identified by analysis of data from the incident management system (Safety Learning System), Coronial recommendations and other sources, to help explain what actions are being taken to address these safety issues. A Measuring Consumer Experience SA Public Hospital Inpatient Annual Report, which details the key findings from the SA Consumer Experience Surveillance System, is also published.</w:t>
      </w:r>
    </w:p>
    <w:p w:rsidR="00A2571D" w:rsidRDefault="00A2571D" w:rsidP="00A2571D">
      <w:pPr>
        <w:pStyle w:val="ListBullet"/>
      </w:pPr>
      <w:r w:rsidRPr="00A2571D">
        <w:t>ACT Health publishes quarterly reports that include data on unplanned readmissions, unplanned returns to operating theatre and hospital acquired infection rates. Information about quality and safety activities and consumer feedback management is also included in an annual report.</w:t>
      </w:r>
    </w:p>
    <w:p w:rsidR="00F42C80" w:rsidRPr="00F42C80" w:rsidRDefault="00F42C80" w:rsidP="0083330D">
      <w:pPr>
        <w:pStyle w:val="ListBullet"/>
      </w:pPr>
      <w:r w:rsidRPr="00F42C80">
        <w:t xml:space="preserve">The NT Health Department Annual Report has a chapter on clinical governance including information on complaints, hand hygiene, </w:t>
      </w:r>
      <w:r w:rsidRPr="00254603">
        <w:rPr>
          <w:i/>
        </w:rPr>
        <w:t xml:space="preserve">staphylococcus aureus </w:t>
      </w:r>
      <w:r>
        <w:t>bacteraemia and unplanned re</w:t>
      </w:r>
      <w:r w:rsidRPr="00F42C80">
        <w:t>admission rates. Other sections report unplanned readmission rates after discharge for acute mental health episodes.</w:t>
      </w:r>
    </w:p>
    <w:p w:rsidR="00A2571D" w:rsidRDefault="00A2571D" w:rsidP="00A2571D">
      <w:pPr>
        <w:pStyle w:val="Heading4"/>
      </w:pPr>
      <w:r>
        <w:t>Safety</w:t>
      </w:r>
    </w:p>
    <w:p w:rsidR="00F61EFD" w:rsidRDefault="00A2571D" w:rsidP="00A2571D">
      <w:pPr>
        <w:pStyle w:val="BodyText"/>
      </w:pPr>
      <w:r>
        <w:t>Improving patient safety is an important issue for all hospitals. Studies on medical errors have indicated that adverse healthcare related events occur in public hospitals in Australia and internationally, and that their incidence is potentially high (for example Eshani e</w:t>
      </w:r>
      <w:r w:rsidR="009E55BA">
        <w:t>t al. </w:t>
      </w:r>
      <w:r>
        <w:t xml:space="preserve">2006). These adverse events can result in serious consequences for individual </w:t>
      </w:r>
      <w:r>
        <w:lastRenderedPageBreak/>
        <w:t>patients, and the associated costs to individuals and the health care system can be considerable (Van den Bos et al. 2011).</w:t>
      </w:r>
    </w:p>
    <w:p w:rsidR="00A2571D" w:rsidRDefault="00A2571D" w:rsidP="00A2571D">
      <w:pPr>
        <w:pStyle w:val="Heading4"/>
      </w:pPr>
      <w:r>
        <w:t>Safety — unplanned hospital readmission rates</w:t>
      </w:r>
    </w:p>
    <w:p w:rsidR="00A2571D" w:rsidRDefault="00A2571D" w:rsidP="00A2571D">
      <w:pPr>
        <w:pStyle w:val="BodyText"/>
      </w:pPr>
      <w:r>
        <w:t xml:space="preserve">‘Unplanned hospital readmission rates’ is an indicator of governments’ objective to provide public hospital services that are safe and of high quality (box 11.6). Patients might be re-admitted unexpectedly if the initial care or treatment was ineffective or </w:t>
      </w:r>
      <w:r w:rsidR="005C529A">
        <w:t>unsatisfactory, if post-</w:t>
      </w:r>
      <w:r>
        <w:t>discharge planning was inadequate, or for reasons outside the control of the hospital (for example poor post-discharge care).</w:t>
      </w:r>
    </w:p>
    <w:p w:rsidR="00A2571D" w:rsidRDefault="00A2571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2571D" w:rsidTr="00A376A3">
        <w:tc>
          <w:tcPr>
            <w:tcW w:w="8771" w:type="dxa"/>
            <w:tcBorders>
              <w:top w:val="single" w:sz="6" w:space="0" w:color="78A22F"/>
              <w:left w:val="nil"/>
              <w:bottom w:val="nil"/>
              <w:right w:val="nil"/>
            </w:tcBorders>
            <w:shd w:val="clear" w:color="auto" w:fill="F2F2F2"/>
          </w:tcPr>
          <w:p w:rsidR="00A2571D" w:rsidRDefault="00A2571D">
            <w:pPr>
              <w:pStyle w:val="BoxTitle"/>
            </w:pPr>
            <w:r>
              <w:rPr>
                <w:b w:val="0"/>
              </w:rPr>
              <w:t>Box 11.</w:t>
            </w:r>
            <w:r w:rsidR="009A53E9">
              <w:rPr>
                <w:b w:val="0"/>
                <w:noProof/>
              </w:rPr>
              <w:t>6</w:t>
            </w:r>
            <w:r>
              <w:tab/>
            </w:r>
            <w:r w:rsidRPr="00A2571D">
              <w:t>Unplanned hospital readmission rates</w:t>
            </w:r>
          </w:p>
        </w:tc>
      </w:tr>
      <w:tr w:rsidR="00A2571D" w:rsidTr="00A376A3">
        <w:trPr>
          <w:cantSplit/>
        </w:trPr>
        <w:tc>
          <w:tcPr>
            <w:tcW w:w="8771" w:type="dxa"/>
            <w:tcBorders>
              <w:top w:val="nil"/>
              <w:left w:val="nil"/>
              <w:bottom w:val="nil"/>
              <w:right w:val="nil"/>
            </w:tcBorders>
            <w:shd w:val="clear" w:color="auto" w:fill="F2F2F2"/>
          </w:tcPr>
          <w:p w:rsidR="00A2571D" w:rsidRDefault="00A2571D" w:rsidP="00A376A3">
            <w:pPr>
              <w:pStyle w:val="Box"/>
            </w:pPr>
            <w:r w:rsidRPr="00A2571D">
              <w:t>‘Unplanned hospital readmission rates’ is defined as the rate at which patients unexpectedly return to hospital within 28 days for further treatment of the same condition. It is calculated as the number of separations that were unplanned or unexpected readmissions to the same hospital following a separation in which a selected surgical procedure was performed and which occurred within 28 days of the previous date of separation, expressed per 1000 separations in which one of the selected surgical procedures was performed. Selected surgical procedures are knee replacement, hip replacement, tonsillectomy and adenoidectomy, hysterectomy, prostatectomy, cataract surgery and appendectomy. Unplanned readmissions are those having a principal diagnosis of a post-operative adverse event for which a specified ICD-10-AM diagnosis code has been assigned.</w:t>
            </w:r>
          </w:p>
          <w:p w:rsidR="00A2571D" w:rsidRDefault="00A2571D" w:rsidP="00A2571D">
            <w:pPr>
              <w:pStyle w:val="Box"/>
            </w:pPr>
            <w:r>
              <w:t>Low or decreasing rates for this indicator are desirable. Conversely, high rates for this indicator suggest the quality of care provided by hospitals, or post-discharge care or planning, should be examined, because there may be scope for improvement.</w:t>
            </w:r>
          </w:p>
          <w:p w:rsidR="00A2571D" w:rsidRDefault="00A2571D" w:rsidP="00A2571D">
            <w:pPr>
              <w:pStyle w:val="Box"/>
            </w:pPr>
            <w:r>
              <w:t>Data reported for this indicator are:</w:t>
            </w:r>
          </w:p>
          <w:p w:rsidR="00A2571D" w:rsidRDefault="00A2571D" w:rsidP="00A2571D">
            <w:pPr>
              <w:pStyle w:val="BoxListBullet"/>
            </w:pPr>
            <w:r>
              <w:t>comparable (subject to caveats) within jurisdictions over time but are not comparable across jurisdictions</w:t>
            </w:r>
          </w:p>
          <w:p w:rsidR="00A2571D" w:rsidRDefault="00A2571D" w:rsidP="00A2571D">
            <w:pPr>
              <w:pStyle w:val="BoxListBullet"/>
            </w:pPr>
            <w:r>
              <w:t>complete (subject to caveats) for the current reporting period. All required 201</w:t>
            </w:r>
            <w:r w:rsidR="00E70026">
              <w:t>2</w:t>
            </w:r>
            <w:r>
              <w:t>-1</w:t>
            </w:r>
            <w:r w:rsidR="00E70026">
              <w:t>3</w:t>
            </w:r>
            <w:r>
              <w:t xml:space="preserve"> data are available for all jurisdictions. </w:t>
            </w:r>
          </w:p>
          <w:p w:rsidR="00A2571D" w:rsidRDefault="001605A5" w:rsidP="001605A5">
            <w:pPr>
              <w:pStyle w:val="Box"/>
            </w:pPr>
            <w:r w:rsidRPr="001605A5">
              <w:t>Data quality</w:t>
            </w:r>
            <w:r>
              <w:t xml:space="preserve"> information for this indicator</w:t>
            </w:r>
            <w:r w:rsidR="008C0550">
              <w:t xml:space="preserve"> is at www.pc.gov.au</w:t>
            </w:r>
            <w:r w:rsidRPr="001605A5">
              <w:t>/rogs/2015.</w:t>
            </w:r>
          </w:p>
        </w:tc>
      </w:tr>
      <w:tr w:rsidR="00A2571D" w:rsidTr="00A376A3">
        <w:trPr>
          <w:cantSplit/>
        </w:trPr>
        <w:tc>
          <w:tcPr>
            <w:tcW w:w="8771" w:type="dxa"/>
            <w:tcBorders>
              <w:top w:val="nil"/>
              <w:left w:val="nil"/>
              <w:bottom w:val="single" w:sz="6" w:space="0" w:color="78A22F"/>
              <w:right w:val="nil"/>
            </w:tcBorders>
            <w:shd w:val="clear" w:color="auto" w:fill="F2F2F2"/>
          </w:tcPr>
          <w:p w:rsidR="00A2571D" w:rsidRDefault="00A2571D">
            <w:pPr>
              <w:pStyle w:val="Box"/>
              <w:spacing w:before="0" w:line="120" w:lineRule="exact"/>
            </w:pPr>
          </w:p>
        </w:tc>
      </w:tr>
      <w:tr w:rsidR="00A2571D" w:rsidRPr="000863A5" w:rsidTr="00A376A3">
        <w:tc>
          <w:tcPr>
            <w:tcW w:w="8771" w:type="dxa"/>
            <w:tcBorders>
              <w:top w:val="single" w:sz="6" w:space="0" w:color="78A22F"/>
              <w:left w:val="nil"/>
              <w:bottom w:val="nil"/>
              <w:right w:val="nil"/>
            </w:tcBorders>
          </w:tcPr>
          <w:p w:rsidR="00A2571D" w:rsidRPr="00626D32" w:rsidRDefault="00A2571D" w:rsidP="00A376A3">
            <w:pPr>
              <w:pStyle w:val="BoxSpaceBelow"/>
            </w:pPr>
          </w:p>
        </w:tc>
      </w:tr>
    </w:tbl>
    <w:p w:rsidR="00A2571D" w:rsidRDefault="00A2571D" w:rsidP="00A2571D">
      <w:pPr>
        <w:pStyle w:val="BodyText"/>
      </w:pPr>
      <w:r w:rsidRPr="00A2571D">
        <w:t>Unplanned readmission rates are not adjusted for casemix or patient risk factors, which can vary across hospitals and across jurisdictions. Unplanned hospital readmission rates in public hospitals in 201</w:t>
      </w:r>
      <w:r w:rsidR="0042106A">
        <w:t>2</w:t>
      </w:r>
      <w:r w:rsidRPr="00A2571D">
        <w:t>-1</w:t>
      </w:r>
      <w:r w:rsidR="0042106A">
        <w:t>3</w:t>
      </w:r>
      <w:r w:rsidRPr="00A2571D">
        <w:t xml:space="preserve"> are reported in table 11.6. Unplanned hospital readmission rates are reported by hospital peer group, Indigenous status, remoteness and socioeconomic status in table 11A.</w:t>
      </w:r>
      <w:r w:rsidR="007E1F41">
        <w:t>5</w:t>
      </w:r>
      <w:r w:rsidR="004F7D79">
        <w:t>1</w:t>
      </w:r>
      <w:r w:rsidRPr="00A2571D">
        <w:t>.</w:t>
      </w:r>
    </w:p>
    <w:p w:rsidR="00A2571D" w:rsidRDefault="00A2571D" w:rsidP="00A376A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A2571D" w:rsidTr="00A376A3">
        <w:tc>
          <w:tcPr>
            <w:tcW w:w="8771" w:type="dxa"/>
            <w:tcBorders>
              <w:top w:val="single" w:sz="6" w:space="0" w:color="78A22F"/>
              <w:left w:val="nil"/>
              <w:bottom w:val="nil"/>
              <w:right w:val="nil"/>
            </w:tcBorders>
            <w:shd w:val="clear" w:color="auto" w:fill="auto"/>
          </w:tcPr>
          <w:p w:rsidR="00A2571D" w:rsidRPr="00784A05" w:rsidRDefault="00A2571D" w:rsidP="004E127C">
            <w:pPr>
              <w:pStyle w:val="TableTitle"/>
            </w:pPr>
            <w:r>
              <w:rPr>
                <w:b w:val="0"/>
              </w:rPr>
              <w:t>Table 11.</w:t>
            </w:r>
            <w:r w:rsidR="009A53E9">
              <w:rPr>
                <w:b w:val="0"/>
                <w:noProof/>
              </w:rPr>
              <w:t>6</w:t>
            </w:r>
            <w:r>
              <w:tab/>
            </w:r>
            <w:r w:rsidR="004E127C" w:rsidRPr="004E127C">
              <w:t>Unplanned hospital readmission rate</w:t>
            </w:r>
            <w:r w:rsidR="004E127C">
              <w:t>s, per 1000 separations, 2012-13</w:t>
            </w:r>
          </w:p>
        </w:tc>
      </w:tr>
      <w:tr w:rsidR="00A2571D" w:rsidTr="00A376A3">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04"/>
              <w:gridCol w:w="709"/>
              <w:gridCol w:w="707"/>
              <w:gridCol w:w="710"/>
              <w:gridCol w:w="708"/>
              <w:gridCol w:w="710"/>
              <w:gridCol w:w="710"/>
              <w:gridCol w:w="710"/>
              <w:gridCol w:w="708"/>
              <w:gridCol w:w="711"/>
            </w:tblGrid>
            <w:tr w:rsidR="004E127C" w:rsidTr="00A311DE">
              <w:tc>
                <w:tcPr>
                  <w:tcW w:w="1240" w:type="pct"/>
                  <w:tcBorders>
                    <w:top w:val="single" w:sz="6" w:space="0" w:color="BFBFBF"/>
                    <w:bottom w:val="single" w:sz="6" w:space="0" w:color="BFBFBF"/>
                  </w:tcBorders>
                  <w:shd w:val="clear" w:color="auto" w:fill="auto"/>
                  <w:tcMar>
                    <w:top w:w="28" w:type="dxa"/>
                  </w:tcMar>
                </w:tcPr>
                <w:p w:rsidR="004E127C" w:rsidRDefault="004E127C" w:rsidP="00A376A3">
                  <w:pPr>
                    <w:pStyle w:val="TableColumnHeading"/>
                    <w:jc w:val="left"/>
                  </w:pPr>
                </w:p>
              </w:tc>
              <w:tc>
                <w:tcPr>
                  <w:tcW w:w="418" w:type="pct"/>
                  <w:tcBorders>
                    <w:top w:val="single" w:sz="6" w:space="0" w:color="BFBFBF"/>
                    <w:bottom w:val="single" w:sz="6" w:space="0" w:color="BFBFBF"/>
                  </w:tcBorders>
                  <w:vAlign w:val="bottom"/>
                </w:tcPr>
                <w:p w:rsidR="004E127C" w:rsidRDefault="004E127C" w:rsidP="004E127C">
                  <w:pPr>
                    <w:pStyle w:val="TableColumnHeading"/>
                  </w:pPr>
                  <w:r>
                    <w:t>NSW</w:t>
                  </w:r>
                </w:p>
              </w:tc>
              <w:tc>
                <w:tcPr>
                  <w:tcW w:w="417" w:type="pct"/>
                  <w:tcBorders>
                    <w:top w:val="single" w:sz="6" w:space="0" w:color="BFBFBF"/>
                    <w:bottom w:val="single" w:sz="6" w:space="0" w:color="BFBFBF"/>
                  </w:tcBorders>
                  <w:vAlign w:val="bottom"/>
                </w:tcPr>
                <w:p w:rsidR="004E127C" w:rsidRDefault="004E127C" w:rsidP="004E127C">
                  <w:pPr>
                    <w:pStyle w:val="TableColumnHeading"/>
                  </w:pPr>
                  <w:r>
                    <w:t>Vic</w:t>
                  </w:r>
                </w:p>
              </w:tc>
              <w:tc>
                <w:tcPr>
                  <w:tcW w:w="418" w:type="pct"/>
                  <w:tcBorders>
                    <w:top w:val="single" w:sz="6" w:space="0" w:color="BFBFBF"/>
                    <w:bottom w:val="single" w:sz="6" w:space="0" w:color="BFBFBF"/>
                  </w:tcBorders>
                  <w:vAlign w:val="bottom"/>
                </w:tcPr>
                <w:p w:rsidR="004E127C" w:rsidRDefault="004E127C" w:rsidP="004E127C">
                  <w:pPr>
                    <w:pStyle w:val="TableColumnHeading"/>
                  </w:pPr>
                  <w:r>
                    <w:t>Qld</w:t>
                  </w:r>
                </w:p>
              </w:tc>
              <w:tc>
                <w:tcPr>
                  <w:tcW w:w="417" w:type="pct"/>
                  <w:tcBorders>
                    <w:top w:val="single" w:sz="6" w:space="0" w:color="BFBFBF"/>
                    <w:bottom w:val="single" w:sz="6" w:space="0" w:color="BFBFBF"/>
                  </w:tcBorders>
                  <w:vAlign w:val="bottom"/>
                </w:tcPr>
                <w:p w:rsidR="004E127C" w:rsidRDefault="004E127C" w:rsidP="004E127C">
                  <w:pPr>
                    <w:pStyle w:val="TableColumnHeading"/>
                  </w:pPr>
                  <w:r>
                    <w:t>WA</w:t>
                  </w:r>
                </w:p>
              </w:tc>
              <w:tc>
                <w:tcPr>
                  <w:tcW w:w="418" w:type="pct"/>
                  <w:tcBorders>
                    <w:top w:val="single" w:sz="6" w:space="0" w:color="BFBFBF"/>
                    <w:bottom w:val="single" w:sz="6" w:space="0" w:color="BFBFBF"/>
                  </w:tcBorders>
                  <w:vAlign w:val="bottom"/>
                </w:tcPr>
                <w:p w:rsidR="004E127C" w:rsidRDefault="004E127C" w:rsidP="004E127C">
                  <w:pPr>
                    <w:pStyle w:val="TableColumnHeading"/>
                  </w:pPr>
                  <w:r>
                    <w:t>SA</w:t>
                  </w:r>
                </w:p>
              </w:tc>
              <w:tc>
                <w:tcPr>
                  <w:tcW w:w="418" w:type="pct"/>
                  <w:tcBorders>
                    <w:top w:val="single" w:sz="6" w:space="0" w:color="BFBFBF"/>
                    <w:bottom w:val="single" w:sz="6" w:space="0" w:color="BFBFBF"/>
                  </w:tcBorders>
                  <w:vAlign w:val="bottom"/>
                </w:tcPr>
                <w:p w:rsidR="004E127C" w:rsidRDefault="004E127C" w:rsidP="004E127C">
                  <w:pPr>
                    <w:pStyle w:val="TableColumnHeading"/>
                  </w:pPr>
                  <w:r>
                    <w:t>Tas</w:t>
                  </w:r>
                </w:p>
              </w:tc>
              <w:tc>
                <w:tcPr>
                  <w:tcW w:w="418" w:type="pct"/>
                  <w:tcBorders>
                    <w:top w:val="single" w:sz="6" w:space="0" w:color="BFBFBF"/>
                    <w:bottom w:val="single" w:sz="6" w:space="0" w:color="BFBFBF"/>
                  </w:tcBorders>
                  <w:vAlign w:val="bottom"/>
                </w:tcPr>
                <w:p w:rsidR="004E127C" w:rsidRDefault="004E127C" w:rsidP="004E127C">
                  <w:pPr>
                    <w:pStyle w:val="TableColumnHeading"/>
                  </w:pPr>
                  <w:r>
                    <w:t>ACT</w:t>
                  </w:r>
                </w:p>
              </w:tc>
              <w:tc>
                <w:tcPr>
                  <w:tcW w:w="417" w:type="pct"/>
                  <w:tcBorders>
                    <w:top w:val="single" w:sz="6" w:space="0" w:color="BFBFBF"/>
                    <w:bottom w:val="single" w:sz="6" w:space="0" w:color="BFBFBF"/>
                  </w:tcBorders>
                  <w:shd w:val="clear" w:color="auto" w:fill="auto"/>
                  <w:tcMar>
                    <w:top w:w="28" w:type="dxa"/>
                  </w:tcMar>
                  <w:vAlign w:val="bottom"/>
                </w:tcPr>
                <w:p w:rsidR="004E127C" w:rsidRDefault="004E127C" w:rsidP="004E127C">
                  <w:pPr>
                    <w:pStyle w:val="TableColumnHeading"/>
                  </w:pPr>
                  <w:r>
                    <w:t>NT</w:t>
                  </w:r>
                </w:p>
              </w:tc>
              <w:tc>
                <w:tcPr>
                  <w:tcW w:w="419" w:type="pct"/>
                  <w:tcBorders>
                    <w:top w:val="single" w:sz="6" w:space="0" w:color="BFBFBF"/>
                    <w:bottom w:val="single" w:sz="6" w:space="0" w:color="BFBFBF"/>
                  </w:tcBorders>
                  <w:shd w:val="clear" w:color="auto" w:fill="auto"/>
                  <w:tcMar>
                    <w:top w:w="28" w:type="dxa"/>
                  </w:tcMar>
                </w:tcPr>
                <w:p w:rsidR="004E127C" w:rsidRDefault="004E127C" w:rsidP="00A376A3">
                  <w:pPr>
                    <w:pStyle w:val="TableColumnHeading"/>
                    <w:ind w:right="28"/>
                  </w:pPr>
                  <w:r>
                    <w:t>Total</w:t>
                  </w:r>
                  <w:r w:rsidRPr="004E127C">
                    <w:rPr>
                      <w:rStyle w:val="NoteLabel"/>
                      <w:i w:val="0"/>
                    </w:rPr>
                    <w:t>a</w:t>
                  </w:r>
                </w:p>
              </w:tc>
            </w:tr>
            <w:tr w:rsidR="004E127C" w:rsidTr="004E127C">
              <w:tc>
                <w:tcPr>
                  <w:tcW w:w="5000" w:type="pct"/>
                  <w:gridSpan w:val="10"/>
                  <w:tcBorders>
                    <w:top w:val="single" w:sz="6" w:space="0" w:color="BFBFBF"/>
                  </w:tcBorders>
                </w:tcPr>
                <w:p w:rsidR="004E127C" w:rsidRDefault="004E127C" w:rsidP="004E127C">
                  <w:pPr>
                    <w:pStyle w:val="TableUnitsRow"/>
                    <w:ind w:right="28"/>
                    <w:jc w:val="left"/>
                  </w:pPr>
                  <w:r w:rsidRPr="004E127C">
                    <w:t>Surgical procedure prior to separation</w:t>
                  </w:r>
                </w:p>
              </w:tc>
            </w:tr>
            <w:tr w:rsidR="00CD315C" w:rsidTr="009B30EC">
              <w:tc>
                <w:tcPr>
                  <w:tcW w:w="1240" w:type="pct"/>
                  <w:shd w:val="clear" w:color="auto" w:fill="auto"/>
                </w:tcPr>
                <w:p w:rsidR="00CD315C" w:rsidRDefault="00CD315C" w:rsidP="00A376A3">
                  <w:pPr>
                    <w:pStyle w:val="TableBodyText"/>
                    <w:jc w:val="left"/>
                  </w:pPr>
                  <w:r>
                    <w:t>Knee replacement</w:t>
                  </w:r>
                </w:p>
              </w:tc>
              <w:tc>
                <w:tcPr>
                  <w:tcW w:w="418" w:type="pct"/>
                  <w:shd w:val="clear" w:color="auto" w:fill="auto"/>
                  <w:vAlign w:val="center"/>
                </w:tcPr>
                <w:p w:rsidR="00CD315C" w:rsidRPr="00CD315C" w:rsidRDefault="00CD315C" w:rsidP="00CD315C">
                  <w:pPr>
                    <w:pStyle w:val="TableBodyText"/>
                  </w:pPr>
                  <w:r w:rsidRPr="00CD315C">
                    <w:t xml:space="preserve">  21.6</w:t>
                  </w:r>
                </w:p>
              </w:tc>
              <w:tc>
                <w:tcPr>
                  <w:tcW w:w="417" w:type="pct"/>
                  <w:shd w:val="clear" w:color="auto" w:fill="auto"/>
                  <w:vAlign w:val="center"/>
                </w:tcPr>
                <w:p w:rsidR="00CD315C" w:rsidRPr="00CD315C" w:rsidRDefault="00CD315C" w:rsidP="00CD315C">
                  <w:pPr>
                    <w:pStyle w:val="TableBodyText"/>
                  </w:pPr>
                  <w:r w:rsidRPr="00CD315C">
                    <w:t xml:space="preserve">  15.1</w:t>
                  </w:r>
                </w:p>
              </w:tc>
              <w:tc>
                <w:tcPr>
                  <w:tcW w:w="418" w:type="pct"/>
                  <w:shd w:val="clear" w:color="auto" w:fill="auto"/>
                  <w:vAlign w:val="center"/>
                </w:tcPr>
                <w:p w:rsidR="00CD315C" w:rsidRPr="00CD315C" w:rsidRDefault="00CD315C" w:rsidP="00CD315C">
                  <w:pPr>
                    <w:pStyle w:val="TableBodyText"/>
                  </w:pPr>
                  <w:r w:rsidRPr="00CD315C">
                    <w:t xml:space="preserve">  35.1</w:t>
                  </w:r>
                </w:p>
              </w:tc>
              <w:tc>
                <w:tcPr>
                  <w:tcW w:w="417" w:type="pct"/>
                  <w:shd w:val="clear" w:color="auto" w:fill="auto"/>
                  <w:vAlign w:val="center"/>
                </w:tcPr>
                <w:p w:rsidR="00CD315C" w:rsidRPr="00CD315C" w:rsidRDefault="00CD315C" w:rsidP="00CD315C">
                  <w:pPr>
                    <w:pStyle w:val="TableBodyText"/>
                  </w:pPr>
                  <w:r w:rsidRPr="00CD315C">
                    <w:t xml:space="preserve">  22.3</w:t>
                  </w:r>
                </w:p>
              </w:tc>
              <w:tc>
                <w:tcPr>
                  <w:tcW w:w="418" w:type="pct"/>
                  <w:shd w:val="clear" w:color="auto" w:fill="auto"/>
                  <w:vAlign w:val="center"/>
                </w:tcPr>
                <w:p w:rsidR="00CD315C" w:rsidRPr="00CD315C" w:rsidRDefault="00CD315C" w:rsidP="00CD315C">
                  <w:pPr>
                    <w:pStyle w:val="TableBodyText"/>
                  </w:pPr>
                  <w:r w:rsidRPr="00CD315C">
                    <w:t xml:space="preserve">  18.6</w:t>
                  </w:r>
                </w:p>
              </w:tc>
              <w:tc>
                <w:tcPr>
                  <w:tcW w:w="418" w:type="pct"/>
                  <w:shd w:val="clear" w:color="auto" w:fill="auto"/>
                  <w:vAlign w:val="center"/>
                </w:tcPr>
                <w:p w:rsidR="00CD315C" w:rsidRPr="00CD315C" w:rsidRDefault="00CD315C" w:rsidP="00CD315C">
                  <w:pPr>
                    <w:pStyle w:val="TableBodyText"/>
                  </w:pPr>
                  <w:r w:rsidRPr="00CD315C">
                    <w:t xml:space="preserve">  37.0</w:t>
                  </w:r>
                </w:p>
              </w:tc>
              <w:tc>
                <w:tcPr>
                  <w:tcW w:w="418" w:type="pct"/>
                  <w:shd w:val="clear" w:color="auto" w:fill="auto"/>
                  <w:vAlign w:val="center"/>
                </w:tcPr>
                <w:p w:rsidR="00CD315C" w:rsidRPr="00CD315C" w:rsidRDefault="00CD315C" w:rsidP="00CD315C">
                  <w:pPr>
                    <w:pStyle w:val="TableBodyText"/>
                  </w:pPr>
                  <w:r w:rsidRPr="00CD315C">
                    <w:t>–</w:t>
                  </w:r>
                </w:p>
              </w:tc>
              <w:tc>
                <w:tcPr>
                  <w:tcW w:w="417" w:type="pct"/>
                  <w:shd w:val="clear" w:color="auto" w:fill="auto"/>
                  <w:vAlign w:val="center"/>
                </w:tcPr>
                <w:p w:rsidR="00CD315C" w:rsidRPr="00CD315C" w:rsidRDefault="00CD315C" w:rsidP="00CD315C">
                  <w:pPr>
                    <w:pStyle w:val="TableBodyText"/>
                  </w:pPr>
                  <w:r w:rsidRPr="00CD315C">
                    <w:t>np</w:t>
                  </w:r>
                </w:p>
              </w:tc>
              <w:tc>
                <w:tcPr>
                  <w:tcW w:w="419" w:type="pct"/>
                  <w:shd w:val="clear" w:color="auto" w:fill="auto"/>
                  <w:vAlign w:val="center"/>
                </w:tcPr>
                <w:p w:rsidR="00CD315C" w:rsidRPr="00CD315C" w:rsidRDefault="00CD315C" w:rsidP="00CD315C">
                  <w:pPr>
                    <w:pStyle w:val="TableBodyText"/>
                  </w:pPr>
                  <w:r w:rsidRPr="00CD315C">
                    <w:t xml:space="preserve">  22.4</w:t>
                  </w:r>
                </w:p>
              </w:tc>
            </w:tr>
            <w:tr w:rsidR="00CD315C" w:rsidTr="009B30EC">
              <w:tc>
                <w:tcPr>
                  <w:tcW w:w="1240" w:type="pct"/>
                  <w:shd w:val="clear" w:color="auto" w:fill="auto"/>
                </w:tcPr>
                <w:p w:rsidR="00CD315C" w:rsidRDefault="00CD315C" w:rsidP="00A376A3">
                  <w:pPr>
                    <w:pStyle w:val="TableBodyText"/>
                    <w:jc w:val="left"/>
                  </w:pPr>
                  <w:r>
                    <w:t>Hip replacement</w:t>
                  </w:r>
                </w:p>
              </w:tc>
              <w:tc>
                <w:tcPr>
                  <w:tcW w:w="418" w:type="pct"/>
                  <w:shd w:val="clear" w:color="auto" w:fill="auto"/>
                  <w:vAlign w:val="center"/>
                </w:tcPr>
                <w:p w:rsidR="00CD315C" w:rsidRPr="00CD315C" w:rsidRDefault="00CD315C" w:rsidP="00CD315C">
                  <w:pPr>
                    <w:pStyle w:val="TableBodyText"/>
                  </w:pPr>
                  <w:r w:rsidRPr="00CD315C">
                    <w:t xml:space="preserve">  18.0</w:t>
                  </w:r>
                </w:p>
              </w:tc>
              <w:tc>
                <w:tcPr>
                  <w:tcW w:w="417" w:type="pct"/>
                  <w:shd w:val="clear" w:color="auto" w:fill="auto"/>
                  <w:vAlign w:val="center"/>
                </w:tcPr>
                <w:p w:rsidR="00CD315C" w:rsidRPr="00CD315C" w:rsidRDefault="00CD315C" w:rsidP="00CD315C">
                  <w:pPr>
                    <w:pStyle w:val="TableBodyText"/>
                  </w:pPr>
                  <w:r w:rsidRPr="00CD315C">
                    <w:t xml:space="preserve">  16.1</w:t>
                  </w:r>
                </w:p>
              </w:tc>
              <w:tc>
                <w:tcPr>
                  <w:tcW w:w="418" w:type="pct"/>
                  <w:shd w:val="clear" w:color="auto" w:fill="auto"/>
                  <w:vAlign w:val="center"/>
                </w:tcPr>
                <w:p w:rsidR="00CD315C" w:rsidRPr="00CD315C" w:rsidRDefault="00CD315C" w:rsidP="00CD315C">
                  <w:pPr>
                    <w:pStyle w:val="TableBodyText"/>
                  </w:pPr>
                  <w:r w:rsidRPr="00CD315C">
                    <w:t xml:space="preserve">  16.1</w:t>
                  </w:r>
                </w:p>
              </w:tc>
              <w:tc>
                <w:tcPr>
                  <w:tcW w:w="417" w:type="pct"/>
                  <w:shd w:val="clear" w:color="auto" w:fill="auto"/>
                  <w:vAlign w:val="center"/>
                </w:tcPr>
                <w:p w:rsidR="00CD315C" w:rsidRPr="00CD315C" w:rsidRDefault="00CD315C" w:rsidP="00CD315C">
                  <w:pPr>
                    <w:pStyle w:val="TableBodyText"/>
                  </w:pPr>
                  <w:r w:rsidRPr="00CD315C">
                    <w:t xml:space="preserve">  15.9</w:t>
                  </w:r>
                </w:p>
              </w:tc>
              <w:tc>
                <w:tcPr>
                  <w:tcW w:w="418" w:type="pct"/>
                  <w:shd w:val="clear" w:color="auto" w:fill="auto"/>
                  <w:vAlign w:val="center"/>
                </w:tcPr>
                <w:p w:rsidR="00CD315C" w:rsidRPr="00CD315C" w:rsidRDefault="00CD315C" w:rsidP="00CD315C">
                  <w:pPr>
                    <w:pStyle w:val="TableBodyText"/>
                  </w:pPr>
                  <w:r w:rsidRPr="00CD315C">
                    <w:t xml:space="preserve">  19.3</w:t>
                  </w:r>
                </w:p>
              </w:tc>
              <w:tc>
                <w:tcPr>
                  <w:tcW w:w="418" w:type="pct"/>
                  <w:shd w:val="clear" w:color="auto" w:fill="auto"/>
                  <w:vAlign w:val="center"/>
                </w:tcPr>
                <w:p w:rsidR="00CD315C" w:rsidRPr="00CD315C" w:rsidRDefault="00CD315C" w:rsidP="00CD315C">
                  <w:pPr>
                    <w:pStyle w:val="TableBodyText"/>
                  </w:pPr>
                  <w:r w:rsidRPr="00CD315C">
                    <w:t xml:space="preserve">  29.6</w:t>
                  </w:r>
                </w:p>
              </w:tc>
              <w:tc>
                <w:tcPr>
                  <w:tcW w:w="418" w:type="pct"/>
                  <w:shd w:val="clear" w:color="auto" w:fill="auto"/>
                  <w:vAlign w:val="center"/>
                </w:tcPr>
                <w:p w:rsidR="00CD315C" w:rsidRPr="00CD315C" w:rsidRDefault="00CD315C" w:rsidP="00CD315C">
                  <w:pPr>
                    <w:pStyle w:val="TableBodyText"/>
                  </w:pPr>
                  <w:r w:rsidRPr="00CD315C">
                    <w:t xml:space="preserve">  12.9</w:t>
                  </w:r>
                </w:p>
              </w:tc>
              <w:tc>
                <w:tcPr>
                  <w:tcW w:w="417" w:type="pct"/>
                  <w:shd w:val="clear" w:color="auto" w:fill="auto"/>
                  <w:vAlign w:val="center"/>
                </w:tcPr>
                <w:p w:rsidR="00CD315C" w:rsidRPr="00CD315C" w:rsidRDefault="00CD315C" w:rsidP="00CD315C">
                  <w:pPr>
                    <w:pStyle w:val="TableBodyText"/>
                  </w:pPr>
                  <w:r w:rsidRPr="00CD315C">
                    <w:t>np</w:t>
                  </w:r>
                </w:p>
              </w:tc>
              <w:tc>
                <w:tcPr>
                  <w:tcW w:w="419" w:type="pct"/>
                  <w:shd w:val="clear" w:color="auto" w:fill="auto"/>
                  <w:vAlign w:val="center"/>
                </w:tcPr>
                <w:p w:rsidR="00CD315C" w:rsidRPr="00CD315C" w:rsidRDefault="00CD315C" w:rsidP="00CD315C">
                  <w:pPr>
                    <w:pStyle w:val="TableBodyText"/>
                  </w:pPr>
                  <w:r w:rsidRPr="00CD315C">
                    <w:t xml:space="preserve">  17.5</w:t>
                  </w:r>
                </w:p>
              </w:tc>
            </w:tr>
            <w:tr w:rsidR="00CD315C" w:rsidTr="009B30EC">
              <w:tc>
                <w:tcPr>
                  <w:tcW w:w="1240" w:type="pct"/>
                  <w:shd w:val="clear" w:color="auto" w:fill="auto"/>
                </w:tcPr>
                <w:p w:rsidR="00CD315C" w:rsidRDefault="00CD315C" w:rsidP="004E127C">
                  <w:pPr>
                    <w:pStyle w:val="TableBodyText"/>
                    <w:ind w:left="262" w:hanging="262"/>
                    <w:jc w:val="left"/>
                  </w:pPr>
                  <w:r w:rsidRPr="004E127C">
                    <w:t xml:space="preserve">Tonsillectomy and </w:t>
                  </w:r>
                  <w:r w:rsidR="00044772" w:rsidRPr="004E127C">
                    <w:t>adenoidectomy</w:t>
                  </w:r>
                </w:p>
              </w:tc>
              <w:tc>
                <w:tcPr>
                  <w:tcW w:w="418" w:type="pct"/>
                  <w:shd w:val="clear" w:color="auto" w:fill="auto"/>
                  <w:vAlign w:val="center"/>
                </w:tcPr>
                <w:p w:rsidR="00CD315C" w:rsidRPr="00CD315C" w:rsidRDefault="00CD315C" w:rsidP="00CD315C">
                  <w:pPr>
                    <w:pStyle w:val="TableBodyText"/>
                  </w:pPr>
                  <w:r w:rsidRPr="00CD315C">
                    <w:t xml:space="preserve">  30.3</w:t>
                  </w:r>
                </w:p>
              </w:tc>
              <w:tc>
                <w:tcPr>
                  <w:tcW w:w="417" w:type="pct"/>
                  <w:shd w:val="clear" w:color="auto" w:fill="auto"/>
                  <w:vAlign w:val="center"/>
                </w:tcPr>
                <w:p w:rsidR="00CD315C" w:rsidRPr="00CD315C" w:rsidRDefault="00CD315C" w:rsidP="00CD315C">
                  <w:pPr>
                    <w:pStyle w:val="TableBodyText"/>
                  </w:pPr>
                  <w:r w:rsidRPr="00CD315C">
                    <w:t xml:space="preserve">  29.1</w:t>
                  </w:r>
                </w:p>
              </w:tc>
              <w:tc>
                <w:tcPr>
                  <w:tcW w:w="418" w:type="pct"/>
                  <w:shd w:val="clear" w:color="auto" w:fill="auto"/>
                  <w:vAlign w:val="center"/>
                </w:tcPr>
                <w:p w:rsidR="00CD315C" w:rsidRPr="00CD315C" w:rsidRDefault="00CD315C" w:rsidP="00CD315C">
                  <w:pPr>
                    <w:pStyle w:val="TableBodyText"/>
                  </w:pPr>
                  <w:r w:rsidRPr="00CD315C">
                    <w:t xml:space="preserve">  35.7</w:t>
                  </w:r>
                </w:p>
              </w:tc>
              <w:tc>
                <w:tcPr>
                  <w:tcW w:w="417" w:type="pct"/>
                  <w:shd w:val="clear" w:color="auto" w:fill="auto"/>
                  <w:vAlign w:val="center"/>
                </w:tcPr>
                <w:p w:rsidR="00CD315C" w:rsidRPr="00CD315C" w:rsidRDefault="00CD315C" w:rsidP="00CD315C">
                  <w:pPr>
                    <w:pStyle w:val="TableBodyText"/>
                  </w:pPr>
                  <w:r w:rsidRPr="00CD315C">
                    <w:t xml:space="preserve">  42.4</w:t>
                  </w:r>
                </w:p>
              </w:tc>
              <w:tc>
                <w:tcPr>
                  <w:tcW w:w="418" w:type="pct"/>
                  <w:shd w:val="clear" w:color="auto" w:fill="auto"/>
                  <w:vAlign w:val="center"/>
                </w:tcPr>
                <w:p w:rsidR="00CD315C" w:rsidRPr="00CD315C" w:rsidRDefault="00CD315C" w:rsidP="00CD315C">
                  <w:pPr>
                    <w:pStyle w:val="TableBodyText"/>
                  </w:pPr>
                  <w:r w:rsidRPr="00CD315C">
                    <w:t xml:space="preserve">  37.5</w:t>
                  </w:r>
                </w:p>
              </w:tc>
              <w:tc>
                <w:tcPr>
                  <w:tcW w:w="418" w:type="pct"/>
                  <w:shd w:val="clear" w:color="auto" w:fill="auto"/>
                  <w:vAlign w:val="center"/>
                </w:tcPr>
                <w:p w:rsidR="00CD315C" w:rsidRPr="00CD315C" w:rsidRDefault="00CD315C" w:rsidP="00CD315C">
                  <w:pPr>
                    <w:pStyle w:val="TableBodyText"/>
                  </w:pPr>
                  <w:r w:rsidRPr="00CD315C">
                    <w:t xml:space="preserve">  51.9</w:t>
                  </w:r>
                </w:p>
              </w:tc>
              <w:tc>
                <w:tcPr>
                  <w:tcW w:w="418" w:type="pct"/>
                  <w:shd w:val="clear" w:color="auto" w:fill="auto"/>
                  <w:vAlign w:val="center"/>
                </w:tcPr>
                <w:p w:rsidR="00CD315C" w:rsidRPr="00CD315C" w:rsidRDefault="00CD315C" w:rsidP="00CD315C">
                  <w:pPr>
                    <w:pStyle w:val="TableBodyText"/>
                  </w:pPr>
                  <w:r w:rsidRPr="00CD315C">
                    <w:t xml:space="preserve">  44.7</w:t>
                  </w:r>
                </w:p>
              </w:tc>
              <w:tc>
                <w:tcPr>
                  <w:tcW w:w="417" w:type="pct"/>
                  <w:shd w:val="clear" w:color="auto" w:fill="auto"/>
                  <w:vAlign w:val="center"/>
                </w:tcPr>
                <w:p w:rsidR="00CD315C" w:rsidRPr="00CD315C" w:rsidRDefault="00CD315C" w:rsidP="00CD315C">
                  <w:pPr>
                    <w:pStyle w:val="TableBodyText"/>
                  </w:pPr>
                  <w:r w:rsidRPr="00CD315C">
                    <w:t xml:space="preserve">  83.0</w:t>
                  </w:r>
                </w:p>
              </w:tc>
              <w:tc>
                <w:tcPr>
                  <w:tcW w:w="419" w:type="pct"/>
                  <w:shd w:val="clear" w:color="auto" w:fill="auto"/>
                  <w:vAlign w:val="center"/>
                </w:tcPr>
                <w:p w:rsidR="00CD315C" w:rsidRPr="00CD315C" w:rsidRDefault="00CD315C" w:rsidP="00CD315C">
                  <w:pPr>
                    <w:pStyle w:val="TableBodyText"/>
                  </w:pPr>
                  <w:r w:rsidRPr="00CD315C">
                    <w:t xml:space="preserve">  33.1</w:t>
                  </w:r>
                </w:p>
              </w:tc>
            </w:tr>
            <w:tr w:rsidR="00CD315C" w:rsidTr="009B30EC">
              <w:tc>
                <w:tcPr>
                  <w:tcW w:w="1240" w:type="pct"/>
                  <w:shd w:val="clear" w:color="auto" w:fill="auto"/>
                </w:tcPr>
                <w:p w:rsidR="00CD315C" w:rsidRDefault="00CD315C" w:rsidP="00A376A3">
                  <w:pPr>
                    <w:pStyle w:val="TableBodyText"/>
                    <w:jc w:val="left"/>
                  </w:pPr>
                  <w:r w:rsidRPr="004E127C">
                    <w:t>Hysterectomy</w:t>
                  </w:r>
                </w:p>
              </w:tc>
              <w:tc>
                <w:tcPr>
                  <w:tcW w:w="418" w:type="pct"/>
                  <w:shd w:val="clear" w:color="auto" w:fill="auto"/>
                  <w:vAlign w:val="center"/>
                </w:tcPr>
                <w:p w:rsidR="00CD315C" w:rsidRPr="00CD315C" w:rsidRDefault="00CD315C" w:rsidP="00CD315C">
                  <w:pPr>
                    <w:pStyle w:val="TableBodyText"/>
                  </w:pPr>
                  <w:r w:rsidRPr="00CD315C">
                    <w:t xml:space="preserve">  31.6</w:t>
                  </w:r>
                </w:p>
              </w:tc>
              <w:tc>
                <w:tcPr>
                  <w:tcW w:w="417" w:type="pct"/>
                  <w:shd w:val="clear" w:color="auto" w:fill="auto"/>
                  <w:vAlign w:val="center"/>
                </w:tcPr>
                <w:p w:rsidR="00CD315C" w:rsidRPr="00CD315C" w:rsidRDefault="00CD315C" w:rsidP="00CD315C">
                  <w:pPr>
                    <w:pStyle w:val="TableBodyText"/>
                  </w:pPr>
                  <w:r w:rsidRPr="00CD315C">
                    <w:t xml:space="preserve">  25.9</w:t>
                  </w:r>
                </w:p>
              </w:tc>
              <w:tc>
                <w:tcPr>
                  <w:tcW w:w="418" w:type="pct"/>
                  <w:shd w:val="clear" w:color="auto" w:fill="auto"/>
                  <w:vAlign w:val="center"/>
                </w:tcPr>
                <w:p w:rsidR="00CD315C" w:rsidRPr="00CD315C" w:rsidRDefault="00CD315C" w:rsidP="00CD315C">
                  <w:pPr>
                    <w:pStyle w:val="TableBodyText"/>
                  </w:pPr>
                  <w:r w:rsidRPr="00CD315C">
                    <w:t xml:space="preserve">  31.8</w:t>
                  </w:r>
                </w:p>
              </w:tc>
              <w:tc>
                <w:tcPr>
                  <w:tcW w:w="417" w:type="pct"/>
                  <w:shd w:val="clear" w:color="auto" w:fill="auto"/>
                  <w:vAlign w:val="center"/>
                </w:tcPr>
                <w:p w:rsidR="00CD315C" w:rsidRPr="00CD315C" w:rsidRDefault="00CD315C" w:rsidP="00CD315C">
                  <w:pPr>
                    <w:pStyle w:val="TableBodyText"/>
                  </w:pPr>
                  <w:r w:rsidRPr="00CD315C">
                    <w:t xml:space="preserve">  43.6</w:t>
                  </w:r>
                </w:p>
              </w:tc>
              <w:tc>
                <w:tcPr>
                  <w:tcW w:w="418" w:type="pct"/>
                  <w:shd w:val="clear" w:color="auto" w:fill="auto"/>
                  <w:vAlign w:val="center"/>
                </w:tcPr>
                <w:p w:rsidR="00CD315C" w:rsidRPr="00CD315C" w:rsidRDefault="00CD315C" w:rsidP="00CD315C">
                  <w:pPr>
                    <w:pStyle w:val="TableBodyText"/>
                  </w:pPr>
                  <w:r w:rsidRPr="00CD315C">
                    <w:t xml:space="preserve">  28.7</w:t>
                  </w:r>
                </w:p>
              </w:tc>
              <w:tc>
                <w:tcPr>
                  <w:tcW w:w="418" w:type="pct"/>
                  <w:shd w:val="clear" w:color="auto" w:fill="auto"/>
                  <w:vAlign w:val="center"/>
                </w:tcPr>
                <w:p w:rsidR="00CD315C" w:rsidRPr="00CD315C" w:rsidRDefault="00CD315C" w:rsidP="00CD315C">
                  <w:pPr>
                    <w:pStyle w:val="TableBodyText"/>
                  </w:pPr>
                  <w:r w:rsidRPr="00CD315C">
                    <w:t xml:space="preserve">  52.0</w:t>
                  </w:r>
                </w:p>
              </w:tc>
              <w:tc>
                <w:tcPr>
                  <w:tcW w:w="418" w:type="pct"/>
                  <w:shd w:val="clear" w:color="auto" w:fill="auto"/>
                  <w:vAlign w:val="center"/>
                </w:tcPr>
                <w:p w:rsidR="00CD315C" w:rsidRPr="00CD315C" w:rsidRDefault="00CD315C" w:rsidP="00CD315C">
                  <w:pPr>
                    <w:pStyle w:val="TableBodyText"/>
                  </w:pPr>
                  <w:r w:rsidRPr="00CD315C">
                    <w:t xml:space="preserve">  23.1</w:t>
                  </w:r>
                </w:p>
              </w:tc>
              <w:tc>
                <w:tcPr>
                  <w:tcW w:w="417" w:type="pct"/>
                  <w:shd w:val="clear" w:color="auto" w:fill="auto"/>
                  <w:vAlign w:val="center"/>
                </w:tcPr>
                <w:p w:rsidR="00CD315C" w:rsidRPr="00CD315C" w:rsidRDefault="00CD315C" w:rsidP="00CD315C">
                  <w:pPr>
                    <w:pStyle w:val="TableBodyText"/>
                  </w:pPr>
                  <w:r w:rsidRPr="00CD315C">
                    <w:t>np</w:t>
                  </w:r>
                </w:p>
              </w:tc>
              <w:tc>
                <w:tcPr>
                  <w:tcW w:w="419" w:type="pct"/>
                  <w:shd w:val="clear" w:color="auto" w:fill="auto"/>
                  <w:vAlign w:val="center"/>
                </w:tcPr>
                <w:p w:rsidR="00CD315C" w:rsidRPr="00CD315C" w:rsidRDefault="00CD315C" w:rsidP="00CD315C">
                  <w:pPr>
                    <w:pStyle w:val="TableBodyText"/>
                  </w:pPr>
                  <w:r w:rsidRPr="00CD315C">
                    <w:t xml:space="preserve">  30.6</w:t>
                  </w:r>
                </w:p>
              </w:tc>
            </w:tr>
            <w:tr w:rsidR="00CD315C" w:rsidTr="009B30EC">
              <w:tc>
                <w:tcPr>
                  <w:tcW w:w="1240" w:type="pct"/>
                  <w:shd w:val="clear" w:color="auto" w:fill="auto"/>
                </w:tcPr>
                <w:p w:rsidR="00CD315C" w:rsidRDefault="00CD315C" w:rsidP="00A376A3">
                  <w:pPr>
                    <w:pStyle w:val="TableBodyText"/>
                    <w:jc w:val="left"/>
                  </w:pPr>
                  <w:r w:rsidRPr="004E127C">
                    <w:t>Prostatectomy</w:t>
                  </w:r>
                </w:p>
              </w:tc>
              <w:tc>
                <w:tcPr>
                  <w:tcW w:w="418" w:type="pct"/>
                  <w:shd w:val="clear" w:color="auto" w:fill="auto"/>
                  <w:vAlign w:val="center"/>
                </w:tcPr>
                <w:p w:rsidR="00CD315C" w:rsidRPr="00CD315C" w:rsidRDefault="00CD315C" w:rsidP="00CD315C">
                  <w:pPr>
                    <w:pStyle w:val="TableBodyText"/>
                  </w:pPr>
                  <w:r w:rsidRPr="00CD315C">
                    <w:t xml:space="preserve">  27.3</w:t>
                  </w:r>
                </w:p>
              </w:tc>
              <w:tc>
                <w:tcPr>
                  <w:tcW w:w="417" w:type="pct"/>
                  <w:shd w:val="clear" w:color="auto" w:fill="auto"/>
                  <w:vAlign w:val="center"/>
                </w:tcPr>
                <w:p w:rsidR="00CD315C" w:rsidRPr="00CD315C" w:rsidRDefault="00CD315C" w:rsidP="00CD315C">
                  <w:pPr>
                    <w:pStyle w:val="TableBodyText"/>
                  </w:pPr>
                  <w:r w:rsidRPr="00CD315C">
                    <w:t xml:space="preserve">  26.5</w:t>
                  </w:r>
                </w:p>
              </w:tc>
              <w:tc>
                <w:tcPr>
                  <w:tcW w:w="418" w:type="pct"/>
                  <w:shd w:val="clear" w:color="auto" w:fill="auto"/>
                  <w:vAlign w:val="center"/>
                </w:tcPr>
                <w:p w:rsidR="00CD315C" w:rsidRPr="00CD315C" w:rsidRDefault="00CD315C" w:rsidP="00CD315C">
                  <w:pPr>
                    <w:pStyle w:val="TableBodyText"/>
                  </w:pPr>
                  <w:r w:rsidRPr="00CD315C">
                    <w:t xml:space="preserve">  40.7</w:t>
                  </w:r>
                </w:p>
              </w:tc>
              <w:tc>
                <w:tcPr>
                  <w:tcW w:w="417" w:type="pct"/>
                  <w:shd w:val="clear" w:color="auto" w:fill="auto"/>
                  <w:vAlign w:val="center"/>
                </w:tcPr>
                <w:p w:rsidR="00CD315C" w:rsidRPr="00CD315C" w:rsidRDefault="00CD315C" w:rsidP="00CD315C">
                  <w:pPr>
                    <w:pStyle w:val="TableBodyText"/>
                  </w:pPr>
                  <w:r w:rsidRPr="00CD315C">
                    <w:t xml:space="preserve">  33.9</w:t>
                  </w:r>
                </w:p>
              </w:tc>
              <w:tc>
                <w:tcPr>
                  <w:tcW w:w="418" w:type="pct"/>
                  <w:shd w:val="clear" w:color="auto" w:fill="auto"/>
                  <w:vAlign w:val="center"/>
                </w:tcPr>
                <w:p w:rsidR="00CD315C" w:rsidRPr="00CD315C" w:rsidRDefault="00CD315C" w:rsidP="00CD315C">
                  <w:pPr>
                    <w:pStyle w:val="TableBodyText"/>
                  </w:pPr>
                  <w:r w:rsidRPr="00CD315C">
                    <w:t xml:space="preserve">  28.9</w:t>
                  </w:r>
                </w:p>
              </w:tc>
              <w:tc>
                <w:tcPr>
                  <w:tcW w:w="418" w:type="pct"/>
                  <w:shd w:val="clear" w:color="auto" w:fill="auto"/>
                  <w:vAlign w:val="center"/>
                </w:tcPr>
                <w:p w:rsidR="00CD315C" w:rsidRPr="00CD315C" w:rsidRDefault="00CD315C" w:rsidP="00CD315C">
                  <w:pPr>
                    <w:pStyle w:val="TableBodyText"/>
                  </w:pPr>
                  <w:r w:rsidRPr="00CD315C">
                    <w:t xml:space="preserve">  57.8</w:t>
                  </w:r>
                </w:p>
              </w:tc>
              <w:tc>
                <w:tcPr>
                  <w:tcW w:w="418" w:type="pct"/>
                  <w:shd w:val="clear" w:color="auto" w:fill="auto"/>
                  <w:vAlign w:val="center"/>
                </w:tcPr>
                <w:p w:rsidR="00CD315C" w:rsidRPr="00CD315C" w:rsidRDefault="00CD315C" w:rsidP="00CD315C">
                  <w:pPr>
                    <w:pStyle w:val="TableBodyText"/>
                  </w:pPr>
                  <w:r w:rsidRPr="00CD315C">
                    <w:t>np</w:t>
                  </w:r>
                </w:p>
              </w:tc>
              <w:tc>
                <w:tcPr>
                  <w:tcW w:w="417" w:type="pct"/>
                  <w:shd w:val="clear" w:color="auto" w:fill="auto"/>
                  <w:vAlign w:val="center"/>
                </w:tcPr>
                <w:p w:rsidR="00CD315C" w:rsidRPr="00CD315C" w:rsidRDefault="00CD315C" w:rsidP="00CD315C">
                  <w:pPr>
                    <w:pStyle w:val="TableBodyText"/>
                  </w:pPr>
                  <w:r w:rsidRPr="00CD315C">
                    <w:t>np</w:t>
                  </w:r>
                </w:p>
              </w:tc>
              <w:tc>
                <w:tcPr>
                  <w:tcW w:w="419" w:type="pct"/>
                  <w:shd w:val="clear" w:color="auto" w:fill="auto"/>
                  <w:vAlign w:val="center"/>
                </w:tcPr>
                <w:p w:rsidR="00CD315C" w:rsidRPr="00CD315C" w:rsidRDefault="00CD315C" w:rsidP="00CD315C">
                  <w:pPr>
                    <w:pStyle w:val="TableBodyText"/>
                  </w:pPr>
                  <w:r w:rsidRPr="00CD315C">
                    <w:t xml:space="preserve">  31.1</w:t>
                  </w:r>
                </w:p>
              </w:tc>
            </w:tr>
            <w:tr w:rsidR="00CD315C" w:rsidTr="009B30EC">
              <w:tc>
                <w:tcPr>
                  <w:tcW w:w="1240" w:type="pct"/>
                  <w:shd w:val="clear" w:color="auto" w:fill="auto"/>
                </w:tcPr>
                <w:p w:rsidR="00CD315C" w:rsidRDefault="00CD315C" w:rsidP="00A376A3">
                  <w:pPr>
                    <w:pStyle w:val="TableBodyText"/>
                    <w:jc w:val="left"/>
                  </w:pPr>
                  <w:r w:rsidRPr="004E127C">
                    <w:t>Cataract surgery</w:t>
                  </w:r>
                </w:p>
              </w:tc>
              <w:tc>
                <w:tcPr>
                  <w:tcW w:w="418" w:type="pct"/>
                  <w:shd w:val="clear" w:color="auto" w:fill="auto"/>
                  <w:vAlign w:val="center"/>
                </w:tcPr>
                <w:p w:rsidR="00CD315C" w:rsidRPr="00CD315C" w:rsidRDefault="00CD315C" w:rsidP="00CD315C">
                  <w:pPr>
                    <w:pStyle w:val="TableBodyText"/>
                  </w:pPr>
                  <w:r w:rsidRPr="00CD315C">
                    <w:t xml:space="preserve">  3.4</w:t>
                  </w:r>
                </w:p>
              </w:tc>
              <w:tc>
                <w:tcPr>
                  <w:tcW w:w="417" w:type="pct"/>
                  <w:shd w:val="clear" w:color="auto" w:fill="auto"/>
                  <w:vAlign w:val="center"/>
                </w:tcPr>
                <w:p w:rsidR="00CD315C" w:rsidRPr="00CD315C" w:rsidRDefault="00CD315C" w:rsidP="00CD315C">
                  <w:pPr>
                    <w:pStyle w:val="TableBodyText"/>
                  </w:pPr>
                  <w:r w:rsidRPr="00CD315C">
                    <w:t xml:space="preserve">  3.0</w:t>
                  </w:r>
                </w:p>
              </w:tc>
              <w:tc>
                <w:tcPr>
                  <w:tcW w:w="418" w:type="pct"/>
                  <w:shd w:val="clear" w:color="auto" w:fill="auto"/>
                  <w:vAlign w:val="center"/>
                </w:tcPr>
                <w:p w:rsidR="00CD315C" w:rsidRPr="00CD315C" w:rsidRDefault="00CD315C" w:rsidP="00CD315C">
                  <w:pPr>
                    <w:pStyle w:val="TableBodyText"/>
                  </w:pPr>
                  <w:r w:rsidRPr="00CD315C">
                    <w:t xml:space="preserve">  4.6</w:t>
                  </w:r>
                </w:p>
              </w:tc>
              <w:tc>
                <w:tcPr>
                  <w:tcW w:w="417" w:type="pct"/>
                  <w:shd w:val="clear" w:color="auto" w:fill="auto"/>
                  <w:vAlign w:val="center"/>
                </w:tcPr>
                <w:p w:rsidR="00CD315C" w:rsidRPr="00CD315C" w:rsidRDefault="00CD315C" w:rsidP="00CD315C">
                  <w:pPr>
                    <w:pStyle w:val="TableBodyText"/>
                  </w:pPr>
                  <w:r w:rsidRPr="00CD315C">
                    <w:t xml:space="preserve">  2.6</w:t>
                  </w:r>
                </w:p>
              </w:tc>
              <w:tc>
                <w:tcPr>
                  <w:tcW w:w="418" w:type="pct"/>
                  <w:shd w:val="clear" w:color="auto" w:fill="auto"/>
                  <w:vAlign w:val="center"/>
                </w:tcPr>
                <w:p w:rsidR="00CD315C" w:rsidRPr="00CD315C" w:rsidRDefault="00CD315C" w:rsidP="00CD315C">
                  <w:pPr>
                    <w:pStyle w:val="TableBodyText"/>
                  </w:pPr>
                  <w:r w:rsidRPr="00CD315C">
                    <w:t xml:space="preserve">  2.9</w:t>
                  </w:r>
                </w:p>
              </w:tc>
              <w:tc>
                <w:tcPr>
                  <w:tcW w:w="418" w:type="pct"/>
                  <w:shd w:val="clear" w:color="auto" w:fill="auto"/>
                  <w:vAlign w:val="center"/>
                </w:tcPr>
                <w:p w:rsidR="00CD315C" w:rsidRPr="00CD315C" w:rsidRDefault="00CD315C" w:rsidP="00CD315C">
                  <w:pPr>
                    <w:pStyle w:val="TableBodyText"/>
                  </w:pPr>
                  <w:r w:rsidRPr="00CD315C">
                    <w:t xml:space="preserve">  4.4</w:t>
                  </w:r>
                </w:p>
              </w:tc>
              <w:tc>
                <w:tcPr>
                  <w:tcW w:w="418" w:type="pct"/>
                  <w:shd w:val="clear" w:color="auto" w:fill="auto"/>
                  <w:vAlign w:val="center"/>
                </w:tcPr>
                <w:p w:rsidR="00CD315C" w:rsidRPr="00CD315C" w:rsidRDefault="00CD315C" w:rsidP="00CD315C">
                  <w:pPr>
                    <w:pStyle w:val="TableBodyText"/>
                  </w:pPr>
                  <w:r w:rsidRPr="00CD315C">
                    <w:t xml:space="preserve">  0.9</w:t>
                  </w:r>
                </w:p>
              </w:tc>
              <w:tc>
                <w:tcPr>
                  <w:tcW w:w="417" w:type="pct"/>
                  <w:shd w:val="clear" w:color="auto" w:fill="auto"/>
                  <w:vAlign w:val="center"/>
                </w:tcPr>
                <w:p w:rsidR="00CD315C" w:rsidRPr="00CD315C" w:rsidRDefault="00CD315C" w:rsidP="00CD315C">
                  <w:pPr>
                    <w:pStyle w:val="TableBodyText"/>
                  </w:pPr>
                  <w:r w:rsidRPr="00CD315C">
                    <w:t xml:space="preserve">  6.0</w:t>
                  </w:r>
                </w:p>
              </w:tc>
              <w:tc>
                <w:tcPr>
                  <w:tcW w:w="419" w:type="pct"/>
                  <w:shd w:val="clear" w:color="auto" w:fill="auto"/>
                  <w:vAlign w:val="center"/>
                </w:tcPr>
                <w:p w:rsidR="00CD315C" w:rsidRPr="00CD315C" w:rsidRDefault="00CD315C" w:rsidP="00CD315C">
                  <w:pPr>
                    <w:pStyle w:val="TableBodyText"/>
                  </w:pPr>
                  <w:r w:rsidRPr="00CD315C">
                    <w:t xml:space="preserve">  3.4</w:t>
                  </w:r>
                </w:p>
              </w:tc>
            </w:tr>
            <w:tr w:rsidR="00CD315C" w:rsidTr="009B30EC">
              <w:tc>
                <w:tcPr>
                  <w:tcW w:w="1240" w:type="pct"/>
                  <w:tcBorders>
                    <w:bottom w:val="single" w:sz="6" w:space="0" w:color="BFBFBF"/>
                  </w:tcBorders>
                  <w:shd w:val="clear" w:color="auto" w:fill="auto"/>
                </w:tcPr>
                <w:p w:rsidR="00CD315C" w:rsidRDefault="00CD315C" w:rsidP="00A376A3">
                  <w:pPr>
                    <w:pStyle w:val="TableBodyText"/>
                    <w:jc w:val="left"/>
                  </w:pPr>
                  <w:r w:rsidRPr="004E127C">
                    <w:t>Appendicectomy</w:t>
                  </w:r>
                </w:p>
              </w:tc>
              <w:tc>
                <w:tcPr>
                  <w:tcW w:w="418" w:type="pct"/>
                  <w:tcBorders>
                    <w:bottom w:val="single" w:sz="6" w:space="0" w:color="BFBFBF"/>
                  </w:tcBorders>
                  <w:shd w:val="clear" w:color="auto" w:fill="auto"/>
                  <w:vAlign w:val="center"/>
                </w:tcPr>
                <w:p w:rsidR="00CD315C" w:rsidRPr="00CD315C" w:rsidRDefault="00CD315C" w:rsidP="00CD315C">
                  <w:pPr>
                    <w:pStyle w:val="TableBodyText"/>
                  </w:pPr>
                  <w:r w:rsidRPr="00CD315C">
                    <w:t xml:space="preserve">  22.4</w:t>
                  </w:r>
                </w:p>
              </w:tc>
              <w:tc>
                <w:tcPr>
                  <w:tcW w:w="417" w:type="pct"/>
                  <w:tcBorders>
                    <w:bottom w:val="single" w:sz="6" w:space="0" w:color="BFBFBF"/>
                  </w:tcBorders>
                  <w:shd w:val="clear" w:color="auto" w:fill="auto"/>
                  <w:vAlign w:val="center"/>
                </w:tcPr>
                <w:p w:rsidR="00CD315C" w:rsidRPr="00CD315C" w:rsidRDefault="00CD315C" w:rsidP="00CD315C">
                  <w:pPr>
                    <w:pStyle w:val="TableBodyText"/>
                  </w:pPr>
                  <w:r w:rsidRPr="00CD315C">
                    <w:t xml:space="preserve">  22.8</w:t>
                  </w:r>
                </w:p>
              </w:tc>
              <w:tc>
                <w:tcPr>
                  <w:tcW w:w="418" w:type="pct"/>
                  <w:tcBorders>
                    <w:bottom w:val="single" w:sz="6" w:space="0" w:color="BFBFBF"/>
                  </w:tcBorders>
                  <w:shd w:val="clear" w:color="auto" w:fill="auto"/>
                  <w:vAlign w:val="center"/>
                </w:tcPr>
                <w:p w:rsidR="00CD315C" w:rsidRPr="00CD315C" w:rsidRDefault="00CD315C" w:rsidP="00CD315C">
                  <w:pPr>
                    <w:pStyle w:val="TableBodyText"/>
                  </w:pPr>
                  <w:r w:rsidRPr="00CD315C">
                    <w:t xml:space="preserve">  22.0</w:t>
                  </w:r>
                </w:p>
              </w:tc>
              <w:tc>
                <w:tcPr>
                  <w:tcW w:w="417" w:type="pct"/>
                  <w:tcBorders>
                    <w:bottom w:val="single" w:sz="6" w:space="0" w:color="BFBFBF"/>
                  </w:tcBorders>
                  <w:shd w:val="clear" w:color="auto" w:fill="auto"/>
                  <w:vAlign w:val="center"/>
                </w:tcPr>
                <w:p w:rsidR="00CD315C" w:rsidRPr="00CD315C" w:rsidRDefault="00CD315C" w:rsidP="00CD315C">
                  <w:pPr>
                    <w:pStyle w:val="TableBodyText"/>
                  </w:pPr>
                  <w:r w:rsidRPr="00CD315C">
                    <w:t xml:space="preserve">  29.0</w:t>
                  </w:r>
                </w:p>
              </w:tc>
              <w:tc>
                <w:tcPr>
                  <w:tcW w:w="418" w:type="pct"/>
                  <w:tcBorders>
                    <w:bottom w:val="single" w:sz="6" w:space="0" w:color="BFBFBF"/>
                  </w:tcBorders>
                  <w:shd w:val="clear" w:color="auto" w:fill="auto"/>
                  <w:vAlign w:val="center"/>
                </w:tcPr>
                <w:p w:rsidR="00CD315C" w:rsidRPr="00CD315C" w:rsidRDefault="00CD315C" w:rsidP="00CD315C">
                  <w:pPr>
                    <w:pStyle w:val="TableBodyText"/>
                  </w:pPr>
                  <w:r w:rsidRPr="00CD315C">
                    <w:t xml:space="preserve">  27.0</w:t>
                  </w:r>
                </w:p>
              </w:tc>
              <w:tc>
                <w:tcPr>
                  <w:tcW w:w="418" w:type="pct"/>
                  <w:tcBorders>
                    <w:bottom w:val="single" w:sz="6" w:space="0" w:color="BFBFBF"/>
                  </w:tcBorders>
                  <w:shd w:val="clear" w:color="auto" w:fill="auto"/>
                  <w:vAlign w:val="center"/>
                </w:tcPr>
                <w:p w:rsidR="00CD315C" w:rsidRPr="00CD315C" w:rsidRDefault="00CD315C" w:rsidP="00CD315C">
                  <w:pPr>
                    <w:pStyle w:val="TableBodyText"/>
                  </w:pPr>
                  <w:r w:rsidRPr="00CD315C">
                    <w:t xml:space="preserve">  26.5</w:t>
                  </w:r>
                </w:p>
              </w:tc>
              <w:tc>
                <w:tcPr>
                  <w:tcW w:w="418" w:type="pct"/>
                  <w:tcBorders>
                    <w:bottom w:val="single" w:sz="6" w:space="0" w:color="BFBFBF"/>
                  </w:tcBorders>
                  <w:shd w:val="clear" w:color="auto" w:fill="auto"/>
                  <w:vAlign w:val="center"/>
                </w:tcPr>
                <w:p w:rsidR="00CD315C" w:rsidRPr="00CD315C" w:rsidRDefault="00CD315C" w:rsidP="00CD315C">
                  <w:pPr>
                    <w:pStyle w:val="TableBodyText"/>
                  </w:pPr>
                  <w:r w:rsidRPr="00CD315C">
                    <w:t xml:space="preserve">  20.4</w:t>
                  </w:r>
                </w:p>
              </w:tc>
              <w:tc>
                <w:tcPr>
                  <w:tcW w:w="417" w:type="pct"/>
                  <w:tcBorders>
                    <w:bottom w:val="single" w:sz="6" w:space="0" w:color="BFBFBF"/>
                  </w:tcBorders>
                  <w:shd w:val="clear" w:color="auto" w:fill="auto"/>
                  <w:vAlign w:val="center"/>
                </w:tcPr>
                <w:p w:rsidR="00CD315C" w:rsidRPr="00CD315C" w:rsidRDefault="00CD315C" w:rsidP="00CD315C">
                  <w:pPr>
                    <w:pStyle w:val="TableBodyText"/>
                  </w:pPr>
                  <w:r w:rsidRPr="00CD315C">
                    <w:t xml:space="preserve">  43.5</w:t>
                  </w:r>
                </w:p>
              </w:tc>
              <w:tc>
                <w:tcPr>
                  <w:tcW w:w="419" w:type="pct"/>
                  <w:tcBorders>
                    <w:bottom w:val="single" w:sz="6" w:space="0" w:color="BFBFBF"/>
                  </w:tcBorders>
                  <w:shd w:val="clear" w:color="auto" w:fill="auto"/>
                  <w:vAlign w:val="center"/>
                </w:tcPr>
                <w:p w:rsidR="00CD315C" w:rsidRPr="00CD315C" w:rsidRDefault="00CD315C" w:rsidP="00CD315C">
                  <w:pPr>
                    <w:pStyle w:val="TableBodyText"/>
                  </w:pPr>
                  <w:r w:rsidRPr="00CD315C">
                    <w:t xml:space="preserve">  23.1</w:t>
                  </w:r>
                </w:p>
              </w:tc>
            </w:tr>
          </w:tbl>
          <w:p w:rsidR="00A2571D" w:rsidRDefault="00A2571D" w:rsidP="00A376A3">
            <w:pPr>
              <w:pStyle w:val="Box"/>
            </w:pPr>
          </w:p>
        </w:tc>
      </w:tr>
      <w:tr w:rsidR="00A2571D" w:rsidTr="0083330D">
        <w:trPr>
          <w:cantSplit/>
        </w:trPr>
        <w:tc>
          <w:tcPr>
            <w:tcW w:w="8771" w:type="dxa"/>
            <w:tcBorders>
              <w:top w:val="nil"/>
              <w:left w:val="nil"/>
              <w:bottom w:val="nil"/>
              <w:right w:val="nil"/>
            </w:tcBorders>
            <w:shd w:val="clear" w:color="auto" w:fill="auto"/>
          </w:tcPr>
          <w:p w:rsidR="00A2571D" w:rsidRDefault="00A2571D" w:rsidP="00EA2FD4">
            <w:pPr>
              <w:pStyle w:val="Note"/>
              <w:rPr>
                <w:i/>
              </w:rPr>
            </w:pPr>
            <w:r w:rsidRPr="008E77FE">
              <w:rPr>
                <w:rStyle w:val="NoteLabel"/>
              </w:rPr>
              <w:t>a</w:t>
            </w:r>
            <w:r>
              <w:t xml:space="preserve"> </w:t>
            </w:r>
            <w:r w:rsidR="004E127C" w:rsidRPr="004E127C">
              <w:t xml:space="preserve">Total rates for Australia do not include WA. </w:t>
            </w:r>
            <w:r w:rsidR="004E127C" w:rsidRPr="004E127C">
              <w:rPr>
                <w:b/>
              </w:rPr>
              <w:t>np</w:t>
            </w:r>
            <w:r w:rsidR="004E127C" w:rsidRPr="004E127C">
              <w:t xml:space="preserve"> Not published. – Nil or rounde</w:t>
            </w:r>
            <w:r w:rsidR="00EA2FD4">
              <w:t>d</w:t>
            </w:r>
            <w:r w:rsidR="004E127C" w:rsidRPr="004E127C">
              <w:t xml:space="preserve"> to zero.</w:t>
            </w:r>
          </w:p>
        </w:tc>
      </w:tr>
      <w:tr w:rsidR="00A2571D" w:rsidTr="0083330D">
        <w:trPr>
          <w:cantSplit/>
        </w:trPr>
        <w:tc>
          <w:tcPr>
            <w:tcW w:w="8771" w:type="dxa"/>
            <w:tcBorders>
              <w:top w:val="nil"/>
              <w:left w:val="nil"/>
              <w:bottom w:val="nil"/>
              <w:right w:val="nil"/>
            </w:tcBorders>
            <w:shd w:val="clear" w:color="auto" w:fill="auto"/>
          </w:tcPr>
          <w:p w:rsidR="00A2571D" w:rsidRDefault="004E127C" w:rsidP="004F7D79">
            <w:pPr>
              <w:pStyle w:val="Source"/>
            </w:pPr>
            <w:r>
              <w:rPr>
                <w:i/>
              </w:rPr>
              <w:t>Source</w:t>
            </w:r>
            <w:r w:rsidR="00A2571D" w:rsidRPr="00167F06">
              <w:t xml:space="preserve">: </w:t>
            </w:r>
            <w:r w:rsidRPr="004E127C">
              <w:t xml:space="preserve">AIHW (unpublished) </w:t>
            </w:r>
            <w:r w:rsidR="00A311DE">
              <w:t>National Hospital Morbidity Database</w:t>
            </w:r>
            <w:r w:rsidRPr="004E127C">
              <w:t>; WA Health (unpublished); table 11A.</w:t>
            </w:r>
            <w:r w:rsidR="007E1F41">
              <w:t>5</w:t>
            </w:r>
            <w:r w:rsidR="004F7D79">
              <w:t>0</w:t>
            </w:r>
            <w:r w:rsidRPr="004E127C">
              <w:t>.</w:t>
            </w:r>
          </w:p>
        </w:tc>
      </w:tr>
      <w:tr w:rsidR="00A2571D" w:rsidTr="00A376A3">
        <w:trPr>
          <w:cantSplit/>
        </w:trPr>
        <w:tc>
          <w:tcPr>
            <w:tcW w:w="8771" w:type="dxa"/>
            <w:tcBorders>
              <w:top w:val="nil"/>
              <w:left w:val="nil"/>
              <w:bottom w:val="single" w:sz="6" w:space="0" w:color="78A22F"/>
              <w:right w:val="nil"/>
            </w:tcBorders>
            <w:shd w:val="clear" w:color="auto" w:fill="auto"/>
          </w:tcPr>
          <w:p w:rsidR="00A2571D" w:rsidRDefault="00A2571D" w:rsidP="00A376A3">
            <w:pPr>
              <w:pStyle w:val="Box"/>
              <w:spacing w:before="0" w:line="120" w:lineRule="exact"/>
            </w:pPr>
          </w:p>
        </w:tc>
      </w:tr>
      <w:tr w:rsidR="00A2571D" w:rsidRPr="000863A5" w:rsidTr="00A376A3">
        <w:tc>
          <w:tcPr>
            <w:tcW w:w="8771" w:type="dxa"/>
            <w:tcBorders>
              <w:top w:val="single" w:sz="6" w:space="0" w:color="78A22F"/>
              <w:left w:val="nil"/>
              <w:bottom w:val="nil"/>
              <w:right w:val="nil"/>
            </w:tcBorders>
          </w:tcPr>
          <w:p w:rsidR="00A2571D" w:rsidRPr="00626D32" w:rsidRDefault="00A2571D" w:rsidP="00A376A3">
            <w:pPr>
              <w:pStyle w:val="BoxSpaceBelow"/>
            </w:pPr>
          </w:p>
        </w:tc>
      </w:tr>
    </w:tbl>
    <w:p w:rsidR="004E127C" w:rsidRDefault="004E127C" w:rsidP="004E127C">
      <w:pPr>
        <w:pStyle w:val="BodyText"/>
      </w:pPr>
      <w:r>
        <w:t>There are some</w:t>
      </w:r>
      <w:r w:rsidR="005C529A">
        <w:t xml:space="preserve"> difficulties in identifying re</w:t>
      </w:r>
      <w:r>
        <w:t xml:space="preserve">admissions that were unplanned. The indicator is likely to be an under-estimate because: </w:t>
      </w:r>
    </w:p>
    <w:p w:rsidR="004E127C" w:rsidRDefault="004E127C" w:rsidP="004E127C">
      <w:pPr>
        <w:pStyle w:val="ListBullet"/>
      </w:pPr>
      <w:r>
        <w:t>it id</w:t>
      </w:r>
      <w:r w:rsidR="005C529A">
        <w:t>entifies only those patients re</w:t>
      </w:r>
      <w:r>
        <w:t>admitted to the same hospital, so does not include patients who go to another hospital</w:t>
      </w:r>
    </w:p>
    <w:p w:rsidR="004E127C" w:rsidRDefault="004E127C" w:rsidP="004E127C">
      <w:pPr>
        <w:pStyle w:val="ListBullet"/>
      </w:pPr>
      <w:r>
        <w:t>episodes of non-admitted patient care provided in outpatient clinics or emergency departments which may have been related to a previous admission are not included</w:t>
      </w:r>
    </w:p>
    <w:p w:rsidR="004E127C" w:rsidRDefault="004E127C" w:rsidP="004E127C">
      <w:pPr>
        <w:pStyle w:val="ListBullet"/>
      </w:pPr>
      <w:r>
        <w:t>the unplanned and/or unexpected readmissions are limited to those having a principal diagnosis of a post-operative adverse event. This does not include all possible unplanned/unexpected readmissions.</w:t>
      </w:r>
    </w:p>
    <w:p w:rsidR="004E127C" w:rsidRDefault="004E127C" w:rsidP="004E127C">
      <w:pPr>
        <w:pStyle w:val="Heading4"/>
      </w:pPr>
      <w:r>
        <w:t xml:space="preserve">Safety — hospital accreditation </w:t>
      </w:r>
    </w:p>
    <w:p w:rsidR="00A2571D" w:rsidRDefault="004E127C" w:rsidP="004E127C">
      <w:pPr>
        <w:pStyle w:val="BodyText"/>
      </w:pPr>
      <w:r>
        <w:t>‘Accreditation’ is an indicator of governments’ objective to provide public hospital services that are of high quality (box 11.7).</w:t>
      </w:r>
      <w:r w:rsidR="00D1090F" w:rsidRPr="00D1090F">
        <w:t xml:space="preserve"> </w:t>
      </w:r>
      <w:r w:rsidR="00D1090F" w:rsidRPr="004E127C">
        <w:t xml:space="preserve">Data for this indicator are </w:t>
      </w:r>
      <w:r w:rsidR="00D1090F">
        <w:t>shown in figure </w:t>
      </w:r>
      <w:r w:rsidR="00D1090F" w:rsidRPr="004E127C">
        <w:t>11.1</w:t>
      </w:r>
      <w:r w:rsidR="00D1090F">
        <w:t>4</w:t>
      </w:r>
      <w:r w:rsidR="00D1090F" w:rsidRPr="004E127C">
        <w:t xml:space="preserve">. </w:t>
      </w:r>
    </w:p>
    <w:p w:rsidR="004E127C" w:rsidRDefault="004E127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E127C" w:rsidTr="00A376A3">
        <w:tc>
          <w:tcPr>
            <w:tcW w:w="8771" w:type="dxa"/>
            <w:tcBorders>
              <w:top w:val="single" w:sz="6" w:space="0" w:color="78A22F"/>
              <w:left w:val="nil"/>
              <w:bottom w:val="nil"/>
              <w:right w:val="nil"/>
            </w:tcBorders>
            <w:shd w:val="clear" w:color="auto" w:fill="F2F2F2"/>
          </w:tcPr>
          <w:p w:rsidR="004E127C" w:rsidRDefault="004E127C">
            <w:pPr>
              <w:pStyle w:val="BoxTitle"/>
            </w:pPr>
            <w:r>
              <w:rPr>
                <w:b w:val="0"/>
              </w:rPr>
              <w:t>Box 11.</w:t>
            </w:r>
            <w:r w:rsidR="009A53E9">
              <w:rPr>
                <w:b w:val="0"/>
                <w:noProof/>
              </w:rPr>
              <w:t>7</w:t>
            </w:r>
            <w:r>
              <w:tab/>
            </w:r>
            <w:r w:rsidRPr="004E127C">
              <w:t>Accreditation</w:t>
            </w:r>
          </w:p>
        </w:tc>
      </w:tr>
      <w:tr w:rsidR="004E127C" w:rsidTr="00A376A3">
        <w:trPr>
          <w:cantSplit/>
        </w:trPr>
        <w:tc>
          <w:tcPr>
            <w:tcW w:w="8771" w:type="dxa"/>
            <w:tcBorders>
              <w:top w:val="nil"/>
              <w:left w:val="nil"/>
              <w:bottom w:val="nil"/>
              <w:right w:val="nil"/>
            </w:tcBorders>
            <w:shd w:val="clear" w:color="auto" w:fill="F2F2F2"/>
          </w:tcPr>
          <w:p w:rsidR="002A6201" w:rsidRDefault="002A6201" w:rsidP="004E127C">
            <w:pPr>
              <w:pStyle w:val="Box"/>
            </w:pPr>
            <w:r>
              <w:t>‘Accreditation’ is defined as the number of beds in accredited hospitals as a percentage of total beds. ‘Accreditation’ signifies professional and national recognition awarded to hospitals and other healthcare facilities that meet defined industry standards.</w:t>
            </w:r>
          </w:p>
          <w:p w:rsidR="002A6201" w:rsidRDefault="002A6201" w:rsidP="004E127C">
            <w:pPr>
              <w:pStyle w:val="Box"/>
            </w:pPr>
            <w:r w:rsidRPr="002A6201">
              <w:t>Australian Health Ministers have mandated accreditation in all public and private hospitals and day procedure services in Australia</w:t>
            </w:r>
            <w:r w:rsidR="001308A7">
              <w:t xml:space="preserve"> f</w:t>
            </w:r>
            <w:r w:rsidRPr="002A6201">
              <w:t>rom 1 January 2013</w:t>
            </w:r>
            <w:r w:rsidR="001308A7">
              <w:t>.</w:t>
            </w:r>
            <w:r w:rsidRPr="002A6201">
              <w:t xml:space="preserve"> </w:t>
            </w:r>
            <w:r w:rsidR="00A51977">
              <w:t>From this date h</w:t>
            </w:r>
            <w:r w:rsidR="001308A7" w:rsidRPr="002A6201">
              <w:t xml:space="preserve">ealth </w:t>
            </w:r>
            <w:r w:rsidRPr="002A6201">
              <w:t xml:space="preserve">services </w:t>
            </w:r>
            <w:r w:rsidR="001308A7">
              <w:t>are</w:t>
            </w:r>
            <w:r w:rsidRPr="002A6201">
              <w:t xml:space="preserve"> </w:t>
            </w:r>
            <w:r w:rsidR="00A51977">
              <w:t xml:space="preserve">to be </w:t>
            </w:r>
            <w:r w:rsidRPr="002A6201">
              <w:t xml:space="preserve">assessed to the National Safety and Quality Health Service (NSQHS) Standards by accrediting agencies approved by the ACSQHC. There are currently 10 accrediting agencies with approval listed on the ACSQHC website. By 2016 it is anticipated all Australian hospitals will have been accredited to all 10 NSQHS Standards. Until 1 January 2013 public hospital accreditation was voluntary in all jurisdictions except Victoria and Queensland, where it was mandatory for all public hospitals </w:t>
            </w:r>
            <w:r w:rsidRPr="0083330D">
              <w:t xml:space="preserve">(excluding those </w:t>
            </w:r>
            <w:r w:rsidR="00F353DA" w:rsidRPr="0083330D">
              <w:t>in Victoria that provide only dental or mothercraft services and those in Queensland that do not routinely admit patients</w:t>
            </w:r>
            <w:r w:rsidRPr="0083330D">
              <w:t>).</w:t>
            </w:r>
            <w:r w:rsidRPr="002A6201">
              <w:t xml:space="preserve"> Public hospitals could seek accreditation through a number of agencies. These agencies were accredited through the Joint Accreditation System of Australia and New Zealand or the International Society for Quality in Healthcare.</w:t>
            </w:r>
            <w:r w:rsidR="007F5E2F">
              <w:t xml:space="preserve"> Caution should therefore be used when comparing 2012-13 data with prior years.</w:t>
            </w:r>
          </w:p>
          <w:p w:rsidR="004E127C" w:rsidRDefault="004E127C" w:rsidP="004E127C">
            <w:pPr>
              <w:pStyle w:val="Box"/>
            </w:pPr>
            <w:r>
              <w:t xml:space="preserve">A high or increasing rate of accreditation is desirable. However, it is not possible to draw conclusions about the quality of care in those hospitals that do not have accreditation. </w:t>
            </w:r>
          </w:p>
          <w:p w:rsidR="004E127C" w:rsidRDefault="004E127C" w:rsidP="004E127C">
            <w:pPr>
              <w:pStyle w:val="Box"/>
            </w:pPr>
            <w:r>
              <w:t>Data reported for this indicator are:</w:t>
            </w:r>
          </w:p>
          <w:p w:rsidR="004E127C" w:rsidRDefault="004E127C" w:rsidP="004E127C">
            <w:pPr>
              <w:pStyle w:val="BoxListBullet"/>
            </w:pPr>
            <w:r>
              <w:t xml:space="preserve">comparable (subject to caveats) across jurisdictions </w:t>
            </w:r>
            <w:r w:rsidR="00A51977">
              <w:t>but not over time. Data for 2012-13 are not comparable with prior years.</w:t>
            </w:r>
          </w:p>
          <w:p w:rsidR="004E127C" w:rsidRDefault="004E127C" w:rsidP="004E127C">
            <w:pPr>
              <w:pStyle w:val="BoxListBullet"/>
            </w:pPr>
            <w:r>
              <w:t>complete (subject to caveats) for the current reporting period. All required 201</w:t>
            </w:r>
            <w:r w:rsidR="00E70026">
              <w:t>2-</w:t>
            </w:r>
            <w:r>
              <w:t>1</w:t>
            </w:r>
            <w:r w:rsidR="00E70026">
              <w:t>3</w:t>
            </w:r>
            <w:r>
              <w:t xml:space="preserve"> data are available for all jurisdictions.</w:t>
            </w:r>
          </w:p>
          <w:p w:rsidR="004E127C" w:rsidRDefault="002D266B" w:rsidP="002D266B">
            <w:pPr>
              <w:pStyle w:val="Box"/>
            </w:pPr>
            <w:r w:rsidRPr="002D266B">
              <w:t>Data quality information for</w:t>
            </w:r>
            <w:r>
              <w:t xml:space="preserve"> this indicator</w:t>
            </w:r>
            <w:r w:rsidR="008C0550">
              <w:t xml:space="preserve"> is at www.pc.gov.au</w:t>
            </w:r>
            <w:r w:rsidRPr="002D266B">
              <w:t>/rogs/2015.</w:t>
            </w:r>
          </w:p>
        </w:tc>
      </w:tr>
      <w:tr w:rsidR="004E127C" w:rsidTr="00A376A3">
        <w:trPr>
          <w:cantSplit/>
        </w:trPr>
        <w:tc>
          <w:tcPr>
            <w:tcW w:w="8771" w:type="dxa"/>
            <w:tcBorders>
              <w:top w:val="nil"/>
              <w:left w:val="nil"/>
              <w:bottom w:val="single" w:sz="6" w:space="0" w:color="78A22F"/>
              <w:right w:val="nil"/>
            </w:tcBorders>
            <w:shd w:val="clear" w:color="auto" w:fill="F2F2F2"/>
          </w:tcPr>
          <w:p w:rsidR="004E127C" w:rsidRDefault="004E127C">
            <w:pPr>
              <w:pStyle w:val="Box"/>
              <w:spacing w:before="0" w:line="120" w:lineRule="exact"/>
            </w:pPr>
          </w:p>
        </w:tc>
      </w:tr>
      <w:tr w:rsidR="004E127C" w:rsidRPr="000863A5" w:rsidTr="00A376A3">
        <w:tc>
          <w:tcPr>
            <w:tcW w:w="8771" w:type="dxa"/>
            <w:tcBorders>
              <w:top w:val="single" w:sz="6" w:space="0" w:color="78A22F"/>
              <w:left w:val="nil"/>
              <w:bottom w:val="nil"/>
              <w:right w:val="nil"/>
            </w:tcBorders>
          </w:tcPr>
          <w:p w:rsidR="004E127C" w:rsidRPr="00626D32" w:rsidRDefault="004E127C" w:rsidP="00A376A3">
            <w:pPr>
              <w:pStyle w:val="BoxSpaceBelow"/>
            </w:pPr>
          </w:p>
        </w:tc>
      </w:tr>
    </w:tbl>
    <w:p w:rsidR="004E127C" w:rsidRDefault="004E127C" w:rsidP="00A376A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E127C" w:rsidTr="00A376A3">
        <w:tc>
          <w:tcPr>
            <w:tcW w:w="8771" w:type="dxa"/>
            <w:tcBorders>
              <w:top w:val="single" w:sz="6" w:space="0" w:color="78A22F"/>
              <w:left w:val="nil"/>
              <w:bottom w:val="nil"/>
              <w:right w:val="nil"/>
            </w:tcBorders>
            <w:shd w:val="clear" w:color="auto" w:fill="auto"/>
          </w:tcPr>
          <w:p w:rsidR="004E127C" w:rsidRPr="00176D3F" w:rsidRDefault="004E127C" w:rsidP="004E127C">
            <w:pPr>
              <w:pStyle w:val="FigureTitle"/>
            </w:pPr>
            <w:r w:rsidRPr="00784A05">
              <w:rPr>
                <w:b w:val="0"/>
              </w:rPr>
              <w:t xml:space="preserve">Figure </w:t>
            </w:r>
            <w:r w:rsidR="000D26EC">
              <w:rPr>
                <w:b w:val="0"/>
              </w:rPr>
              <w:t>11.</w:t>
            </w:r>
            <w:r w:rsidR="009A53E9">
              <w:rPr>
                <w:b w:val="0"/>
                <w:noProof/>
              </w:rPr>
              <w:t>14</w:t>
            </w:r>
            <w:r>
              <w:tab/>
            </w:r>
            <w:r w:rsidRPr="004E127C">
              <w:t>Proportion of accredited beds, public hospitals</w:t>
            </w:r>
            <w:r w:rsidRPr="00AC6D5B">
              <w:rPr>
                <w:rStyle w:val="NoteLabel"/>
                <w:b/>
                <w:szCs w:val="20"/>
              </w:rPr>
              <w:t>a, b</w:t>
            </w:r>
            <w:r w:rsidR="00BA6129">
              <w:rPr>
                <w:rStyle w:val="NoteLabel"/>
                <w:b/>
                <w:szCs w:val="20"/>
              </w:rPr>
              <w:t>, c</w:t>
            </w:r>
            <w:r w:rsidR="00F90BA4">
              <w:rPr>
                <w:rStyle w:val="NoteLabel"/>
                <w:b/>
                <w:szCs w:val="20"/>
              </w:rPr>
              <w:t>, d</w:t>
            </w:r>
          </w:p>
        </w:tc>
      </w:tr>
      <w:tr w:rsidR="004E127C" w:rsidTr="00A376A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E127C" w:rsidTr="00A376A3">
              <w:trPr>
                <w:jc w:val="center"/>
              </w:trPr>
              <w:tc>
                <w:tcPr>
                  <w:tcW w:w="5000" w:type="pct"/>
                  <w:tcBorders>
                    <w:top w:val="nil"/>
                    <w:bottom w:val="nil"/>
                  </w:tcBorders>
                </w:tcPr>
                <w:p w:rsidR="004E127C" w:rsidRDefault="001F000D" w:rsidP="00A376A3">
                  <w:pPr>
                    <w:pStyle w:val="Figure"/>
                    <w:spacing w:before="60" w:after="60"/>
                  </w:pPr>
                  <w:r>
                    <w:rPr>
                      <w:noProof/>
                    </w:rPr>
                    <w:drawing>
                      <wp:inline distT="0" distB="0" distL="0" distR="0" wp14:anchorId="38B88C39" wp14:editId="1AE83F33">
                        <wp:extent cx="5391150" cy="2705100"/>
                        <wp:effectExtent l="0" t="0" r="0" b="0"/>
                        <wp:docPr id="17" name="Picture 17" descr="Figure 11.14 Proportion of accredited beds, public hospital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4E127C" w:rsidRDefault="004E127C" w:rsidP="00A376A3">
            <w:pPr>
              <w:pStyle w:val="Figure"/>
            </w:pPr>
          </w:p>
        </w:tc>
      </w:tr>
      <w:tr w:rsidR="004E127C" w:rsidRPr="00176D3F" w:rsidTr="00A376A3">
        <w:tc>
          <w:tcPr>
            <w:tcW w:w="8771" w:type="dxa"/>
            <w:tcBorders>
              <w:top w:val="nil"/>
              <w:left w:val="nil"/>
              <w:bottom w:val="nil"/>
              <w:right w:val="nil"/>
            </w:tcBorders>
            <w:shd w:val="clear" w:color="auto" w:fill="auto"/>
          </w:tcPr>
          <w:p w:rsidR="004E127C" w:rsidRPr="00176D3F" w:rsidRDefault="004E127C" w:rsidP="00A51977">
            <w:pPr>
              <w:pStyle w:val="Note"/>
            </w:pPr>
            <w:r>
              <w:rPr>
                <w:rStyle w:val="NoteLabel"/>
              </w:rPr>
              <w:t>a</w:t>
            </w:r>
            <w:r>
              <w:t xml:space="preserve"> </w:t>
            </w:r>
            <w:r w:rsidRPr="004E127C">
              <w:t xml:space="preserve">Where average available beds for the year were not available, bed numbers at 30 June were used. </w:t>
            </w:r>
            <w:r w:rsidRPr="00F56077">
              <w:rPr>
                <w:rStyle w:val="NoteLabel"/>
              </w:rPr>
              <w:t>b</w:t>
            </w:r>
            <w:r w:rsidR="00611A37">
              <w:rPr>
                <w:rStyle w:val="NoteLabel"/>
              </w:rPr>
              <w:t> </w:t>
            </w:r>
            <w:r w:rsidRPr="004E127C">
              <w:t>Includes psychiatric hospitals.</w:t>
            </w:r>
            <w:r w:rsidR="009C36BE">
              <w:t xml:space="preserve"> </w:t>
            </w:r>
            <w:r w:rsidR="00611A37" w:rsidRPr="00611A37">
              <w:rPr>
                <w:rStyle w:val="NoteLabel"/>
              </w:rPr>
              <w:t>c</w:t>
            </w:r>
            <w:r w:rsidR="00611A37">
              <w:t xml:space="preserve"> </w:t>
            </w:r>
            <w:r w:rsidR="00816564" w:rsidRPr="004E127C">
              <w:t>Australian Health Ministers have mandated accreditation in all public and private hospitals and day procedure services in Australia</w:t>
            </w:r>
            <w:r w:rsidR="001308A7">
              <w:t xml:space="preserve"> f</w:t>
            </w:r>
            <w:r w:rsidR="00816564" w:rsidRPr="004E127C">
              <w:t>rom 1 January 2013</w:t>
            </w:r>
            <w:r w:rsidR="001308A7">
              <w:t xml:space="preserve">. </w:t>
            </w:r>
            <w:r w:rsidR="00A51977">
              <w:t>From this date h</w:t>
            </w:r>
            <w:r w:rsidR="00816564" w:rsidRPr="004E127C">
              <w:t xml:space="preserve">ealth services </w:t>
            </w:r>
            <w:r w:rsidR="00816564">
              <w:t>are</w:t>
            </w:r>
            <w:r w:rsidR="00816564" w:rsidRPr="004E127C">
              <w:t xml:space="preserve"> </w:t>
            </w:r>
            <w:r w:rsidR="00A51977">
              <w:t xml:space="preserve">to be </w:t>
            </w:r>
            <w:r w:rsidR="00816564" w:rsidRPr="004E127C">
              <w:t xml:space="preserve">assessed to the NSQHS Standards by accrediting agencies approved by the ACSQHC. </w:t>
            </w:r>
            <w:r w:rsidR="00816564">
              <w:t>Caution should therefore be used when comparing 2012-13 data with prior years.</w:t>
            </w:r>
            <w:r w:rsidR="00F90BA4">
              <w:t xml:space="preserve"> </w:t>
            </w:r>
            <w:r w:rsidR="00F90BA4" w:rsidRPr="009B30EC">
              <w:rPr>
                <w:rStyle w:val="NoteLabel"/>
              </w:rPr>
              <w:t>d</w:t>
            </w:r>
            <w:r w:rsidR="00F90BA4" w:rsidRPr="009B30EC">
              <w:t xml:space="preserve"> Accreditation status for three Queensland hospitals was not provided.</w:t>
            </w:r>
          </w:p>
        </w:tc>
      </w:tr>
      <w:tr w:rsidR="004E127C" w:rsidRPr="00176D3F" w:rsidTr="00A376A3">
        <w:tc>
          <w:tcPr>
            <w:tcW w:w="8771" w:type="dxa"/>
            <w:tcBorders>
              <w:top w:val="nil"/>
              <w:left w:val="nil"/>
              <w:bottom w:val="nil"/>
              <w:right w:val="nil"/>
            </w:tcBorders>
            <w:shd w:val="clear" w:color="auto" w:fill="auto"/>
          </w:tcPr>
          <w:p w:rsidR="004E127C" w:rsidRPr="00176D3F" w:rsidRDefault="004E127C" w:rsidP="004F7D79">
            <w:pPr>
              <w:pStyle w:val="Source"/>
            </w:pPr>
            <w:r>
              <w:rPr>
                <w:i/>
              </w:rPr>
              <w:t>S</w:t>
            </w:r>
            <w:r w:rsidRPr="00784A05">
              <w:rPr>
                <w:i/>
              </w:rPr>
              <w:t>ource</w:t>
            </w:r>
            <w:r w:rsidRPr="00176D3F">
              <w:t xml:space="preserve">: </w:t>
            </w:r>
            <w:r w:rsidRPr="004E127C">
              <w:t xml:space="preserve">AIHW (various years), </w:t>
            </w:r>
            <w:r w:rsidRPr="004E127C">
              <w:rPr>
                <w:i/>
              </w:rPr>
              <w:t>Australian Hospital Statistics,</w:t>
            </w:r>
            <w:r w:rsidRPr="004E127C">
              <w:t xml:space="preserve"> Health Services Series, Cat nos. </w:t>
            </w:r>
            <w:r w:rsidR="00C75A0E" w:rsidRPr="00C75A0E">
              <w:t>HSE 84, 107, 117, 134 and 145</w:t>
            </w:r>
            <w:r w:rsidRPr="004E127C">
              <w:t>; table 11A.</w:t>
            </w:r>
            <w:r w:rsidR="007E1F41">
              <w:t>5</w:t>
            </w:r>
            <w:r w:rsidR="004F7D79">
              <w:t>2</w:t>
            </w:r>
            <w:r w:rsidRPr="004E127C">
              <w:t>.</w:t>
            </w:r>
          </w:p>
        </w:tc>
      </w:tr>
      <w:tr w:rsidR="004E127C" w:rsidTr="00A376A3">
        <w:tc>
          <w:tcPr>
            <w:tcW w:w="8771" w:type="dxa"/>
            <w:tcBorders>
              <w:top w:val="nil"/>
              <w:left w:val="nil"/>
              <w:bottom w:val="single" w:sz="6" w:space="0" w:color="78A22F"/>
              <w:right w:val="nil"/>
            </w:tcBorders>
            <w:shd w:val="clear" w:color="auto" w:fill="auto"/>
          </w:tcPr>
          <w:p w:rsidR="004E127C" w:rsidRDefault="004E127C" w:rsidP="00A376A3">
            <w:pPr>
              <w:pStyle w:val="Figurespace"/>
            </w:pPr>
          </w:p>
        </w:tc>
      </w:tr>
      <w:tr w:rsidR="004E127C" w:rsidRPr="000863A5" w:rsidTr="00A376A3">
        <w:tc>
          <w:tcPr>
            <w:tcW w:w="8771" w:type="dxa"/>
            <w:tcBorders>
              <w:top w:val="single" w:sz="6" w:space="0" w:color="78A22F"/>
              <w:left w:val="nil"/>
              <w:bottom w:val="nil"/>
              <w:right w:val="nil"/>
            </w:tcBorders>
          </w:tcPr>
          <w:p w:rsidR="004E127C" w:rsidRPr="00626D32" w:rsidRDefault="004E127C" w:rsidP="00A376A3">
            <w:pPr>
              <w:pStyle w:val="BoxSpaceBelow"/>
            </w:pPr>
          </w:p>
        </w:tc>
      </w:tr>
    </w:tbl>
    <w:p w:rsidR="00AC6D5B" w:rsidRDefault="00AC6D5B" w:rsidP="00AC6D5B">
      <w:pPr>
        <w:pStyle w:val="Heading4"/>
      </w:pPr>
      <w:r>
        <w:t>Safety — adverse events in public hospitals</w:t>
      </w:r>
    </w:p>
    <w:p w:rsidR="004E127C" w:rsidRDefault="00AC6D5B" w:rsidP="00AC6D5B">
      <w:pPr>
        <w:pStyle w:val="BodyText"/>
      </w:pPr>
      <w:r>
        <w:t>‘Adverse events in public hospitals’ is an indicator of governments’ objective to provide public hospital services that are safe and of high quality (box 11.8). Adverse events in public hospitals can result in serious consequences for individual patients, place a significant burden on the health system and are influenced by the safety of hospital practices and procedures. Sentinel events, which are a subset of adverse events that result in death or very serious harm to the patient, are reported separately in this chapter as an outcome indicator.</w:t>
      </w:r>
    </w:p>
    <w:p w:rsidR="0018577D" w:rsidRDefault="0018577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8577D" w:rsidTr="00A376A3">
        <w:tc>
          <w:tcPr>
            <w:tcW w:w="8771" w:type="dxa"/>
            <w:tcBorders>
              <w:top w:val="single" w:sz="6" w:space="0" w:color="78A22F"/>
              <w:left w:val="nil"/>
              <w:bottom w:val="nil"/>
              <w:right w:val="nil"/>
            </w:tcBorders>
            <w:shd w:val="clear" w:color="auto" w:fill="F2F2F2"/>
          </w:tcPr>
          <w:p w:rsidR="0018577D" w:rsidRDefault="0018577D">
            <w:pPr>
              <w:pStyle w:val="BoxTitle"/>
            </w:pPr>
            <w:r>
              <w:rPr>
                <w:b w:val="0"/>
              </w:rPr>
              <w:t>Box 11.</w:t>
            </w:r>
            <w:r w:rsidR="009A53E9">
              <w:rPr>
                <w:b w:val="0"/>
                <w:noProof/>
              </w:rPr>
              <w:t>8</w:t>
            </w:r>
            <w:r>
              <w:tab/>
            </w:r>
            <w:r w:rsidR="000539E3" w:rsidRPr="000539E3">
              <w:t>Adverse events in public hospitals</w:t>
            </w:r>
          </w:p>
        </w:tc>
      </w:tr>
      <w:tr w:rsidR="0018577D" w:rsidTr="00A376A3">
        <w:trPr>
          <w:cantSplit/>
        </w:trPr>
        <w:tc>
          <w:tcPr>
            <w:tcW w:w="8771" w:type="dxa"/>
            <w:tcBorders>
              <w:top w:val="nil"/>
              <w:left w:val="nil"/>
              <w:bottom w:val="nil"/>
              <w:right w:val="nil"/>
            </w:tcBorders>
            <w:shd w:val="clear" w:color="auto" w:fill="F2F2F2"/>
          </w:tcPr>
          <w:p w:rsidR="0018577D" w:rsidRDefault="0018577D" w:rsidP="0018577D">
            <w:pPr>
              <w:pStyle w:val="Box"/>
            </w:pPr>
            <w:r>
              <w:t xml:space="preserve">‘Adverse events in public hospitals’ is defined by the following </w:t>
            </w:r>
            <w:r w:rsidR="00232AA2">
              <w:t>three</w:t>
            </w:r>
            <w:r>
              <w:t xml:space="preserve"> measures: </w:t>
            </w:r>
          </w:p>
          <w:p w:rsidR="0018577D" w:rsidRDefault="0018577D" w:rsidP="000539E3">
            <w:pPr>
              <w:pStyle w:val="BoxListBullet"/>
            </w:pPr>
            <w:r>
              <w:t>healthcare-associated infections</w:t>
            </w:r>
          </w:p>
          <w:p w:rsidR="00232AA2" w:rsidRDefault="0018577D" w:rsidP="000539E3">
            <w:pPr>
              <w:pStyle w:val="BoxListBullet"/>
            </w:pPr>
            <w:r>
              <w:t>adverse events treated in hospitals</w:t>
            </w:r>
          </w:p>
          <w:p w:rsidR="0018577D" w:rsidRDefault="00351EB7" w:rsidP="00232AA2">
            <w:pPr>
              <w:pStyle w:val="BoxListBullet"/>
            </w:pPr>
            <w:r w:rsidRPr="00232AA2">
              <w:t xml:space="preserve">falls </w:t>
            </w:r>
            <w:r w:rsidR="00232AA2" w:rsidRPr="00232AA2">
              <w:t>resulting in patient harm in hospitals</w:t>
            </w:r>
            <w:r w:rsidR="0018577D">
              <w:t>.</w:t>
            </w:r>
          </w:p>
          <w:p w:rsidR="0018577D" w:rsidRDefault="0018577D" w:rsidP="000539E3">
            <w:pPr>
              <w:pStyle w:val="BoxHeading2"/>
            </w:pPr>
            <w:r>
              <w:t>Healthcare-associated infections</w:t>
            </w:r>
          </w:p>
          <w:p w:rsidR="0018577D" w:rsidRDefault="00427E55" w:rsidP="0018577D">
            <w:pPr>
              <w:pStyle w:val="Box"/>
            </w:pPr>
            <w:r>
              <w:t>‘</w:t>
            </w:r>
            <w:r w:rsidR="0018577D">
              <w:t>Healthcare-associated infections</w:t>
            </w:r>
            <w:r>
              <w:t>’</w:t>
            </w:r>
            <w:r w:rsidR="0018577D">
              <w:t xml:space="preserve"> is the number of </w:t>
            </w:r>
            <w:r w:rsidR="0018577D" w:rsidRPr="00254603">
              <w:rPr>
                <w:i/>
              </w:rPr>
              <w:t>Staphylococcus aureus</w:t>
            </w:r>
            <w:r w:rsidR="0018577D">
              <w:t xml:space="preserve"> (including Methicillin-resistant </w:t>
            </w:r>
            <w:r w:rsidR="0018577D" w:rsidRPr="00254603">
              <w:rPr>
                <w:i/>
              </w:rPr>
              <w:t>Staphylococcus aureus</w:t>
            </w:r>
            <w:r w:rsidR="0018577D">
              <w:t xml:space="preserve"> [MRSA]) bacteraemia (SAB) patient episodes associated with public hospit</w:t>
            </w:r>
            <w:r w:rsidR="00733451">
              <w:t>als, expressed as a rate per 10 </w:t>
            </w:r>
            <w:r w:rsidR="0018577D">
              <w:t xml:space="preserve">000 patient days for public hospitals reporting for the SAB indicator. </w:t>
            </w:r>
          </w:p>
          <w:p w:rsidR="0018577D" w:rsidRDefault="0018577D" w:rsidP="0018577D">
            <w:pPr>
              <w:pStyle w:val="Box"/>
            </w:pPr>
            <w:r>
              <w:t>A patient episode of SAB is defined as a positive blood culture for SAB. Only the first isolate per patient is counted, unless at least 14 days has passed without a positive blood culture, after which an additional episode is recorded.</w:t>
            </w:r>
          </w:p>
          <w:p w:rsidR="0018577D" w:rsidRDefault="0018577D" w:rsidP="0018577D">
            <w:pPr>
              <w:pStyle w:val="Box"/>
            </w:pPr>
            <w:r>
              <w:t xml:space="preserve">SAB is considered to be healthcare-associated if the first positive blood culture is collected more than 48 hours after hospital admission or less than 48 hours after discharge, or if the first positive blood culture is collected 48 hours or less after admission and one or more of the following key clinical criteria was met for the patient episode of SAB: </w:t>
            </w:r>
          </w:p>
          <w:p w:rsidR="0018577D" w:rsidRDefault="0018577D" w:rsidP="000539E3">
            <w:pPr>
              <w:pStyle w:val="BoxListBullet"/>
            </w:pPr>
            <w:r>
              <w:t>SAB is a complication of the presence of an indwelling medical device</w:t>
            </w:r>
          </w:p>
          <w:p w:rsidR="0018577D" w:rsidRDefault="0018577D" w:rsidP="000539E3">
            <w:pPr>
              <w:pStyle w:val="BoxListBullet"/>
            </w:pPr>
            <w:r>
              <w:t>SAB occurs within 30 days of a surgical procedure where the SAB is related to the surgical site</w:t>
            </w:r>
          </w:p>
          <w:p w:rsidR="0018577D" w:rsidRDefault="0018577D" w:rsidP="000539E3">
            <w:pPr>
              <w:pStyle w:val="BoxListBullet"/>
            </w:pPr>
            <w:r>
              <w:t>an invasive instrumentation or incision related to the SAB was performed within 48 hours</w:t>
            </w:r>
          </w:p>
          <w:p w:rsidR="0018577D" w:rsidRDefault="0018577D" w:rsidP="000539E3">
            <w:pPr>
              <w:pStyle w:val="BoxListBullet"/>
            </w:pPr>
            <w:r>
              <w:t>SAB is associated with neutropenia (&lt;1x109/L) contributed to by cytotoxic therapy.</w:t>
            </w:r>
          </w:p>
          <w:p w:rsidR="0018577D" w:rsidRDefault="0018577D" w:rsidP="0018577D">
            <w:pPr>
              <w:pStyle w:val="Box"/>
            </w:pPr>
            <w:r>
              <w:t>Cases where a known previous blood culture has been obtained within the last 14 days are excluded. Patient days for unqualified newborns are included. Patient days for hospital boarders and posthumous organ procurement are excluded.</w:t>
            </w:r>
          </w:p>
          <w:p w:rsidR="0018577D" w:rsidRDefault="0018577D" w:rsidP="0018577D">
            <w:pPr>
              <w:pStyle w:val="Box"/>
            </w:pPr>
            <w:r>
              <w:t xml:space="preserve">A low or decreasing healthcare-associated infections rate is desirable. </w:t>
            </w:r>
          </w:p>
          <w:p w:rsidR="0018577D" w:rsidRDefault="0018577D" w:rsidP="0018577D">
            <w:pPr>
              <w:pStyle w:val="Box"/>
            </w:pPr>
            <w:r>
              <w:t>Data reported for this measure are:</w:t>
            </w:r>
          </w:p>
          <w:p w:rsidR="0018577D" w:rsidRDefault="0018577D" w:rsidP="000539E3">
            <w:pPr>
              <w:pStyle w:val="BoxListBullet"/>
            </w:pPr>
            <w:r>
              <w:t>comparable (subject to caveats) within jurisdictions over time but are not comparable across jurisdictions</w:t>
            </w:r>
          </w:p>
          <w:p w:rsidR="0018577D" w:rsidRDefault="0018577D" w:rsidP="000539E3">
            <w:pPr>
              <w:pStyle w:val="BoxListBullet"/>
            </w:pPr>
            <w:r>
              <w:t>complete (subject to caveats) for the current reporting period. All required 201</w:t>
            </w:r>
            <w:r w:rsidR="00AC7D84">
              <w:t>3-</w:t>
            </w:r>
            <w:r>
              <w:t>1</w:t>
            </w:r>
            <w:r w:rsidR="00AC7D84">
              <w:t>4</w:t>
            </w:r>
            <w:r>
              <w:t xml:space="preserve"> data are available for all jurisdictions.</w:t>
            </w:r>
          </w:p>
          <w:p w:rsidR="0018577D" w:rsidRDefault="002D266B" w:rsidP="0018577D">
            <w:pPr>
              <w:pStyle w:val="Box"/>
            </w:pPr>
            <w:r w:rsidRPr="002D266B">
              <w:t>Data quality information for this measure</w:t>
            </w:r>
            <w:r w:rsidR="008C0550">
              <w:t xml:space="preserve"> is at www.pc.gov.au</w:t>
            </w:r>
            <w:r w:rsidRPr="002D266B">
              <w:t>/rogs/2015.</w:t>
            </w:r>
          </w:p>
          <w:p w:rsidR="000539E3" w:rsidRDefault="000539E3" w:rsidP="000539E3">
            <w:pPr>
              <w:pStyle w:val="Continued"/>
            </w:pPr>
            <w:r>
              <w:t>(Continued on next page)</w:t>
            </w:r>
          </w:p>
        </w:tc>
      </w:tr>
      <w:tr w:rsidR="0018577D" w:rsidTr="00A376A3">
        <w:trPr>
          <w:cantSplit/>
        </w:trPr>
        <w:tc>
          <w:tcPr>
            <w:tcW w:w="8771" w:type="dxa"/>
            <w:tcBorders>
              <w:top w:val="nil"/>
              <w:left w:val="nil"/>
              <w:bottom w:val="single" w:sz="6" w:space="0" w:color="78A22F"/>
              <w:right w:val="nil"/>
            </w:tcBorders>
            <w:shd w:val="clear" w:color="auto" w:fill="F2F2F2"/>
          </w:tcPr>
          <w:p w:rsidR="0018577D" w:rsidRDefault="0018577D">
            <w:pPr>
              <w:pStyle w:val="Box"/>
              <w:spacing w:before="0" w:line="120" w:lineRule="exact"/>
            </w:pPr>
          </w:p>
        </w:tc>
      </w:tr>
      <w:tr w:rsidR="0018577D" w:rsidRPr="000863A5" w:rsidTr="00A376A3">
        <w:tc>
          <w:tcPr>
            <w:tcW w:w="8771" w:type="dxa"/>
            <w:tcBorders>
              <w:top w:val="single" w:sz="6" w:space="0" w:color="78A22F"/>
              <w:left w:val="nil"/>
              <w:bottom w:val="nil"/>
              <w:right w:val="nil"/>
            </w:tcBorders>
          </w:tcPr>
          <w:p w:rsidR="0018577D" w:rsidRPr="00626D32" w:rsidRDefault="0018577D" w:rsidP="00A376A3">
            <w:pPr>
              <w:pStyle w:val="BoxSpaceBelow"/>
            </w:pPr>
          </w:p>
        </w:tc>
      </w:tr>
    </w:tbl>
    <w:p w:rsidR="000539E3" w:rsidRDefault="000539E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539E3" w:rsidTr="00A376A3">
        <w:tc>
          <w:tcPr>
            <w:tcW w:w="8771" w:type="dxa"/>
            <w:tcBorders>
              <w:top w:val="single" w:sz="6" w:space="0" w:color="78A22F"/>
              <w:left w:val="nil"/>
              <w:bottom w:val="nil"/>
              <w:right w:val="nil"/>
            </w:tcBorders>
            <w:shd w:val="clear" w:color="auto" w:fill="F2F2F2"/>
          </w:tcPr>
          <w:p w:rsidR="000539E3" w:rsidRDefault="000539E3" w:rsidP="000539E3">
            <w:pPr>
              <w:pStyle w:val="BoxTitle"/>
            </w:pPr>
            <w:r>
              <w:rPr>
                <w:b w:val="0"/>
              </w:rPr>
              <w:t>Box 11.8</w:t>
            </w:r>
            <w:r>
              <w:tab/>
            </w:r>
            <w:r w:rsidRPr="009E55BA">
              <w:rPr>
                <w:sz w:val="18"/>
                <w:szCs w:val="18"/>
              </w:rPr>
              <w:t>(</w:t>
            </w:r>
            <w:r w:rsidR="009E55BA" w:rsidRPr="009E55BA">
              <w:rPr>
                <w:sz w:val="18"/>
                <w:szCs w:val="18"/>
              </w:rPr>
              <w:t>continued</w:t>
            </w:r>
            <w:r w:rsidRPr="009E55BA">
              <w:rPr>
                <w:sz w:val="18"/>
                <w:szCs w:val="18"/>
              </w:rPr>
              <w:t>)</w:t>
            </w:r>
          </w:p>
        </w:tc>
      </w:tr>
      <w:tr w:rsidR="000539E3" w:rsidTr="00A376A3">
        <w:trPr>
          <w:cantSplit/>
        </w:trPr>
        <w:tc>
          <w:tcPr>
            <w:tcW w:w="8771" w:type="dxa"/>
            <w:tcBorders>
              <w:top w:val="nil"/>
              <w:left w:val="nil"/>
              <w:bottom w:val="nil"/>
              <w:right w:val="nil"/>
            </w:tcBorders>
            <w:shd w:val="clear" w:color="auto" w:fill="F2F2F2"/>
          </w:tcPr>
          <w:p w:rsidR="000539E3" w:rsidRDefault="000539E3" w:rsidP="000539E3">
            <w:pPr>
              <w:pStyle w:val="BoxHeading2"/>
            </w:pPr>
            <w:r>
              <w:t>Adverse events treated in hospitals</w:t>
            </w:r>
          </w:p>
          <w:p w:rsidR="000539E3" w:rsidRDefault="00427E55" w:rsidP="000539E3">
            <w:pPr>
              <w:pStyle w:val="Box"/>
            </w:pPr>
            <w:r>
              <w:t>‘</w:t>
            </w:r>
            <w:r w:rsidR="000539E3">
              <w:t>Adverse events treated in hospitals</w:t>
            </w:r>
            <w:r>
              <w:t>’</w:t>
            </w:r>
            <w:r w:rsidR="000539E3">
              <w:t xml:space="preserve"> are incidents in which harm resulted to a person during hospitalisation. They are measured by separations that had an adverse event</w:t>
            </w:r>
            <w:r>
              <w:t>,</w:t>
            </w:r>
            <w:r w:rsidR="000539E3">
              <w:t xml:space="preserve"> including infections, falls resulting in injuries and problems with medication and medical devices that occurred during a hospitalisation. Hospitalisation is identified by diagnoses, places of occurrence and external causes of injury and poisoning that can indicate that an adverse event was treated and/or occurred during the hospitalisation.</w:t>
            </w:r>
          </w:p>
          <w:p w:rsidR="000539E3" w:rsidRDefault="000539E3" w:rsidP="000539E3">
            <w:pPr>
              <w:pStyle w:val="Box"/>
            </w:pPr>
            <w:r>
              <w:t>Low or decreasing adverse events treated in hospitals is desirable.</w:t>
            </w:r>
          </w:p>
          <w:p w:rsidR="000539E3" w:rsidRDefault="000539E3" w:rsidP="000539E3">
            <w:pPr>
              <w:pStyle w:val="Box"/>
            </w:pPr>
            <w:r>
              <w:t>Data reported for this measure are:</w:t>
            </w:r>
          </w:p>
          <w:p w:rsidR="000539E3" w:rsidRDefault="000539E3" w:rsidP="000539E3">
            <w:pPr>
              <w:pStyle w:val="BoxListBullet"/>
            </w:pPr>
            <w:r>
              <w:t>comparable (subject to caveats) across jurisdictions and over time</w:t>
            </w:r>
          </w:p>
          <w:p w:rsidR="000539E3" w:rsidRDefault="000539E3" w:rsidP="000539E3">
            <w:pPr>
              <w:pStyle w:val="BoxListBullet"/>
            </w:pPr>
            <w:r>
              <w:t>complete (subject to caveats) for the current repo</w:t>
            </w:r>
            <w:r w:rsidR="001008A9">
              <w:t>rting period. All required 201</w:t>
            </w:r>
            <w:r w:rsidR="00AC7D84">
              <w:t>2</w:t>
            </w:r>
            <w:r w:rsidR="001008A9">
              <w:t>-</w:t>
            </w:r>
            <w:r>
              <w:t>1</w:t>
            </w:r>
            <w:r w:rsidR="00AC7D84">
              <w:t>3</w:t>
            </w:r>
            <w:r>
              <w:t xml:space="preserve"> data are available for all jurisdictions.</w:t>
            </w:r>
          </w:p>
          <w:p w:rsidR="000539E3" w:rsidRPr="002A22DE" w:rsidRDefault="000842E9" w:rsidP="000539E3">
            <w:pPr>
              <w:pStyle w:val="Box"/>
            </w:pPr>
            <w:r w:rsidRPr="000842E9">
              <w:t>Data quality information for this measure</w:t>
            </w:r>
            <w:r w:rsidR="008C0550">
              <w:t xml:space="preserve"> is at www.pc.gov.au</w:t>
            </w:r>
            <w:r w:rsidRPr="000842E9">
              <w:t>/rogs/2015.</w:t>
            </w:r>
            <w:r w:rsidR="008C0550">
              <w:t xml:space="preserve"> </w:t>
            </w:r>
          </w:p>
          <w:p w:rsidR="00A32FE4" w:rsidRDefault="00A32FE4" w:rsidP="00A32FE4">
            <w:pPr>
              <w:pStyle w:val="BoxHeading2"/>
            </w:pPr>
            <w:r w:rsidRPr="00A32FE4">
              <w:t>Falls resulting in patient harm in hospitals</w:t>
            </w:r>
          </w:p>
          <w:p w:rsidR="00964CAF" w:rsidRDefault="00427E55" w:rsidP="00964CAF">
            <w:pPr>
              <w:pStyle w:val="Box"/>
            </w:pPr>
            <w:r>
              <w:t>‘</w:t>
            </w:r>
            <w:r w:rsidR="00964CAF" w:rsidRPr="00232AA2">
              <w:t xml:space="preserve">Falls </w:t>
            </w:r>
            <w:r w:rsidRPr="00427E55">
              <w:t>resulting in patient harm in hospitals</w:t>
            </w:r>
            <w:r>
              <w:t xml:space="preserve">’ </w:t>
            </w:r>
            <w:r w:rsidR="00964CAF" w:rsidRPr="00232AA2">
              <w:t xml:space="preserve">is defined as the number of separations with an external cause code for fall and a place of occurrence of </w:t>
            </w:r>
            <w:r w:rsidR="00A537E4">
              <w:t>health service area</w:t>
            </w:r>
            <w:r w:rsidR="00964CAF" w:rsidRPr="00232AA2">
              <w:t>, expressed as a rate per 1000 hospital separations.</w:t>
            </w:r>
          </w:p>
          <w:p w:rsidR="00254603" w:rsidRPr="00232AA2" w:rsidRDefault="00A537E4" w:rsidP="00280DC9">
            <w:pPr>
              <w:pStyle w:val="Box"/>
            </w:pPr>
            <w:r>
              <w:t>It is not possible to determine if the place of occurrence was a public setting, only that it was a health service area.</w:t>
            </w:r>
          </w:p>
          <w:p w:rsidR="00964CAF" w:rsidRPr="00232AA2" w:rsidRDefault="00964CAF" w:rsidP="00964CAF">
            <w:pPr>
              <w:pStyle w:val="Box"/>
            </w:pPr>
            <w:r w:rsidRPr="00232AA2">
              <w:t>A low or decreasing rate of falls resulting in patient harm in hospitals is desirable.</w:t>
            </w:r>
          </w:p>
          <w:p w:rsidR="00964CAF" w:rsidRPr="00232AA2" w:rsidRDefault="00964CAF" w:rsidP="00964CAF">
            <w:pPr>
              <w:pStyle w:val="Box"/>
            </w:pPr>
            <w:r w:rsidRPr="00232AA2">
              <w:t>Data reported for this measure are:</w:t>
            </w:r>
            <w:r w:rsidR="008C0550">
              <w:t xml:space="preserve"> </w:t>
            </w:r>
          </w:p>
          <w:p w:rsidR="00964CAF" w:rsidRPr="00232AA2" w:rsidRDefault="00964CAF" w:rsidP="00964CAF">
            <w:pPr>
              <w:pStyle w:val="BoxListBullet"/>
            </w:pPr>
            <w:r w:rsidRPr="00232AA2">
              <w:t>comparable (subject to caveats) across jurisdictions and over time</w:t>
            </w:r>
          </w:p>
          <w:p w:rsidR="001008A9" w:rsidRPr="00232AA2" w:rsidRDefault="001008A9" w:rsidP="001008A9">
            <w:pPr>
              <w:pStyle w:val="BoxListBullet"/>
            </w:pPr>
            <w:r w:rsidRPr="00232AA2">
              <w:t>complete (subject to caveats) for the current reporting period. All required 201</w:t>
            </w:r>
            <w:r w:rsidR="00AC7D84">
              <w:t>2-13</w:t>
            </w:r>
            <w:r w:rsidRPr="00232AA2">
              <w:t xml:space="preserve"> data are available for all jurisdictions.</w:t>
            </w:r>
          </w:p>
          <w:p w:rsidR="00A32FE4" w:rsidRDefault="002D266B" w:rsidP="002D266B">
            <w:pPr>
              <w:pStyle w:val="Box"/>
            </w:pPr>
            <w:r w:rsidRPr="002D266B">
              <w:t>Data quality information for this measure</w:t>
            </w:r>
            <w:r w:rsidR="008C0550">
              <w:t xml:space="preserve"> is at www.pc.gov.au</w:t>
            </w:r>
            <w:r w:rsidRPr="002D266B">
              <w:t>/rogs/2015.</w:t>
            </w:r>
          </w:p>
        </w:tc>
      </w:tr>
      <w:tr w:rsidR="000539E3" w:rsidTr="00A376A3">
        <w:trPr>
          <w:cantSplit/>
        </w:trPr>
        <w:tc>
          <w:tcPr>
            <w:tcW w:w="8771" w:type="dxa"/>
            <w:tcBorders>
              <w:top w:val="nil"/>
              <w:left w:val="nil"/>
              <w:bottom w:val="single" w:sz="6" w:space="0" w:color="78A22F"/>
              <w:right w:val="nil"/>
            </w:tcBorders>
            <w:shd w:val="clear" w:color="auto" w:fill="F2F2F2"/>
          </w:tcPr>
          <w:p w:rsidR="000539E3" w:rsidRDefault="000539E3">
            <w:pPr>
              <w:pStyle w:val="Box"/>
              <w:spacing w:before="0" w:line="120" w:lineRule="exact"/>
            </w:pPr>
          </w:p>
        </w:tc>
      </w:tr>
      <w:tr w:rsidR="000539E3" w:rsidRPr="000863A5" w:rsidTr="00A376A3">
        <w:tc>
          <w:tcPr>
            <w:tcW w:w="8771" w:type="dxa"/>
            <w:tcBorders>
              <w:top w:val="single" w:sz="6" w:space="0" w:color="78A22F"/>
              <w:left w:val="nil"/>
              <w:bottom w:val="nil"/>
              <w:right w:val="nil"/>
            </w:tcBorders>
          </w:tcPr>
          <w:p w:rsidR="000539E3" w:rsidRPr="00626D32" w:rsidRDefault="000539E3" w:rsidP="00A376A3">
            <w:pPr>
              <w:pStyle w:val="BoxSpaceBelow"/>
            </w:pPr>
          </w:p>
        </w:tc>
      </w:tr>
    </w:tbl>
    <w:p w:rsidR="000539E3" w:rsidRDefault="000539E3" w:rsidP="005574AD">
      <w:pPr>
        <w:pStyle w:val="Heading5"/>
      </w:pPr>
      <w:r>
        <w:t>Safety — healthcare-associated infections</w:t>
      </w:r>
    </w:p>
    <w:p w:rsidR="0018577D" w:rsidRDefault="000539E3" w:rsidP="000539E3">
      <w:pPr>
        <w:pStyle w:val="BodyText"/>
      </w:pPr>
      <w:r>
        <w:t>Healthcare-associated infections in public hospitals per 10 000 patient days is reported in figure 11.1</w:t>
      </w:r>
      <w:r w:rsidR="000D26EC">
        <w:t>5</w:t>
      </w:r>
      <w:r>
        <w:t>.</w:t>
      </w:r>
    </w:p>
    <w:p w:rsidR="000539E3" w:rsidRDefault="000539E3" w:rsidP="00A376A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539E3" w:rsidTr="0083330D">
        <w:tc>
          <w:tcPr>
            <w:tcW w:w="8771" w:type="dxa"/>
            <w:tcBorders>
              <w:top w:val="single" w:sz="6" w:space="0" w:color="78A22F"/>
              <w:left w:val="nil"/>
              <w:bottom w:val="nil"/>
              <w:right w:val="nil"/>
            </w:tcBorders>
            <w:shd w:val="clear" w:color="auto" w:fill="auto"/>
          </w:tcPr>
          <w:p w:rsidR="000539E3" w:rsidRPr="00176D3F" w:rsidRDefault="000539E3" w:rsidP="000539E3">
            <w:pPr>
              <w:pStyle w:val="FigureTitle"/>
            </w:pPr>
            <w:r w:rsidRPr="00784A05">
              <w:rPr>
                <w:b w:val="0"/>
              </w:rPr>
              <w:t xml:space="preserve">Figure </w:t>
            </w:r>
            <w:r w:rsidR="000D26EC">
              <w:rPr>
                <w:b w:val="0"/>
              </w:rPr>
              <w:t>11.</w:t>
            </w:r>
            <w:r w:rsidR="009A53E9">
              <w:rPr>
                <w:b w:val="0"/>
                <w:noProof/>
              </w:rPr>
              <w:t>15</w:t>
            </w:r>
            <w:r>
              <w:tab/>
            </w:r>
            <w:r w:rsidRPr="000539E3">
              <w:t>Healthcare-associated infections, public hospitals</w:t>
            </w:r>
            <w:r w:rsidRPr="000539E3">
              <w:rPr>
                <w:rStyle w:val="NoteLabel"/>
                <w:b/>
                <w:szCs w:val="20"/>
              </w:rPr>
              <w:t>a, b</w:t>
            </w:r>
          </w:p>
        </w:tc>
      </w:tr>
      <w:tr w:rsidR="000539E3" w:rsidTr="0083330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539E3" w:rsidTr="00A376A3">
              <w:trPr>
                <w:jc w:val="center"/>
              </w:trPr>
              <w:tc>
                <w:tcPr>
                  <w:tcW w:w="5000" w:type="pct"/>
                  <w:tcBorders>
                    <w:top w:val="nil"/>
                    <w:bottom w:val="nil"/>
                  </w:tcBorders>
                </w:tcPr>
                <w:p w:rsidR="000539E3" w:rsidRDefault="001F000D" w:rsidP="00A376A3">
                  <w:pPr>
                    <w:pStyle w:val="Figure"/>
                    <w:spacing w:before="60" w:after="60"/>
                  </w:pPr>
                  <w:r>
                    <w:rPr>
                      <w:noProof/>
                    </w:rPr>
                    <w:drawing>
                      <wp:inline distT="0" distB="0" distL="0" distR="0" wp14:anchorId="5ACD4EDC" wp14:editId="115724C4">
                        <wp:extent cx="5391150" cy="2686050"/>
                        <wp:effectExtent l="0" t="0" r="0" b="0"/>
                        <wp:docPr id="18" name="Picture 18" descr="Figure 11.15 Healthcare-associated infections, public hospital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0539E3" w:rsidRDefault="000539E3" w:rsidP="00A376A3">
            <w:pPr>
              <w:pStyle w:val="Figure"/>
            </w:pPr>
          </w:p>
        </w:tc>
      </w:tr>
      <w:tr w:rsidR="000539E3" w:rsidRPr="00176D3F" w:rsidTr="00A376A3">
        <w:tc>
          <w:tcPr>
            <w:tcW w:w="8771" w:type="dxa"/>
            <w:tcBorders>
              <w:top w:val="nil"/>
              <w:left w:val="nil"/>
              <w:bottom w:val="nil"/>
              <w:right w:val="nil"/>
            </w:tcBorders>
            <w:shd w:val="clear" w:color="auto" w:fill="auto"/>
          </w:tcPr>
          <w:p w:rsidR="000539E3" w:rsidRPr="00176D3F" w:rsidRDefault="000539E3" w:rsidP="00DF1228">
            <w:pPr>
              <w:pStyle w:val="Note"/>
            </w:pPr>
            <w:r>
              <w:rPr>
                <w:rStyle w:val="NoteLabel"/>
              </w:rPr>
              <w:t>a</w:t>
            </w:r>
            <w:r>
              <w:t xml:space="preserve"> </w:t>
            </w:r>
            <w:r w:rsidRPr="000539E3">
              <w:t xml:space="preserve">Comprises both Methicillin resistant </w:t>
            </w:r>
            <w:r w:rsidRPr="00254603">
              <w:rPr>
                <w:i/>
              </w:rPr>
              <w:t>Staphylococcus aureus</w:t>
            </w:r>
            <w:r w:rsidRPr="000539E3">
              <w:t xml:space="preserve"> and Methicillin sensitive </w:t>
            </w:r>
            <w:r w:rsidRPr="00254603">
              <w:rPr>
                <w:i/>
              </w:rPr>
              <w:t>Staphylococcus aureus</w:t>
            </w:r>
            <w:r w:rsidRPr="000539E3">
              <w:t xml:space="preserve">. </w:t>
            </w:r>
            <w:r w:rsidRPr="000539E3">
              <w:rPr>
                <w:rStyle w:val="NoteLabel"/>
              </w:rPr>
              <w:t>b</w:t>
            </w:r>
            <w:r w:rsidRPr="000539E3">
              <w:t xml:space="preserve"> The SAB patient episodes were associated with both admitted patient care and with non</w:t>
            </w:r>
            <w:r w:rsidR="00DF1228">
              <w:noBreakHyphen/>
            </w:r>
            <w:r w:rsidRPr="000539E3">
              <w:t>admitted patient care (including emergency departments and outpatient clinics). The comparability of the SAB rates across jurisdictions and over time is limited, because of coverage differences and because the count of patient days reflects the amount of admitted patient activity, but does not necessarily reflect the amount of non</w:t>
            </w:r>
            <w:r w:rsidR="00B81EBB">
              <w:t>-</w:t>
            </w:r>
            <w:r w:rsidRPr="000539E3">
              <w:t>admitted patient activity.</w:t>
            </w:r>
          </w:p>
        </w:tc>
      </w:tr>
      <w:tr w:rsidR="000539E3" w:rsidRPr="00176D3F" w:rsidTr="00A376A3">
        <w:tc>
          <w:tcPr>
            <w:tcW w:w="8771" w:type="dxa"/>
            <w:tcBorders>
              <w:top w:val="nil"/>
              <w:left w:val="nil"/>
              <w:bottom w:val="nil"/>
              <w:right w:val="nil"/>
            </w:tcBorders>
            <w:shd w:val="clear" w:color="auto" w:fill="auto"/>
          </w:tcPr>
          <w:p w:rsidR="000539E3" w:rsidRPr="00176D3F" w:rsidRDefault="000539E3" w:rsidP="004A1261">
            <w:pPr>
              <w:pStyle w:val="Source"/>
            </w:pPr>
            <w:r>
              <w:rPr>
                <w:i/>
              </w:rPr>
              <w:t>S</w:t>
            </w:r>
            <w:r w:rsidRPr="00784A05">
              <w:rPr>
                <w:i/>
              </w:rPr>
              <w:t>ource</w:t>
            </w:r>
            <w:r w:rsidRPr="00176D3F">
              <w:t xml:space="preserve">: </w:t>
            </w:r>
            <w:r w:rsidR="00A537E4" w:rsidRPr="00A537E4">
              <w:t xml:space="preserve">AIHW </w:t>
            </w:r>
            <w:r w:rsidR="00733451">
              <w:t>(</w:t>
            </w:r>
            <w:r w:rsidR="00A537E4" w:rsidRPr="00A537E4">
              <w:t>2014</w:t>
            </w:r>
            <w:r w:rsidR="00733451">
              <w:t>),</w:t>
            </w:r>
            <w:r w:rsidR="00A537E4" w:rsidRPr="00A537E4">
              <w:t xml:space="preserve"> </w:t>
            </w:r>
            <w:r w:rsidR="00A537E4" w:rsidRPr="00A537E4">
              <w:rPr>
                <w:i/>
              </w:rPr>
              <w:t>Staphylococcus aureus bacteraemia in Australian public hospitals 2013–14: Australian hospital statistics</w:t>
            </w:r>
            <w:r w:rsidR="00A537E4" w:rsidRPr="00A537E4">
              <w:t>. Health services series no. 59. Cat. no. HSE 155. Canberra: AIHW.</w:t>
            </w:r>
            <w:r w:rsidRPr="000539E3">
              <w:t>; table</w:t>
            </w:r>
            <w:r w:rsidR="00A537E4">
              <w:t> </w:t>
            </w:r>
            <w:r w:rsidRPr="000539E3">
              <w:t>11A.5</w:t>
            </w:r>
            <w:r w:rsidR="004F7D79">
              <w:t>3</w:t>
            </w:r>
            <w:r>
              <w:t>.</w:t>
            </w:r>
          </w:p>
        </w:tc>
      </w:tr>
      <w:tr w:rsidR="000539E3" w:rsidTr="00A376A3">
        <w:tc>
          <w:tcPr>
            <w:tcW w:w="8771" w:type="dxa"/>
            <w:tcBorders>
              <w:top w:val="nil"/>
              <w:left w:val="nil"/>
              <w:bottom w:val="single" w:sz="6" w:space="0" w:color="78A22F"/>
              <w:right w:val="nil"/>
            </w:tcBorders>
            <w:shd w:val="clear" w:color="auto" w:fill="auto"/>
          </w:tcPr>
          <w:p w:rsidR="000539E3" w:rsidRDefault="000539E3" w:rsidP="00A376A3">
            <w:pPr>
              <w:pStyle w:val="Figurespace"/>
            </w:pPr>
          </w:p>
        </w:tc>
      </w:tr>
      <w:tr w:rsidR="000539E3" w:rsidRPr="000863A5" w:rsidTr="00A376A3">
        <w:tc>
          <w:tcPr>
            <w:tcW w:w="8771" w:type="dxa"/>
            <w:tcBorders>
              <w:top w:val="single" w:sz="6" w:space="0" w:color="78A22F"/>
              <w:left w:val="nil"/>
              <w:bottom w:val="nil"/>
              <w:right w:val="nil"/>
            </w:tcBorders>
          </w:tcPr>
          <w:p w:rsidR="000539E3" w:rsidRPr="00626D32" w:rsidRDefault="000539E3" w:rsidP="00A376A3">
            <w:pPr>
              <w:pStyle w:val="BoxSpaceBelow"/>
            </w:pPr>
          </w:p>
        </w:tc>
      </w:tr>
    </w:tbl>
    <w:p w:rsidR="00F52876" w:rsidRDefault="00F52876" w:rsidP="005574AD">
      <w:pPr>
        <w:pStyle w:val="Heading5"/>
      </w:pPr>
      <w:r>
        <w:t>Safety — adverse events treated in hospitals</w:t>
      </w:r>
    </w:p>
    <w:p w:rsidR="000539E3" w:rsidRDefault="00F52876" w:rsidP="00F52876">
      <w:pPr>
        <w:pStyle w:val="BodyText"/>
      </w:pPr>
      <w:r>
        <w:t>In 201</w:t>
      </w:r>
      <w:r w:rsidR="000553AE">
        <w:t>2</w:t>
      </w:r>
      <w:r>
        <w:t>-1</w:t>
      </w:r>
      <w:r w:rsidR="000553AE">
        <w:t>3</w:t>
      </w:r>
      <w:r>
        <w:t>, 6.</w:t>
      </w:r>
      <w:r w:rsidR="000553AE">
        <w:t>5</w:t>
      </w:r>
      <w:r>
        <w:t xml:space="preserve"> per cent of separations in public hospitals reported an ICD-10-AM code indicating an adverse event (table 11.7). Around </w:t>
      </w:r>
      <w:r w:rsidR="00FC5CA5">
        <w:t>54</w:t>
      </w:r>
      <w:r>
        <w:t xml:space="preserve"> per cent of separations with an adverse event reported procedures causing abnormal reactions/complications, and </w:t>
      </w:r>
      <w:r w:rsidR="00FC5CA5">
        <w:t>38</w:t>
      </w:r>
      <w:r>
        <w:t xml:space="preserve"> per cent reported adverse effects of drugs, medicaments a</w:t>
      </w:r>
      <w:r w:rsidR="000553AE">
        <w:t>nd biological substances (table </w:t>
      </w:r>
      <w:r>
        <w:t>11A.5</w:t>
      </w:r>
      <w:r w:rsidR="004F7D79">
        <w:t>4</w:t>
      </w:r>
      <w:r>
        <w:t xml:space="preserve">). </w:t>
      </w:r>
    </w:p>
    <w:p w:rsidR="00F52876" w:rsidRDefault="00F52876" w:rsidP="00A376A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52876" w:rsidTr="00A376A3">
        <w:tc>
          <w:tcPr>
            <w:tcW w:w="8771" w:type="dxa"/>
            <w:tcBorders>
              <w:top w:val="single" w:sz="6" w:space="0" w:color="78A22F"/>
              <w:left w:val="nil"/>
              <w:bottom w:val="nil"/>
              <w:right w:val="nil"/>
            </w:tcBorders>
            <w:shd w:val="clear" w:color="auto" w:fill="auto"/>
          </w:tcPr>
          <w:p w:rsidR="00F52876" w:rsidRPr="00784A05" w:rsidRDefault="00F52876" w:rsidP="007A7397">
            <w:pPr>
              <w:pStyle w:val="TableTitle"/>
            </w:pPr>
            <w:r>
              <w:rPr>
                <w:b w:val="0"/>
              </w:rPr>
              <w:t>Table 11.</w:t>
            </w:r>
            <w:r w:rsidR="009A53E9">
              <w:rPr>
                <w:b w:val="0"/>
                <w:noProof/>
              </w:rPr>
              <w:t>7</w:t>
            </w:r>
            <w:r>
              <w:tab/>
            </w:r>
            <w:r w:rsidRPr="00F52876">
              <w:t>Separations with an adverse event, per 100 separations, public hospitals, 201</w:t>
            </w:r>
            <w:r w:rsidR="007A7397">
              <w:t>2</w:t>
            </w:r>
            <w:r w:rsidRPr="00F52876">
              <w:t>-1</w:t>
            </w:r>
            <w:r w:rsidR="007A7397">
              <w:t>3</w:t>
            </w:r>
            <w:r w:rsidRPr="00A376A3">
              <w:rPr>
                <w:rStyle w:val="NoteLabel"/>
                <w:b/>
                <w:szCs w:val="20"/>
              </w:rPr>
              <w:t>a, b</w:t>
            </w:r>
          </w:p>
        </w:tc>
      </w:tr>
      <w:tr w:rsidR="00F52876" w:rsidTr="00A376A3">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50"/>
              <w:gridCol w:w="850"/>
              <w:gridCol w:w="850"/>
              <w:gridCol w:w="850"/>
              <w:gridCol w:w="849"/>
              <w:gridCol w:w="849"/>
              <w:gridCol w:w="849"/>
              <w:gridCol w:w="849"/>
              <w:gridCol w:w="849"/>
              <w:gridCol w:w="842"/>
            </w:tblGrid>
            <w:tr w:rsidR="00A376A3" w:rsidTr="006D7128">
              <w:tc>
                <w:tcPr>
                  <w:tcW w:w="501" w:type="pct"/>
                  <w:tcBorders>
                    <w:top w:val="single" w:sz="6" w:space="0" w:color="BFBFBF"/>
                    <w:bottom w:val="single" w:sz="6" w:space="0" w:color="BFBFBF"/>
                  </w:tcBorders>
                  <w:shd w:val="clear" w:color="auto" w:fill="auto"/>
                  <w:tcMar>
                    <w:top w:w="28" w:type="dxa"/>
                  </w:tcMar>
                </w:tcPr>
                <w:p w:rsidR="00A376A3" w:rsidRDefault="00A376A3" w:rsidP="00A376A3">
                  <w:pPr>
                    <w:pStyle w:val="TableColumnHeading"/>
                    <w:jc w:val="left"/>
                  </w:pPr>
                </w:p>
              </w:tc>
              <w:tc>
                <w:tcPr>
                  <w:tcW w:w="501" w:type="pct"/>
                  <w:tcBorders>
                    <w:top w:val="single" w:sz="6" w:space="0" w:color="BFBFBF"/>
                    <w:bottom w:val="single" w:sz="6" w:space="0" w:color="BFBFBF"/>
                  </w:tcBorders>
                </w:tcPr>
                <w:p w:rsidR="00A376A3" w:rsidRDefault="00A376A3" w:rsidP="00A376A3">
                  <w:pPr>
                    <w:pStyle w:val="TableColumnHeading"/>
                  </w:pPr>
                  <w:r>
                    <w:t>NSW</w:t>
                  </w:r>
                </w:p>
              </w:tc>
              <w:tc>
                <w:tcPr>
                  <w:tcW w:w="501" w:type="pct"/>
                  <w:tcBorders>
                    <w:top w:val="single" w:sz="6" w:space="0" w:color="BFBFBF"/>
                    <w:bottom w:val="single" w:sz="6" w:space="0" w:color="BFBFBF"/>
                  </w:tcBorders>
                </w:tcPr>
                <w:p w:rsidR="00A376A3" w:rsidRDefault="00A376A3" w:rsidP="00A376A3">
                  <w:pPr>
                    <w:pStyle w:val="TableColumnHeading"/>
                  </w:pPr>
                  <w:r>
                    <w:t>Vic</w:t>
                  </w:r>
                </w:p>
              </w:tc>
              <w:tc>
                <w:tcPr>
                  <w:tcW w:w="501" w:type="pct"/>
                  <w:tcBorders>
                    <w:top w:val="single" w:sz="6" w:space="0" w:color="BFBFBF"/>
                    <w:bottom w:val="single" w:sz="6" w:space="0" w:color="BFBFBF"/>
                  </w:tcBorders>
                </w:tcPr>
                <w:p w:rsidR="00A376A3" w:rsidRDefault="00A376A3" w:rsidP="00A376A3">
                  <w:pPr>
                    <w:pStyle w:val="TableColumnHeading"/>
                  </w:pPr>
                  <w:r>
                    <w:t>Qld</w:t>
                  </w:r>
                </w:p>
              </w:tc>
              <w:tc>
                <w:tcPr>
                  <w:tcW w:w="500" w:type="pct"/>
                  <w:tcBorders>
                    <w:top w:val="single" w:sz="6" w:space="0" w:color="BFBFBF"/>
                    <w:bottom w:val="single" w:sz="6" w:space="0" w:color="BFBFBF"/>
                  </w:tcBorders>
                </w:tcPr>
                <w:p w:rsidR="00A376A3" w:rsidRDefault="00A376A3" w:rsidP="00A376A3">
                  <w:pPr>
                    <w:pStyle w:val="TableColumnHeading"/>
                  </w:pPr>
                  <w:r>
                    <w:t>WA</w:t>
                  </w:r>
                </w:p>
              </w:tc>
              <w:tc>
                <w:tcPr>
                  <w:tcW w:w="500" w:type="pct"/>
                  <w:tcBorders>
                    <w:top w:val="single" w:sz="6" w:space="0" w:color="BFBFBF"/>
                    <w:bottom w:val="single" w:sz="6" w:space="0" w:color="BFBFBF"/>
                  </w:tcBorders>
                </w:tcPr>
                <w:p w:rsidR="00A376A3" w:rsidRDefault="00A376A3" w:rsidP="00A376A3">
                  <w:pPr>
                    <w:pStyle w:val="TableColumnHeading"/>
                  </w:pPr>
                  <w:r>
                    <w:t>SA</w:t>
                  </w:r>
                </w:p>
              </w:tc>
              <w:tc>
                <w:tcPr>
                  <w:tcW w:w="500" w:type="pct"/>
                  <w:tcBorders>
                    <w:top w:val="single" w:sz="6" w:space="0" w:color="BFBFBF"/>
                    <w:bottom w:val="single" w:sz="6" w:space="0" w:color="BFBFBF"/>
                  </w:tcBorders>
                </w:tcPr>
                <w:p w:rsidR="00A376A3" w:rsidRDefault="00A376A3" w:rsidP="00A376A3">
                  <w:pPr>
                    <w:pStyle w:val="TableColumnHeading"/>
                  </w:pPr>
                  <w:r>
                    <w:t>Tas</w:t>
                  </w:r>
                </w:p>
              </w:tc>
              <w:tc>
                <w:tcPr>
                  <w:tcW w:w="500" w:type="pct"/>
                  <w:tcBorders>
                    <w:top w:val="single" w:sz="6" w:space="0" w:color="BFBFBF"/>
                    <w:bottom w:val="single" w:sz="6" w:space="0" w:color="BFBFBF"/>
                  </w:tcBorders>
                </w:tcPr>
                <w:p w:rsidR="00A376A3" w:rsidRDefault="00A376A3" w:rsidP="00A376A3">
                  <w:pPr>
                    <w:pStyle w:val="TableColumnHeading"/>
                  </w:pPr>
                  <w:r>
                    <w:t>ACT</w:t>
                  </w:r>
                </w:p>
              </w:tc>
              <w:tc>
                <w:tcPr>
                  <w:tcW w:w="500" w:type="pct"/>
                  <w:tcBorders>
                    <w:top w:val="single" w:sz="6" w:space="0" w:color="BFBFBF"/>
                    <w:bottom w:val="single" w:sz="6" w:space="0" w:color="BFBFBF"/>
                  </w:tcBorders>
                  <w:shd w:val="clear" w:color="auto" w:fill="auto"/>
                  <w:tcMar>
                    <w:top w:w="28" w:type="dxa"/>
                  </w:tcMar>
                </w:tcPr>
                <w:p w:rsidR="00A376A3" w:rsidRDefault="00A376A3" w:rsidP="00A376A3">
                  <w:pPr>
                    <w:pStyle w:val="TableColumnHeading"/>
                  </w:pPr>
                  <w:r>
                    <w:t>NT</w:t>
                  </w:r>
                </w:p>
              </w:tc>
              <w:tc>
                <w:tcPr>
                  <w:tcW w:w="496" w:type="pct"/>
                  <w:tcBorders>
                    <w:top w:val="single" w:sz="6" w:space="0" w:color="BFBFBF"/>
                    <w:bottom w:val="single" w:sz="6" w:space="0" w:color="BFBFBF"/>
                  </w:tcBorders>
                  <w:shd w:val="clear" w:color="auto" w:fill="auto"/>
                  <w:tcMar>
                    <w:top w:w="28" w:type="dxa"/>
                  </w:tcMar>
                </w:tcPr>
                <w:p w:rsidR="00A376A3" w:rsidRDefault="00A376A3" w:rsidP="00A376A3">
                  <w:pPr>
                    <w:pStyle w:val="TableColumnHeading"/>
                    <w:ind w:right="28"/>
                  </w:pPr>
                  <w:r>
                    <w:t>Aust</w:t>
                  </w:r>
                </w:p>
              </w:tc>
            </w:tr>
            <w:tr w:rsidR="00393026" w:rsidTr="006D7128">
              <w:tc>
                <w:tcPr>
                  <w:tcW w:w="5000" w:type="pct"/>
                  <w:gridSpan w:val="10"/>
                  <w:tcBorders>
                    <w:top w:val="single" w:sz="6" w:space="0" w:color="BFBFBF"/>
                  </w:tcBorders>
                </w:tcPr>
                <w:p w:rsidR="00393026" w:rsidRDefault="00393026" w:rsidP="00393026">
                  <w:pPr>
                    <w:pStyle w:val="TableUnitsRow"/>
                    <w:ind w:right="28"/>
                    <w:jc w:val="left"/>
                  </w:pPr>
                  <w:r w:rsidRPr="00393026">
                    <w:t>External cause of injury and poisoning</w:t>
                  </w:r>
                </w:p>
              </w:tc>
            </w:tr>
            <w:tr w:rsidR="006D7128" w:rsidTr="006D7128">
              <w:tc>
                <w:tcPr>
                  <w:tcW w:w="5000" w:type="pct"/>
                  <w:gridSpan w:val="10"/>
                </w:tcPr>
                <w:p w:rsidR="006D7128" w:rsidRDefault="006D7128" w:rsidP="006D7128">
                  <w:pPr>
                    <w:pStyle w:val="TableBodyText"/>
                    <w:ind w:right="28"/>
                    <w:jc w:val="left"/>
                  </w:pPr>
                  <w:r w:rsidRPr="006D7128">
                    <w:t>Adverse effects of drugs, medicaments and biological substances</w:t>
                  </w:r>
                </w:p>
              </w:tc>
            </w:tr>
            <w:tr w:rsidR="006D7128" w:rsidTr="006D7128">
              <w:tc>
                <w:tcPr>
                  <w:tcW w:w="501" w:type="pct"/>
                </w:tcPr>
                <w:p w:rsidR="006D7128" w:rsidRDefault="006D7128" w:rsidP="00A376A3">
                  <w:pPr>
                    <w:pStyle w:val="TableBodyText"/>
                    <w:jc w:val="left"/>
                  </w:pPr>
                </w:p>
              </w:tc>
              <w:tc>
                <w:tcPr>
                  <w:tcW w:w="501" w:type="pct"/>
                  <w:vAlign w:val="bottom"/>
                </w:tcPr>
                <w:p w:rsidR="006D7128" w:rsidRPr="006D7128" w:rsidRDefault="006D7128" w:rsidP="006D7128">
                  <w:pPr>
                    <w:pStyle w:val="TableBodyText"/>
                  </w:pPr>
                  <w:r w:rsidRPr="006D7128">
                    <w:t xml:space="preserve">  2.5</w:t>
                  </w:r>
                </w:p>
              </w:tc>
              <w:tc>
                <w:tcPr>
                  <w:tcW w:w="501" w:type="pct"/>
                  <w:vAlign w:val="bottom"/>
                </w:tcPr>
                <w:p w:rsidR="006D7128" w:rsidRPr="006D7128" w:rsidRDefault="006D7128" w:rsidP="006D7128">
                  <w:pPr>
                    <w:pStyle w:val="TableBodyText"/>
                  </w:pPr>
                  <w:r w:rsidRPr="006D7128">
                    <w:t xml:space="preserve">  2.3</w:t>
                  </w:r>
                </w:p>
              </w:tc>
              <w:tc>
                <w:tcPr>
                  <w:tcW w:w="501" w:type="pct"/>
                  <w:vAlign w:val="bottom"/>
                </w:tcPr>
                <w:p w:rsidR="006D7128" w:rsidRPr="006D7128" w:rsidRDefault="006D7128" w:rsidP="006D7128">
                  <w:pPr>
                    <w:pStyle w:val="TableBodyText"/>
                  </w:pPr>
                  <w:r w:rsidRPr="006D7128">
                    <w:t xml:space="preserve">  2.4</w:t>
                  </w:r>
                </w:p>
              </w:tc>
              <w:tc>
                <w:tcPr>
                  <w:tcW w:w="500" w:type="pct"/>
                  <w:vAlign w:val="bottom"/>
                </w:tcPr>
                <w:p w:rsidR="006D7128" w:rsidRPr="006D7128" w:rsidRDefault="006D7128" w:rsidP="006D7128">
                  <w:pPr>
                    <w:pStyle w:val="TableBodyText"/>
                  </w:pPr>
                  <w:r w:rsidRPr="006D7128">
                    <w:t xml:space="preserve">  2.5</w:t>
                  </w:r>
                </w:p>
              </w:tc>
              <w:tc>
                <w:tcPr>
                  <w:tcW w:w="500" w:type="pct"/>
                  <w:vAlign w:val="bottom"/>
                </w:tcPr>
                <w:p w:rsidR="006D7128" w:rsidRPr="006D7128" w:rsidRDefault="006D7128" w:rsidP="006D7128">
                  <w:pPr>
                    <w:pStyle w:val="TableBodyText"/>
                  </w:pPr>
                  <w:r w:rsidRPr="006D7128">
                    <w:t xml:space="preserve">  2.8</w:t>
                  </w:r>
                </w:p>
              </w:tc>
              <w:tc>
                <w:tcPr>
                  <w:tcW w:w="500" w:type="pct"/>
                  <w:vAlign w:val="bottom"/>
                </w:tcPr>
                <w:p w:rsidR="006D7128" w:rsidRPr="006D7128" w:rsidRDefault="006D7128" w:rsidP="006D7128">
                  <w:pPr>
                    <w:pStyle w:val="TableBodyText"/>
                  </w:pPr>
                  <w:r w:rsidRPr="006D7128">
                    <w:t xml:space="preserve">  2.7</w:t>
                  </w:r>
                </w:p>
              </w:tc>
              <w:tc>
                <w:tcPr>
                  <w:tcW w:w="500" w:type="pct"/>
                  <w:vAlign w:val="bottom"/>
                </w:tcPr>
                <w:p w:rsidR="006D7128" w:rsidRPr="006D7128" w:rsidRDefault="006D7128" w:rsidP="006D7128">
                  <w:pPr>
                    <w:pStyle w:val="TableBodyText"/>
                  </w:pPr>
                  <w:r w:rsidRPr="006D7128">
                    <w:t xml:space="preserve">  2.5</w:t>
                  </w:r>
                </w:p>
              </w:tc>
              <w:tc>
                <w:tcPr>
                  <w:tcW w:w="500" w:type="pct"/>
                  <w:vAlign w:val="bottom"/>
                </w:tcPr>
                <w:p w:rsidR="006D7128" w:rsidRPr="006D7128" w:rsidRDefault="006D7128" w:rsidP="006D7128">
                  <w:pPr>
                    <w:pStyle w:val="TableBodyText"/>
                  </w:pPr>
                  <w:r w:rsidRPr="006D7128">
                    <w:t xml:space="preserve">  0.9</w:t>
                  </w:r>
                </w:p>
              </w:tc>
              <w:tc>
                <w:tcPr>
                  <w:tcW w:w="496" w:type="pct"/>
                  <w:vAlign w:val="bottom"/>
                </w:tcPr>
                <w:p w:rsidR="006D7128" w:rsidRPr="006D7128" w:rsidRDefault="006D7128" w:rsidP="006D7128">
                  <w:pPr>
                    <w:pStyle w:val="TableBodyText"/>
                  </w:pPr>
                  <w:r w:rsidRPr="006D7128">
                    <w:t xml:space="preserve">  2.4</w:t>
                  </w:r>
                </w:p>
              </w:tc>
            </w:tr>
            <w:tr w:rsidR="006D7128" w:rsidTr="006D7128">
              <w:tc>
                <w:tcPr>
                  <w:tcW w:w="5000" w:type="pct"/>
                  <w:gridSpan w:val="10"/>
                </w:tcPr>
                <w:p w:rsidR="006D7128" w:rsidRDefault="006D7128" w:rsidP="006D7128">
                  <w:pPr>
                    <w:pStyle w:val="TableBodyText"/>
                    <w:ind w:right="28"/>
                    <w:jc w:val="left"/>
                  </w:pPr>
                  <w:r w:rsidRPr="006D7128">
                    <w:t>Misadventures to patients during surgical and medical care</w:t>
                  </w:r>
                </w:p>
              </w:tc>
            </w:tr>
            <w:tr w:rsidR="006D7128" w:rsidTr="006D7128">
              <w:tc>
                <w:tcPr>
                  <w:tcW w:w="501" w:type="pct"/>
                </w:tcPr>
                <w:p w:rsidR="006D7128" w:rsidRDefault="006D7128" w:rsidP="00A376A3">
                  <w:pPr>
                    <w:pStyle w:val="TableBodyText"/>
                    <w:jc w:val="left"/>
                  </w:pPr>
                </w:p>
              </w:tc>
              <w:tc>
                <w:tcPr>
                  <w:tcW w:w="501" w:type="pct"/>
                  <w:vAlign w:val="bottom"/>
                </w:tcPr>
                <w:p w:rsidR="006D7128" w:rsidRPr="006D7128" w:rsidRDefault="006D7128" w:rsidP="006D7128">
                  <w:pPr>
                    <w:pStyle w:val="TableBodyText"/>
                  </w:pPr>
                  <w:r w:rsidRPr="006D7128">
                    <w:t xml:space="preserve">  0.2</w:t>
                  </w:r>
                </w:p>
              </w:tc>
              <w:tc>
                <w:tcPr>
                  <w:tcW w:w="501" w:type="pct"/>
                  <w:vAlign w:val="bottom"/>
                </w:tcPr>
                <w:p w:rsidR="006D7128" w:rsidRPr="006D7128" w:rsidRDefault="006D7128" w:rsidP="006D7128">
                  <w:pPr>
                    <w:pStyle w:val="TableBodyText"/>
                  </w:pPr>
                  <w:r w:rsidRPr="006D7128">
                    <w:t xml:space="preserve">  0.4</w:t>
                  </w:r>
                </w:p>
              </w:tc>
              <w:tc>
                <w:tcPr>
                  <w:tcW w:w="501" w:type="pct"/>
                  <w:vAlign w:val="bottom"/>
                </w:tcPr>
                <w:p w:rsidR="006D7128" w:rsidRPr="006D7128" w:rsidRDefault="006D7128" w:rsidP="006D7128">
                  <w:pPr>
                    <w:pStyle w:val="TableBodyText"/>
                  </w:pPr>
                  <w:r w:rsidRPr="006D7128">
                    <w:t xml:space="preserve">  0.3</w:t>
                  </w:r>
                </w:p>
              </w:tc>
              <w:tc>
                <w:tcPr>
                  <w:tcW w:w="500" w:type="pct"/>
                  <w:vAlign w:val="bottom"/>
                </w:tcPr>
                <w:p w:rsidR="006D7128" w:rsidRPr="006D7128" w:rsidRDefault="006D7128" w:rsidP="006D7128">
                  <w:pPr>
                    <w:pStyle w:val="TableBodyText"/>
                  </w:pPr>
                  <w:r w:rsidRPr="006D7128">
                    <w:t xml:space="preserve">  0.3</w:t>
                  </w:r>
                </w:p>
              </w:tc>
              <w:tc>
                <w:tcPr>
                  <w:tcW w:w="500" w:type="pct"/>
                  <w:vAlign w:val="bottom"/>
                </w:tcPr>
                <w:p w:rsidR="006D7128" w:rsidRPr="006D7128" w:rsidRDefault="006D7128" w:rsidP="006D7128">
                  <w:pPr>
                    <w:pStyle w:val="TableBodyText"/>
                  </w:pPr>
                  <w:r w:rsidRPr="006D7128">
                    <w:t xml:space="preserve">  0.3</w:t>
                  </w:r>
                </w:p>
              </w:tc>
              <w:tc>
                <w:tcPr>
                  <w:tcW w:w="500" w:type="pct"/>
                  <w:vAlign w:val="bottom"/>
                </w:tcPr>
                <w:p w:rsidR="006D7128" w:rsidRPr="006D7128" w:rsidRDefault="006D7128" w:rsidP="006D7128">
                  <w:pPr>
                    <w:pStyle w:val="TableBodyText"/>
                  </w:pPr>
                  <w:r w:rsidRPr="006D7128">
                    <w:t xml:space="preserve">  0.4</w:t>
                  </w:r>
                </w:p>
              </w:tc>
              <w:tc>
                <w:tcPr>
                  <w:tcW w:w="500" w:type="pct"/>
                  <w:vAlign w:val="bottom"/>
                </w:tcPr>
                <w:p w:rsidR="006D7128" w:rsidRPr="006D7128" w:rsidRDefault="006D7128" w:rsidP="006D7128">
                  <w:pPr>
                    <w:pStyle w:val="TableBodyText"/>
                  </w:pPr>
                  <w:r w:rsidRPr="006D7128">
                    <w:t xml:space="preserve">  0.3</w:t>
                  </w:r>
                </w:p>
              </w:tc>
              <w:tc>
                <w:tcPr>
                  <w:tcW w:w="500" w:type="pct"/>
                  <w:vAlign w:val="bottom"/>
                </w:tcPr>
                <w:p w:rsidR="006D7128" w:rsidRPr="006D7128" w:rsidRDefault="006D7128" w:rsidP="006D7128">
                  <w:pPr>
                    <w:pStyle w:val="TableBodyText"/>
                  </w:pPr>
                  <w:r w:rsidRPr="006D7128">
                    <w:t xml:space="preserve">  0.1</w:t>
                  </w:r>
                </w:p>
              </w:tc>
              <w:tc>
                <w:tcPr>
                  <w:tcW w:w="496" w:type="pct"/>
                  <w:vAlign w:val="bottom"/>
                </w:tcPr>
                <w:p w:rsidR="006D7128" w:rsidRPr="006D7128" w:rsidRDefault="006D7128" w:rsidP="006D7128">
                  <w:pPr>
                    <w:pStyle w:val="TableBodyText"/>
                  </w:pPr>
                  <w:r w:rsidRPr="006D7128">
                    <w:t xml:space="preserve">  0.3</w:t>
                  </w:r>
                </w:p>
              </w:tc>
            </w:tr>
            <w:tr w:rsidR="006D7128" w:rsidTr="006D7128">
              <w:tc>
                <w:tcPr>
                  <w:tcW w:w="5000" w:type="pct"/>
                  <w:gridSpan w:val="10"/>
                </w:tcPr>
                <w:p w:rsidR="006D7128" w:rsidRDefault="006D7128" w:rsidP="006D7128">
                  <w:pPr>
                    <w:pStyle w:val="TableBodyText"/>
                    <w:ind w:right="28"/>
                    <w:jc w:val="left"/>
                  </w:pPr>
                  <w:r w:rsidRPr="006D7128">
                    <w:t>Procedures causing abnormal  reactions/complications</w:t>
                  </w:r>
                </w:p>
              </w:tc>
            </w:tr>
            <w:tr w:rsidR="006D7128" w:rsidTr="006D7128">
              <w:tc>
                <w:tcPr>
                  <w:tcW w:w="501" w:type="pct"/>
                </w:tcPr>
                <w:p w:rsidR="006D7128" w:rsidRDefault="006D7128" w:rsidP="00A376A3">
                  <w:pPr>
                    <w:pStyle w:val="TableBodyText"/>
                    <w:jc w:val="left"/>
                  </w:pPr>
                </w:p>
              </w:tc>
              <w:tc>
                <w:tcPr>
                  <w:tcW w:w="501" w:type="pct"/>
                  <w:vAlign w:val="bottom"/>
                </w:tcPr>
                <w:p w:rsidR="006D7128" w:rsidRPr="006D7128" w:rsidRDefault="006D7128" w:rsidP="006D7128">
                  <w:pPr>
                    <w:pStyle w:val="TableBodyText"/>
                  </w:pPr>
                  <w:r w:rsidRPr="006D7128">
                    <w:t xml:space="preserve">  3.1</w:t>
                  </w:r>
                </w:p>
              </w:tc>
              <w:tc>
                <w:tcPr>
                  <w:tcW w:w="501" w:type="pct"/>
                  <w:vAlign w:val="bottom"/>
                </w:tcPr>
                <w:p w:rsidR="006D7128" w:rsidRPr="006D7128" w:rsidRDefault="006D7128" w:rsidP="006D7128">
                  <w:pPr>
                    <w:pStyle w:val="TableBodyText"/>
                  </w:pPr>
                  <w:r w:rsidRPr="006D7128">
                    <w:t xml:space="preserve">  3.8</w:t>
                  </w:r>
                </w:p>
              </w:tc>
              <w:tc>
                <w:tcPr>
                  <w:tcW w:w="501" w:type="pct"/>
                  <w:vAlign w:val="bottom"/>
                </w:tcPr>
                <w:p w:rsidR="006D7128" w:rsidRPr="006D7128" w:rsidRDefault="006D7128" w:rsidP="006D7128">
                  <w:pPr>
                    <w:pStyle w:val="TableBodyText"/>
                  </w:pPr>
                  <w:r w:rsidRPr="006D7128">
                    <w:t xml:space="preserve">  3.3</w:t>
                  </w:r>
                </w:p>
              </w:tc>
              <w:tc>
                <w:tcPr>
                  <w:tcW w:w="500" w:type="pct"/>
                  <w:vAlign w:val="bottom"/>
                </w:tcPr>
                <w:p w:rsidR="006D7128" w:rsidRPr="000B00B4" w:rsidRDefault="006D7128" w:rsidP="006D7128">
                  <w:pPr>
                    <w:pStyle w:val="TableBodyText"/>
                  </w:pPr>
                  <w:r w:rsidRPr="000B00B4">
                    <w:t xml:space="preserve">  3.3</w:t>
                  </w:r>
                </w:p>
              </w:tc>
              <w:tc>
                <w:tcPr>
                  <w:tcW w:w="500" w:type="pct"/>
                  <w:vAlign w:val="bottom"/>
                </w:tcPr>
                <w:p w:rsidR="006D7128" w:rsidRPr="000B00B4" w:rsidRDefault="006D7128" w:rsidP="000B00B4">
                  <w:pPr>
                    <w:pStyle w:val="TableBodyText"/>
                  </w:pPr>
                  <w:r w:rsidRPr="000B00B4">
                    <w:t xml:space="preserve">  3.</w:t>
                  </w:r>
                  <w:r w:rsidR="000B00B4" w:rsidRPr="000B00B4">
                    <w:t>6</w:t>
                  </w:r>
                </w:p>
              </w:tc>
              <w:tc>
                <w:tcPr>
                  <w:tcW w:w="500" w:type="pct"/>
                  <w:vAlign w:val="bottom"/>
                </w:tcPr>
                <w:p w:rsidR="006D7128" w:rsidRPr="006D7128" w:rsidRDefault="006D7128" w:rsidP="006D7128">
                  <w:pPr>
                    <w:pStyle w:val="TableBodyText"/>
                  </w:pPr>
                  <w:r w:rsidRPr="006D7128">
                    <w:t xml:space="preserve">  4.8</w:t>
                  </w:r>
                </w:p>
              </w:tc>
              <w:tc>
                <w:tcPr>
                  <w:tcW w:w="500" w:type="pct"/>
                  <w:vAlign w:val="bottom"/>
                </w:tcPr>
                <w:p w:rsidR="006D7128" w:rsidRPr="006D7128" w:rsidRDefault="006D7128" w:rsidP="006D7128">
                  <w:pPr>
                    <w:pStyle w:val="TableBodyText"/>
                  </w:pPr>
                  <w:r w:rsidRPr="006D7128">
                    <w:t xml:space="preserve">  4.3</w:t>
                  </w:r>
                </w:p>
              </w:tc>
              <w:tc>
                <w:tcPr>
                  <w:tcW w:w="500" w:type="pct"/>
                  <w:vAlign w:val="bottom"/>
                </w:tcPr>
                <w:p w:rsidR="006D7128" w:rsidRPr="006D7128" w:rsidRDefault="006D7128" w:rsidP="006D7128">
                  <w:pPr>
                    <w:pStyle w:val="TableBodyText"/>
                  </w:pPr>
                  <w:r w:rsidRPr="006D7128">
                    <w:t xml:space="preserve">  2.2</w:t>
                  </w:r>
                </w:p>
              </w:tc>
              <w:tc>
                <w:tcPr>
                  <w:tcW w:w="496" w:type="pct"/>
                  <w:vAlign w:val="bottom"/>
                </w:tcPr>
                <w:p w:rsidR="006D7128" w:rsidRPr="006D7128" w:rsidRDefault="006D7128" w:rsidP="006D7128">
                  <w:pPr>
                    <w:pStyle w:val="TableBodyText"/>
                  </w:pPr>
                  <w:r w:rsidRPr="006D7128">
                    <w:t xml:space="preserve">  3.4</w:t>
                  </w:r>
                </w:p>
              </w:tc>
            </w:tr>
            <w:tr w:rsidR="006D7128" w:rsidTr="006D7128">
              <w:tc>
                <w:tcPr>
                  <w:tcW w:w="5000" w:type="pct"/>
                  <w:gridSpan w:val="10"/>
                </w:tcPr>
                <w:p w:rsidR="006D7128" w:rsidRDefault="006D7128" w:rsidP="006D7128">
                  <w:pPr>
                    <w:pStyle w:val="TableBodyText"/>
                    <w:ind w:right="28"/>
                    <w:jc w:val="left"/>
                  </w:pPr>
                  <w:r w:rsidRPr="006D7128">
                    <w:t>Other external causes of adverse events</w:t>
                  </w:r>
                </w:p>
              </w:tc>
            </w:tr>
            <w:tr w:rsidR="006D7128" w:rsidTr="006D7128">
              <w:tc>
                <w:tcPr>
                  <w:tcW w:w="501" w:type="pct"/>
                </w:tcPr>
                <w:p w:rsidR="006D7128" w:rsidRDefault="006D7128" w:rsidP="00A376A3">
                  <w:pPr>
                    <w:pStyle w:val="TableBodyText"/>
                    <w:jc w:val="left"/>
                  </w:pPr>
                </w:p>
              </w:tc>
              <w:tc>
                <w:tcPr>
                  <w:tcW w:w="501" w:type="pct"/>
                  <w:vAlign w:val="bottom"/>
                </w:tcPr>
                <w:p w:rsidR="006D7128" w:rsidRPr="006D7128" w:rsidRDefault="006D7128" w:rsidP="006D7128">
                  <w:pPr>
                    <w:pStyle w:val="TableBodyText"/>
                  </w:pPr>
                  <w:r w:rsidRPr="006D7128">
                    <w:t xml:space="preserve">  0.1</w:t>
                  </w:r>
                </w:p>
              </w:tc>
              <w:tc>
                <w:tcPr>
                  <w:tcW w:w="501" w:type="pct"/>
                  <w:vAlign w:val="bottom"/>
                </w:tcPr>
                <w:p w:rsidR="006D7128" w:rsidRPr="006D7128" w:rsidRDefault="006D7128" w:rsidP="006D7128">
                  <w:pPr>
                    <w:pStyle w:val="TableBodyText"/>
                  </w:pPr>
                  <w:r w:rsidRPr="006D7128">
                    <w:t xml:space="preserve">  0.2</w:t>
                  </w:r>
                </w:p>
              </w:tc>
              <w:tc>
                <w:tcPr>
                  <w:tcW w:w="501" w:type="pct"/>
                  <w:vAlign w:val="bottom"/>
                </w:tcPr>
                <w:p w:rsidR="006D7128" w:rsidRPr="006D7128" w:rsidRDefault="006D7128" w:rsidP="006D7128">
                  <w:pPr>
                    <w:pStyle w:val="TableBodyText"/>
                  </w:pPr>
                  <w:r w:rsidRPr="006D7128">
                    <w:t xml:space="preserve">  0.1</w:t>
                  </w:r>
                </w:p>
              </w:tc>
              <w:tc>
                <w:tcPr>
                  <w:tcW w:w="500" w:type="pct"/>
                  <w:vAlign w:val="bottom"/>
                </w:tcPr>
                <w:p w:rsidR="006D7128" w:rsidRPr="006D7128" w:rsidRDefault="006D7128" w:rsidP="006D7128">
                  <w:pPr>
                    <w:pStyle w:val="TableBodyText"/>
                  </w:pPr>
                  <w:r w:rsidRPr="006D7128">
                    <w:t xml:space="preserve">  0.1</w:t>
                  </w:r>
                </w:p>
              </w:tc>
              <w:tc>
                <w:tcPr>
                  <w:tcW w:w="500" w:type="pct"/>
                  <w:vAlign w:val="bottom"/>
                </w:tcPr>
                <w:p w:rsidR="006D7128" w:rsidRPr="006D7128" w:rsidRDefault="006D7128" w:rsidP="006D7128">
                  <w:pPr>
                    <w:pStyle w:val="TableBodyText"/>
                  </w:pPr>
                  <w:r w:rsidRPr="006D7128">
                    <w:t xml:space="preserve">  0.3</w:t>
                  </w:r>
                </w:p>
              </w:tc>
              <w:tc>
                <w:tcPr>
                  <w:tcW w:w="500" w:type="pct"/>
                  <w:vAlign w:val="bottom"/>
                </w:tcPr>
                <w:p w:rsidR="006D7128" w:rsidRPr="006D7128" w:rsidRDefault="006D7128" w:rsidP="006D7128">
                  <w:pPr>
                    <w:pStyle w:val="TableBodyText"/>
                  </w:pPr>
                  <w:r w:rsidRPr="006D7128">
                    <w:t xml:space="preserve">  0.2</w:t>
                  </w:r>
                </w:p>
              </w:tc>
              <w:tc>
                <w:tcPr>
                  <w:tcW w:w="500" w:type="pct"/>
                  <w:vAlign w:val="bottom"/>
                </w:tcPr>
                <w:p w:rsidR="006D7128" w:rsidRPr="006D7128" w:rsidRDefault="006D7128" w:rsidP="006D7128">
                  <w:pPr>
                    <w:pStyle w:val="TableBodyText"/>
                  </w:pPr>
                  <w:r w:rsidRPr="006D7128">
                    <w:t xml:space="preserve">  0.2</w:t>
                  </w:r>
                </w:p>
              </w:tc>
              <w:tc>
                <w:tcPr>
                  <w:tcW w:w="500" w:type="pct"/>
                  <w:vAlign w:val="bottom"/>
                </w:tcPr>
                <w:p w:rsidR="006D7128" w:rsidRPr="006D7128" w:rsidRDefault="006D7128" w:rsidP="006D7128">
                  <w:pPr>
                    <w:pStyle w:val="TableBodyText"/>
                  </w:pPr>
                  <w:r w:rsidRPr="006D7128">
                    <w:t xml:space="preserve">  0.1</w:t>
                  </w:r>
                </w:p>
              </w:tc>
              <w:tc>
                <w:tcPr>
                  <w:tcW w:w="496" w:type="pct"/>
                  <w:vAlign w:val="bottom"/>
                </w:tcPr>
                <w:p w:rsidR="006D7128" w:rsidRPr="006D7128" w:rsidRDefault="006D7128" w:rsidP="006D7128">
                  <w:pPr>
                    <w:pStyle w:val="TableBodyText"/>
                  </w:pPr>
                  <w:r w:rsidRPr="006D7128">
                    <w:t xml:space="preserve">  0.2</w:t>
                  </w:r>
                </w:p>
              </w:tc>
            </w:tr>
            <w:tr w:rsidR="006D7128" w:rsidTr="006D7128">
              <w:tc>
                <w:tcPr>
                  <w:tcW w:w="5000" w:type="pct"/>
                  <w:gridSpan w:val="10"/>
                </w:tcPr>
                <w:p w:rsidR="006D7128" w:rsidRDefault="006D7128" w:rsidP="006D7128">
                  <w:pPr>
                    <w:pStyle w:val="TableBodyText"/>
                    <w:ind w:right="28"/>
                    <w:jc w:val="left"/>
                  </w:pPr>
                  <w:r w:rsidRPr="006D7128">
                    <w:t>Place of occurrence of injury and poisoning</w:t>
                  </w:r>
                </w:p>
              </w:tc>
            </w:tr>
            <w:tr w:rsidR="006D7128" w:rsidTr="006D7128">
              <w:tc>
                <w:tcPr>
                  <w:tcW w:w="5000" w:type="pct"/>
                  <w:gridSpan w:val="10"/>
                </w:tcPr>
                <w:p w:rsidR="006D7128" w:rsidRDefault="006D7128" w:rsidP="006D7128">
                  <w:pPr>
                    <w:pStyle w:val="TableBodyText"/>
                    <w:ind w:right="28"/>
                    <w:jc w:val="left"/>
                  </w:pPr>
                  <w:r w:rsidRPr="006D7128">
                    <w:t>Place of occurrence: Health service area</w:t>
                  </w:r>
                </w:p>
              </w:tc>
            </w:tr>
            <w:tr w:rsidR="006D7128" w:rsidTr="006D7128">
              <w:tc>
                <w:tcPr>
                  <w:tcW w:w="501" w:type="pct"/>
                </w:tcPr>
                <w:p w:rsidR="006D7128" w:rsidRDefault="006D7128" w:rsidP="00A376A3">
                  <w:pPr>
                    <w:pStyle w:val="TableBodyText"/>
                    <w:jc w:val="left"/>
                  </w:pPr>
                </w:p>
              </w:tc>
              <w:tc>
                <w:tcPr>
                  <w:tcW w:w="501" w:type="pct"/>
                  <w:vAlign w:val="bottom"/>
                </w:tcPr>
                <w:p w:rsidR="006D7128" w:rsidRPr="006D7128" w:rsidRDefault="006D7128" w:rsidP="006D7128">
                  <w:pPr>
                    <w:pStyle w:val="TableBodyText"/>
                  </w:pPr>
                  <w:r w:rsidRPr="006D7128">
                    <w:t xml:space="preserve">  6.2</w:t>
                  </w:r>
                </w:p>
              </w:tc>
              <w:tc>
                <w:tcPr>
                  <w:tcW w:w="501" w:type="pct"/>
                  <w:vAlign w:val="bottom"/>
                </w:tcPr>
                <w:p w:rsidR="006D7128" w:rsidRPr="006D7128" w:rsidRDefault="006D7128" w:rsidP="006D7128">
                  <w:pPr>
                    <w:pStyle w:val="TableBodyText"/>
                  </w:pPr>
                  <w:r w:rsidRPr="006D7128">
                    <w:t xml:space="preserve">  6.6</w:t>
                  </w:r>
                </w:p>
              </w:tc>
              <w:tc>
                <w:tcPr>
                  <w:tcW w:w="501" w:type="pct"/>
                  <w:vAlign w:val="bottom"/>
                </w:tcPr>
                <w:p w:rsidR="006D7128" w:rsidRPr="006D7128" w:rsidRDefault="006D7128" w:rsidP="006D7128">
                  <w:pPr>
                    <w:pStyle w:val="TableBodyText"/>
                  </w:pPr>
                  <w:r w:rsidRPr="006D7128">
                    <w:t xml:space="preserve">  6.1</w:t>
                  </w:r>
                </w:p>
              </w:tc>
              <w:tc>
                <w:tcPr>
                  <w:tcW w:w="500" w:type="pct"/>
                  <w:vAlign w:val="bottom"/>
                </w:tcPr>
                <w:p w:rsidR="006D7128" w:rsidRPr="006D7128" w:rsidRDefault="006D7128" w:rsidP="006D7128">
                  <w:pPr>
                    <w:pStyle w:val="TableBodyText"/>
                  </w:pPr>
                  <w:r w:rsidRPr="006D7128">
                    <w:t xml:space="preserve">  6.2</w:t>
                  </w:r>
                </w:p>
              </w:tc>
              <w:tc>
                <w:tcPr>
                  <w:tcW w:w="500" w:type="pct"/>
                  <w:vAlign w:val="bottom"/>
                </w:tcPr>
                <w:p w:rsidR="006D7128" w:rsidRPr="006D7128" w:rsidRDefault="006D7128" w:rsidP="006D7128">
                  <w:pPr>
                    <w:pStyle w:val="TableBodyText"/>
                  </w:pPr>
                  <w:r w:rsidRPr="006D7128">
                    <w:t xml:space="preserve">  6.8</w:t>
                  </w:r>
                </w:p>
              </w:tc>
              <w:tc>
                <w:tcPr>
                  <w:tcW w:w="500" w:type="pct"/>
                  <w:vAlign w:val="bottom"/>
                </w:tcPr>
                <w:p w:rsidR="006D7128" w:rsidRPr="006D7128" w:rsidRDefault="006D7128" w:rsidP="006D7128">
                  <w:pPr>
                    <w:pStyle w:val="TableBodyText"/>
                  </w:pPr>
                  <w:r w:rsidRPr="006D7128">
                    <w:t xml:space="preserve">  8.1</w:t>
                  </w:r>
                </w:p>
              </w:tc>
              <w:tc>
                <w:tcPr>
                  <w:tcW w:w="500" w:type="pct"/>
                  <w:vAlign w:val="bottom"/>
                </w:tcPr>
                <w:p w:rsidR="006D7128" w:rsidRPr="006D7128" w:rsidRDefault="006D7128" w:rsidP="006D7128">
                  <w:pPr>
                    <w:pStyle w:val="TableBodyText"/>
                  </w:pPr>
                  <w:r w:rsidRPr="006D7128">
                    <w:t xml:space="preserve">  7.2</w:t>
                  </w:r>
                </w:p>
              </w:tc>
              <w:tc>
                <w:tcPr>
                  <w:tcW w:w="500" w:type="pct"/>
                  <w:vAlign w:val="bottom"/>
                </w:tcPr>
                <w:p w:rsidR="006D7128" w:rsidRPr="006D7128" w:rsidRDefault="006D7128" w:rsidP="006D7128">
                  <w:pPr>
                    <w:pStyle w:val="TableBodyText"/>
                  </w:pPr>
                  <w:r w:rsidRPr="006D7128">
                    <w:t xml:space="preserve">  3.3</w:t>
                  </w:r>
                </w:p>
              </w:tc>
              <w:tc>
                <w:tcPr>
                  <w:tcW w:w="496" w:type="pct"/>
                  <w:vAlign w:val="bottom"/>
                </w:tcPr>
                <w:p w:rsidR="006D7128" w:rsidRPr="006D7128" w:rsidRDefault="006D7128" w:rsidP="006D7128">
                  <w:pPr>
                    <w:pStyle w:val="TableBodyText"/>
                  </w:pPr>
                  <w:r w:rsidRPr="006D7128">
                    <w:t xml:space="preserve">  6.3</w:t>
                  </w:r>
                </w:p>
              </w:tc>
            </w:tr>
            <w:tr w:rsidR="006D7128" w:rsidTr="006D7128">
              <w:tc>
                <w:tcPr>
                  <w:tcW w:w="5000" w:type="pct"/>
                  <w:gridSpan w:val="10"/>
                </w:tcPr>
                <w:p w:rsidR="006D7128" w:rsidRDefault="006D7128" w:rsidP="006D7128">
                  <w:pPr>
                    <w:pStyle w:val="TableBodyText"/>
                    <w:ind w:right="28"/>
                    <w:jc w:val="left"/>
                  </w:pPr>
                  <w:r w:rsidRPr="006D7128">
                    <w:t>Diagnoses</w:t>
                  </w:r>
                </w:p>
              </w:tc>
            </w:tr>
            <w:tr w:rsidR="006D7128" w:rsidTr="006D7128">
              <w:tc>
                <w:tcPr>
                  <w:tcW w:w="5000" w:type="pct"/>
                  <w:gridSpan w:val="10"/>
                </w:tcPr>
                <w:p w:rsidR="006D7128" w:rsidRDefault="006D7128" w:rsidP="006D7128">
                  <w:pPr>
                    <w:pStyle w:val="TableBodyText"/>
                    <w:ind w:right="28"/>
                    <w:jc w:val="left"/>
                  </w:pPr>
                  <w:r w:rsidRPr="006D7128">
                    <w:t>Selected post-procedural disorders</w:t>
                  </w:r>
                </w:p>
              </w:tc>
            </w:tr>
            <w:tr w:rsidR="00DD5D1C" w:rsidTr="00362AD7">
              <w:tc>
                <w:tcPr>
                  <w:tcW w:w="501" w:type="pct"/>
                </w:tcPr>
                <w:p w:rsidR="00DD5D1C" w:rsidRDefault="00DD5D1C" w:rsidP="00A376A3">
                  <w:pPr>
                    <w:pStyle w:val="TableBodyText"/>
                    <w:jc w:val="left"/>
                  </w:pPr>
                </w:p>
              </w:tc>
              <w:tc>
                <w:tcPr>
                  <w:tcW w:w="501" w:type="pct"/>
                  <w:vAlign w:val="bottom"/>
                </w:tcPr>
                <w:p w:rsidR="00DD5D1C" w:rsidRPr="00DD5D1C" w:rsidRDefault="00DD5D1C" w:rsidP="00DD5D1C">
                  <w:pPr>
                    <w:pStyle w:val="TableBodyText"/>
                  </w:pPr>
                  <w:r w:rsidRPr="00DD5D1C">
                    <w:t xml:space="preserve">  0.9</w:t>
                  </w:r>
                </w:p>
              </w:tc>
              <w:tc>
                <w:tcPr>
                  <w:tcW w:w="501" w:type="pct"/>
                  <w:vAlign w:val="bottom"/>
                </w:tcPr>
                <w:p w:rsidR="00DD5D1C" w:rsidRPr="00DD5D1C" w:rsidRDefault="00DD5D1C" w:rsidP="00DD5D1C">
                  <w:pPr>
                    <w:pStyle w:val="TableBodyText"/>
                  </w:pPr>
                  <w:r w:rsidRPr="00DD5D1C">
                    <w:t xml:space="preserve">  0.7</w:t>
                  </w:r>
                </w:p>
              </w:tc>
              <w:tc>
                <w:tcPr>
                  <w:tcW w:w="501" w:type="pct"/>
                  <w:vAlign w:val="bottom"/>
                </w:tcPr>
                <w:p w:rsidR="00DD5D1C" w:rsidRPr="00DD5D1C" w:rsidRDefault="00DD5D1C" w:rsidP="00DD5D1C">
                  <w:pPr>
                    <w:pStyle w:val="TableBodyText"/>
                  </w:pPr>
                  <w:r w:rsidRPr="00DD5D1C">
                    <w:t xml:space="preserve">  0.8</w:t>
                  </w:r>
                </w:p>
              </w:tc>
              <w:tc>
                <w:tcPr>
                  <w:tcW w:w="500" w:type="pct"/>
                  <w:vAlign w:val="bottom"/>
                </w:tcPr>
                <w:p w:rsidR="00DD5D1C" w:rsidRPr="00DD5D1C" w:rsidRDefault="00DD5D1C" w:rsidP="00DD5D1C">
                  <w:pPr>
                    <w:pStyle w:val="TableBodyText"/>
                  </w:pPr>
                  <w:r w:rsidRPr="00DD5D1C">
                    <w:t xml:space="preserve">  0.8</w:t>
                  </w:r>
                </w:p>
              </w:tc>
              <w:tc>
                <w:tcPr>
                  <w:tcW w:w="500" w:type="pct"/>
                  <w:vAlign w:val="bottom"/>
                </w:tcPr>
                <w:p w:rsidR="00DD5D1C" w:rsidRPr="00DD5D1C" w:rsidRDefault="00DD5D1C" w:rsidP="00DD5D1C">
                  <w:pPr>
                    <w:pStyle w:val="TableBodyText"/>
                  </w:pPr>
                  <w:r w:rsidRPr="00DD5D1C">
                    <w:t xml:space="preserve">  1.1</w:t>
                  </w:r>
                </w:p>
              </w:tc>
              <w:tc>
                <w:tcPr>
                  <w:tcW w:w="500" w:type="pct"/>
                  <w:vAlign w:val="bottom"/>
                </w:tcPr>
                <w:p w:rsidR="00DD5D1C" w:rsidRPr="00DD5D1C" w:rsidRDefault="00DD5D1C" w:rsidP="00DD5D1C">
                  <w:pPr>
                    <w:pStyle w:val="TableBodyText"/>
                  </w:pPr>
                  <w:r w:rsidRPr="00DD5D1C">
                    <w:t xml:space="preserve">  1.3</w:t>
                  </w:r>
                </w:p>
              </w:tc>
              <w:tc>
                <w:tcPr>
                  <w:tcW w:w="500" w:type="pct"/>
                  <w:vAlign w:val="bottom"/>
                </w:tcPr>
                <w:p w:rsidR="00DD5D1C" w:rsidRPr="00DD5D1C" w:rsidRDefault="00DD5D1C" w:rsidP="00DD5D1C">
                  <w:pPr>
                    <w:pStyle w:val="TableBodyText"/>
                  </w:pPr>
                  <w:r w:rsidRPr="00DD5D1C">
                    <w:t xml:space="preserve">  1.3</w:t>
                  </w:r>
                </w:p>
              </w:tc>
              <w:tc>
                <w:tcPr>
                  <w:tcW w:w="500" w:type="pct"/>
                  <w:vAlign w:val="bottom"/>
                </w:tcPr>
                <w:p w:rsidR="00DD5D1C" w:rsidRPr="00DD5D1C" w:rsidRDefault="00DD5D1C" w:rsidP="00DD5D1C">
                  <w:pPr>
                    <w:pStyle w:val="TableBodyText"/>
                  </w:pPr>
                  <w:r w:rsidRPr="00DD5D1C">
                    <w:t xml:space="preserve">  0.4</w:t>
                  </w:r>
                </w:p>
              </w:tc>
              <w:tc>
                <w:tcPr>
                  <w:tcW w:w="496" w:type="pct"/>
                  <w:vAlign w:val="bottom"/>
                </w:tcPr>
                <w:p w:rsidR="00DD5D1C" w:rsidRPr="00DD5D1C" w:rsidRDefault="00DD5D1C" w:rsidP="00DD5D1C">
                  <w:pPr>
                    <w:pStyle w:val="TableBodyText"/>
                  </w:pPr>
                  <w:r w:rsidRPr="00DD5D1C">
                    <w:t xml:space="preserve">  0.8</w:t>
                  </w:r>
                </w:p>
              </w:tc>
            </w:tr>
            <w:tr w:rsidR="00DD5D1C" w:rsidTr="006D7128">
              <w:tc>
                <w:tcPr>
                  <w:tcW w:w="5000" w:type="pct"/>
                  <w:gridSpan w:val="10"/>
                </w:tcPr>
                <w:p w:rsidR="00DD5D1C" w:rsidRDefault="00DD5D1C" w:rsidP="00DD5D1C">
                  <w:pPr>
                    <w:pStyle w:val="TableBodyText"/>
                    <w:jc w:val="left"/>
                  </w:pPr>
                  <w:r w:rsidRPr="006D7128">
                    <w:t>Haemorrhage and haematoma complicating a procedure</w:t>
                  </w:r>
                </w:p>
              </w:tc>
            </w:tr>
            <w:tr w:rsidR="00DD5D1C" w:rsidTr="00362AD7">
              <w:tc>
                <w:tcPr>
                  <w:tcW w:w="501" w:type="pct"/>
                </w:tcPr>
                <w:p w:rsidR="00DD5D1C" w:rsidRDefault="00DD5D1C" w:rsidP="00A376A3">
                  <w:pPr>
                    <w:pStyle w:val="TableBodyText"/>
                    <w:jc w:val="left"/>
                  </w:pPr>
                </w:p>
              </w:tc>
              <w:tc>
                <w:tcPr>
                  <w:tcW w:w="501" w:type="pct"/>
                  <w:vAlign w:val="bottom"/>
                </w:tcPr>
                <w:p w:rsidR="00DD5D1C" w:rsidRPr="00DD5D1C" w:rsidRDefault="00DD5D1C" w:rsidP="00DD5D1C">
                  <w:pPr>
                    <w:pStyle w:val="TableBodyText"/>
                  </w:pPr>
                  <w:r w:rsidRPr="00DD5D1C">
                    <w:t xml:space="preserve">  0.5</w:t>
                  </w:r>
                </w:p>
              </w:tc>
              <w:tc>
                <w:tcPr>
                  <w:tcW w:w="501" w:type="pct"/>
                  <w:vAlign w:val="bottom"/>
                </w:tcPr>
                <w:p w:rsidR="00DD5D1C" w:rsidRPr="00DD5D1C" w:rsidRDefault="00DD5D1C" w:rsidP="00DD5D1C">
                  <w:pPr>
                    <w:pStyle w:val="TableBodyText"/>
                  </w:pPr>
                  <w:r w:rsidRPr="00DD5D1C">
                    <w:t xml:space="preserve">  0.5</w:t>
                  </w:r>
                </w:p>
              </w:tc>
              <w:tc>
                <w:tcPr>
                  <w:tcW w:w="501" w:type="pct"/>
                  <w:vAlign w:val="bottom"/>
                </w:tcPr>
                <w:p w:rsidR="00DD5D1C" w:rsidRPr="00DD5D1C" w:rsidRDefault="00DD5D1C" w:rsidP="00DD5D1C">
                  <w:pPr>
                    <w:pStyle w:val="TableBodyText"/>
                  </w:pPr>
                  <w:r w:rsidRPr="00DD5D1C">
                    <w:t xml:space="preserve">  0.4</w:t>
                  </w:r>
                </w:p>
              </w:tc>
              <w:tc>
                <w:tcPr>
                  <w:tcW w:w="500" w:type="pct"/>
                  <w:vAlign w:val="bottom"/>
                </w:tcPr>
                <w:p w:rsidR="00DD5D1C" w:rsidRPr="00DD5D1C" w:rsidRDefault="00DD5D1C" w:rsidP="00DD5D1C">
                  <w:pPr>
                    <w:pStyle w:val="TableBodyText"/>
                  </w:pPr>
                  <w:r w:rsidRPr="00DD5D1C">
                    <w:t xml:space="preserve">  0.5</w:t>
                  </w:r>
                </w:p>
              </w:tc>
              <w:tc>
                <w:tcPr>
                  <w:tcW w:w="500" w:type="pct"/>
                  <w:vAlign w:val="bottom"/>
                </w:tcPr>
                <w:p w:rsidR="00DD5D1C" w:rsidRPr="00DD5D1C" w:rsidRDefault="00DD5D1C" w:rsidP="00DD5D1C">
                  <w:pPr>
                    <w:pStyle w:val="TableBodyText"/>
                  </w:pPr>
                  <w:r w:rsidRPr="00DD5D1C">
                    <w:t xml:space="preserve">  0.4</w:t>
                  </w:r>
                </w:p>
              </w:tc>
              <w:tc>
                <w:tcPr>
                  <w:tcW w:w="500" w:type="pct"/>
                  <w:vAlign w:val="bottom"/>
                </w:tcPr>
                <w:p w:rsidR="00DD5D1C" w:rsidRPr="00DD5D1C" w:rsidRDefault="00DD5D1C" w:rsidP="00DD5D1C">
                  <w:pPr>
                    <w:pStyle w:val="TableBodyText"/>
                  </w:pPr>
                  <w:r w:rsidRPr="00DD5D1C">
                    <w:t xml:space="preserve">  0.5</w:t>
                  </w:r>
                </w:p>
              </w:tc>
              <w:tc>
                <w:tcPr>
                  <w:tcW w:w="500" w:type="pct"/>
                  <w:vAlign w:val="bottom"/>
                </w:tcPr>
                <w:p w:rsidR="00DD5D1C" w:rsidRPr="00DD5D1C" w:rsidRDefault="00DD5D1C" w:rsidP="00DD5D1C">
                  <w:pPr>
                    <w:pStyle w:val="TableBodyText"/>
                  </w:pPr>
                  <w:r w:rsidRPr="00DD5D1C">
                    <w:t xml:space="preserve">  0.6</w:t>
                  </w:r>
                </w:p>
              </w:tc>
              <w:tc>
                <w:tcPr>
                  <w:tcW w:w="500" w:type="pct"/>
                  <w:vAlign w:val="bottom"/>
                </w:tcPr>
                <w:p w:rsidR="00DD5D1C" w:rsidRPr="00DD5D1C" w:rsidRDefault="00DD5D1C" w:rsidP="00DD5D1C">
                  <w:pPr>
                    <w:pStyle w:val="TableBodyText"/>
                  </w:pPr>
                  <w:r w:rsidRPr="00DD5D1C">
                    <w:t xml:space="preserve">  0.3</w:t>
                  </w:r>
                </w:p>
              </w:tc>
              <w:tc>
                <w:tcPr>
                  <w:tcW w:w="496" w:type="pct"/>
                  <w:vAlign w:val="bottom"/>
                </w:tcPr>
                <w:p w:rsidR="00DD5D1C" w:rsidRPr="00DD5D1C" w:rsidRDefault="00DD5D1C" w:rsidP="00DD5D1C">
                  <w:pPr>
                    <w:pStyle w:val="TableBodyText"/>
                  </w:pPr>
                  <w:r w:rsidRPr="00DD5D1C">
                    <w:t xml:space="preserve">  0.5</w:t>
                  </w:r>
                </w:p>
              </w:tc>
            </w:tr>
            <w:tr w:rsidR="00DD5D1C" w:rsidTr="006D7128">
              <w:tc>
                <w:tcPr>
                  <w:tcW w:w="5000" w:type="pct"/>
                  <w:gridSpan w:val="10"/>
                </w:tcPr>
                <w:p w:rsidR="00DD5D1C" w:rsidRDefault="00DD5D1C" w:rsidP="00DD5D1C">
                  <w:pPr>
                    <w:pStyle w:val="TableBodyText"/>
                    <w:jc w:val="left"/>
                  </w:pPr>
                  <w:r w:rsidRPr="006D7128">
                    <w:t>Infection following a procedure</w:t>
                  </w:r>
                </w:p>
              </w:tc>
            </w:tr>
            <w:tr w:rsidR="00DD5D1C" w:rsidTr="00362AD7">
              <w:tc>
                <w:tcPr>
                  <w:tcW w:w="501" w:type="pct"/>
                </w:tcPr>
                <w:p w:rsidR="00DD5D1C" w:rsidRDefault="00DD5D1C" w:rsidP="00A376A3">
                  <w:pPr>
                    <w:pStyle w:val="TableBodyText"/>
                    <w:jc w:val="left"/>
                  </w:pPr>
                </w:p>
              </w:tc>
              <w:tc>
                <w:tcPr>
                  <w:tcW w:w="501" w:type="pct"/>
                  <w:vAlign w:val="bottom"/>
                </w:tcPr>
                <w:p w:rsidR="00DD5D1C" w:rsidRPr="00DD5D1C" w:rsidRDefault="00DD5D1C" w:rsidP="00DD5D1C">
                  <w:pPr>
                    <w:pStyle w:val="TableBodyText"/>
                  </w:pPr>
                  <w:r w:rsidRPr="00DD5D1C">
                    <w:t xml:space="preserve">  0.5</w:t>
                  </w:r>
                </w:p>
              </w:tc>
              <w:tc>
                <w:tcPr>
                  <w:tcW w:w="501" w:type="pct"/>
                  <w:vAlign w:val="bottom"/>
                </w:tcPr>
                <w:p w:rsidR="00DD5D1C" w:rsidRPr="00DD5D1C" w:rsidRDefault="00DD5D1C" w:rsidP="00DD5D1C">
                  <w:pPr>
                    <w:pStyle w:val="TableBodyText"/>
                  </w:pPr>
                  <w:r w:rsidRPr="00DD5D1C">
                    <w:t xml:space="preserve">  0.4</w:t>
                  </w:r>
                </w:p>
              </w:tc>
              <w:tc>
                <w:tcPr>
                  <w:tcW w:w="501" w:type="pct"/>
                  <w:vAlign w:val="bottom"/>
                </w:tcPr>
                <w:p w:rsidR="00DD5D1C" w:rsidRPr="00DD5D1C" w:rsidRDefault="00DD5D1C" w:rsidP="00DD5D1C">
                  <w:pPr>
                    <w:pStyle w:val="TableBodyText"/>
                  </w:pPr>
                  <w:r w:rsidRPr="00DD5D1C">
                    <w:t xml:space="preserve">  0.4</w:t>
                  </w:r>
                </w:p>
              </w:tc>
              <w:tc>
                <w:tcPr>
                  <w:tcW w:w="500" w:type="pct"/>
                  <w:vAlign w:val="bottom"/>
                </w:tcPr>
                <w:p w:rsidR="00DD5D1C" w:rsidRPr="00DD5D1C" w:rsidRDefault="00DD5D1C" w:rsidP="00DD5D1C">
                  <w:pPr>
                    <w:pStyle w:val="TableBodyText"/>
                  </w:pPr>
                  <w:r w:rsidRPr="00DD5D1C">
                    <w:t xml:space="preserve">  0.4</w:t>
                  </w:r>
                </w:p>
              </w:tc>
              <w:tc>
                <w:tcPr>
                  <w:tcW w:w="500" w:type="pct"/>
                  <w:vAlign w:val="bottom"/>
                </w:tcPr>
                <w:p w:rsidR="00DD5D1C" w:rsidRPr="00DD5D1C" w:rsidRDefault="00DD5D1C" w:rsidP="00DD5D1C">
                  <w:pPr>
                    <w:pStyle w:val="TableBodyText"/>
                  </w:pPr>
                  <w:r w:rsidRPr="00DD5D1C">
                    <w:t xml:space="preserve">  0.4</w:t>
                  </w:r>
                </w:p>
              </w:tc>
              <w:tc>
                <w:tcPr>
                  <w:tcW w:w="500" w:type="pct"/>
                  <w:vAlign w:val="bottom"/>
                </w:tcPr>
                <w:p w:rsidR="00DD5D1C" w:rsidRPr="00DD5D1C" w:rsidRDefault="00DD5D1C" w:rsidP="00DD5D1C">
                  <w:pPr>
                    <w:pStyle w:val="TableBodyText"/>
                  </w:pPr>
                  <w:r w:rsidRPr="00DD5D1C">
                    <w:t xml:space="preserve">  0.5</w:t>
                  </w:r>
                </w:p>
              </w:tc>
              <w:tc>
                <w:tcPr>
                  <w:tcW w:w="500" w:type="pct"/>
                  <w:vAlign w:val="bottom"/>
                </w:tcPr>
                <w:p w:rsidR="00DD5D1C" w:rsidRPr="00DD5D1C" w:rsidRDefault="00DD5D1C" w:rsidP="00DD5D1C">
                  <w:pPr>
                    <w:pStyle w:val="TableBodyText"/>
                  </w:pPr>
                  <w:r w:rsidRPr="00DD5D1C">
                    <w:t xml:space="preserve">  0.4</w:t>
                  </w:r>
                </w:p>
              </w:tc>
              <w:tc>
                <w:tcPr>
                  <w:tcW w:w="500" w:type="pct"/>
                  <w:vAlign w:val="bottom"/>
                </w:tcPr>
                <w:p w:rsidR="00DD5D1C" w:rsidRPr="00DD5D1C" w:rsidRDefault="00DD5D1C" w:rsidP="00DD5D1C">
                  <w:pPr>
                    <w:pStyle w:val="TableBodyText"/>
                  </w:pPr>
                  <w:r w:rsidRPr="00DD5D1C">
                    <w:t xml:space="preserve">  0.4</w:t>
                  </w:r>
                </w:p>
              </w:tc>
              <w:tc>
                <w:tcPr>
                  <w:tcW w:w="496" w:type="pct"/>
                  <w:vAlign w:val="bottom"/>
                </w:tcPr>
                <w:p w:rsidR="00DD5D1C" w:rsidRPr="00DD5D1C" w:rsidRDefault="00DD5D1C" w:rsidP="00DD5D1C">
                  <w:pPr>
                    <w:pStyle w:val="TableBodyText"/>
                  </w:pPr>
                  <w:r w:rsidRPr="00DD5D1C">
                    <w:t xml:space="preserve">  0.4</w:t>
                  </w:r>
                </w:p>
              </w:tc>
            </w:tr>
            <w:tr w:rsidR="00DD5D1C" w:rsidTr="006D7128">
              <w:tc>
                <w:tcPr>
                  <w:tcW w:w="5000" w:type="pct"/>
                  <w:gridSpan w:val="10"/>
                </w:tcPr>
                <w:p w:rsidR="00DD5D1C" w:rsidRDefault="00DD5D1C" w:rsidP="00DD5D1C">
                  <w:pPr>
                    <w:pStyle w:val="TableBodyText"/>
                    <w:jc w:val="left"/>
                  </w:pPr>
                  <w:r w:rsidRPr="006D7128">
                    <w:t>Complications of internal prosthetic devices</w:t>
                  </w:r>
                </w:p>
              </w:tc>
            </w:tr>
            <w:tr w:rsidR="00DD5D1C" w:rsidTr="00362AD7">
              <w:tc>
                <w:tcPr>
                  <w:tcW w:w="501" w:type="pct"/>
                </w:tcPr>
                <w:p w:rsidR="00DD5D1C" w:rsidRDefault="00DD5D1C" w:rsidP="00A376A3">
                  <w:pPr>
                    <w:pStyle w:val="TableBodyText"/>
                    <w:jc w:val="left"/>
                  </w:pPr>
                </w:p>
              </w:tc>
              <w:tc>
                <w:tcPr>
                  <w:tcW w:w="501" w:type="pct"/>
                  <w:vAlign w:val="bottom"/>
                </w:tcPr>
                <w:p w:rsidR="00DD5D1C" w:rsidRPr="00DD5D1C" w:rsidRDefault="00DD5D1C" w:rsidP="00DD5D1C">
                  <w:pPr>
                    <w:pStyle w:val="TableBodyText"/>
                  </w:pPr>
                  <w:r w:rsidRPr="00DD5D1C">
                    <w:t xml:space="preserve">  1.2</w:t>
                  </w:r>
                </w:p>
              </w:tc>
              <w:tc>
                <w:tcPr>
                  <w:tcW w:w="501" w:type="pct"/>
                  <w:vAlign w:val="bottom"/>
                </w:tcPr>
                <w:p w:rsidR="00DD5D1C" w:rsidRPr="00DD5D1C" w:rsidRDefault="00DD5D1C" w:rsidP="00DD5D1C">
                  <w:pPr>
                    <w:pStyle w:val="TableBodyText"/>
                  </w:pPr>
                  <w:r w:rsidRPr="00DD5D1C">
                    <w:t xml:space="preserve">  1.6</w:t>
                  </w:r>
                </w:p>
              </w:tc>
              <w:tc>
                <w:tcPr>
                  <w:tcW w:w="501" w:type="pct"/>
                  <w:vAlign w:val="bottom"/>
                </w:tcPr>
                <w:p w:rsidR="00DD5D1C" w:rsidRPr="00DD5D1C" w:rsidRDefault="00DD5D1C" w:rsidP="00DD5D1C">
                  <w:pPr>
                    <w:pStyle w:val="TableBodyText"/>
                  </w:pPr>
                  <w:r w:rsidRPr="00DD5D1C">
                    <w:t xml:space="preserve">  1.3</w:t>
                  </w:r>
                </w:p>
              </w:tc>
              <w:tc>
                <w:tcPr>
                  <w:tcW w:w="500" w:type="pct"/>
                  <w:vAlign w:val="bottom"/>
                </w:tcPr>
                <w:p w:rsidR="00DD5D1C" w:rsidRPr="00DD5D1C" w:rsidRDefault="00DD5D1C" w:rsidP="00DD5D1C">
                  <w:pPr>
                    <w:pStyle w:val="TableBodyText"/>
                  </w:pPr>
                  <w:r w:rsidRPr="00DD5D1C">
                    <w:t xml:space="preserve">  1.2</w:t>
                  </w:r>
                </w:p>
              </w:tc>
              <w:tc>
                <w:tcPr>
                  <w:tcW w:w="500" w:type="pct"/>
                  <w:vAlign w:val="bottom"/>
                </w:tcPr>
                <w:p w:rsidR="00DD5D1C" w:rsidRPr="00DD5D1C" w:rsidRDefault="00DD5D1C" w:rsidP="00DD5D1C">
                  <w:pPr>
                    <w:pStyle w:val="TableBodyText"/>
                  </w:pPr>
                  <w:r w:rsidRPr="00DD5D1C">
                    <w:t xml:space="preserve">  1.2</w:t>
                  </w:r>
                </w:p>
              </w:tc>
              <w:tc>
                <w:tcPr>
                  <w:tcW w:w="500" w:type="pct"/>
                  <w:vAlign w:val="bottom"/>
                </w:tcPr>
                <w:p w:rsidR="00DD5D1C" w:rsidRPr="00DD5D1C" w:rsidRDefault="00DD5D1C" w:rsidP="00DD5D1C">
                  <w:pPr>
                    <w:pStyle w:val="TableBodyText"/>
                  </w:pPr>
                  <w:r w:rsidRPr="00DD5D1C">
                    <w:t xml:space="preserve">  1.4</w:t>
                  </w:r>
                </w:p>
              </w:tc>
              <w:tc>
                <w:tcPr>
                  <w:tcW w:w="500" w:type="pct"/>
                  <w:vAlign w:val="bottom"/>
                </w:tcPr>
                <w:p w:rsidR="00DD5D1C" w:rsidRPr="00DD5D1C" w:rsidRDefault="00DD5D1C" w:rsidP="00DD5D1C">
                  <w:pPr>
                    <w:pStyle w:val="TableBodyText"/>
                  </w:pPr>
                  <w:r w:rsidRPr="00DD5D1C">
                    <w:t xml:space="preserve">  1.8</w:t>
                  </w:r>
                </w:p>
              </w:tc>
              <w:tc>
                <w:tcPr>
                  <w:tcW w:w="500" w:type="pct"/>
                  <w:vAlign w:val="bottom"/>
                </w:tcPr>
                <w:p w:rsidR="00DD5D1C" w:rsidRPr="00DD5D1C" w:rsidRDefault="00DD5D1C" w:rsidP="00DD5D1C">
                  <w:pPr>
                    <w:pStyle w:val="TableBodyText"/>
                  </w:pPr>
                  <w:r w:rsidRPr="00DD5D1C">
                    <w:t xml:space="preserve">  0.9</w:t>
                  </w:r>
                </w:p>
              </w:tc>
              <w:tc>
                <w:tcPr>
                  <w:tcW w:w="496" w:type="pct"/>
                  <w:vAlign w:val="bottom"/>
                </w:tcPr>
                <w:p w:rsidR="00DD5D1C" w:rsidRPr="00DD5D1C" w:rsidRDefault="00DD5D1C" w:rsidP="00DD5D1C">
                  <w:pPr>
                    <w:pStyle w:val="TableBodyText"/>
                  </w:pPr>
                  <w:r w:rsidRPr="00DD5D1C">
                    <w:t xml:space="preserve">  1.3</w:t>
                  </w:r>
                </w:p>
              </w:tc>
            </w:tr>
            <w:tr w:rsidR="00DD5D1C" w:rsidTr="006D7128">
              <w:tc>
                <w:tcPr>
                  <w:tcW w:w="5000" w:type="pct"/>
                  <w:gridSpan w:val="10"/>
                </w:tcPr>
                <w:p w:rsidR="00DD5D1C" w:rsidRDefault="00DD5D1C" w:rsidP="00DD5D1C">
                  <w:pPr>
                    <w:pStyle w:val="TableBodyText"/>
                    <w:jc w:val="left"/>
                  </w:pPr>
                  <w:r w:rsidRPr="006D7128">
                    <w:t>Other diagnoses of complications of medical and surgical care</w:t>
                  </w:r>
                </w:p>
              </w:tc>
            </w:tr>
            <w:tr w:rsidR="00DD5D1C" w:rsidTr="00362AD7">
              <w:tc>
                <w:tcPr>
                  <w:tcW w:w="501" w:type="pct"/>
                </w:tcPr>
                <w:p w:rsidR="00DD5D1C" w:rsidRDefault="00DD5D1C" w:rsidP="00A376A3">
                  <w:pPr>
                    <w:pStyle w:val="TableBodyText"/>
                    <w:jc w:val="left"/>
                  </w:pPr>
                </w:p>
              </w:tc>
              <w:tc>
                <w:tcPr>
                  <w:tcW w:w="501" w:type="pct"/>
                  <w:vAlign w:val="bottom"/>
                </w:tcPr>
                <w:p w:rsidR="00DD5D1C" w:rsidRPr="00DD5D1C" w:rsidRDefault="000B00B4" w:rsidP="00DD5D1C">
                  <w:pPr>
                    <w:pStyle w:val="TableBodyText"/>
                  </w:pPr>
                  <w:r>
                    <w:t>0.7</w:t>
                  </w:r>
                </w:p>
              </w:tc>
              <w:tc>
                <w:tcPr>
                  <w:tcW w:w="501" w:type="pct"/>
                  <w:vAlign w:val="bottom"/>
                </w:tcPr>
                <w:p w:rsidR="00DD5D1C" w:rsidRPr="00DD5D1C" w:rsidRDefault="000B00B4" w:rsidP="00DD5D1C">
                  <w:pPr>
                    <w:pStyle w:val="TableBodyText"/>
                  </w:pPr>
                  <w:r>
                    <w:t>1.3</w:t>
                  </w:r>
                </w:p>
              </w:tc>
              <w:tc>
                <w:tcPr>
                  <w:tcW w:w="501" w:type="pct"/>
                  <w:vAlign w:val="bottom"/>
                </w:tcPr>
                <w:p w:rsidR="00DD5D1C" w:rsidRPr="00DD5D1C" w:rsidRDefault="000B00B4" w:rsidP="00DD5D1C">
                  <w:pPr>
                    <w:pStyle w:val="TableBodyText"/>
                  </w:pPr>
                  <w:r>
                    <w:t>0.9</w:t>
                  </w:r>
                </w:p>
              </w:tc>
              <w:tc>
                <w:tcPr>
                  <w:tcW w:w="500" w:type="pct"/>
                  <w:vAlign w:val="bottom"/>
                </w:tcPr>
                <w:p w:rsidR="00DD5D1C" w:rsidRPr="00DD5D1C" w:rsidRDefault="000B00B4" w:rsidP="00DD5D1C">
                  <w:pPr>
                    <w:pStyle w:val="TableBodyText"/>
                  </w:pPr>
                  <w:r>
                    <w:t>0.8</w:t>
                  </w:r>
                </w:p>
              </w:tc>
              <w:tc>
                <w:tcPr>
                  <w:tcW w:w="500" w:type="pct"/>
                  <w:vAlign w:val="bottom"/>
                </w:tcPr>
                <w:p w:rsidR="00DD5D1C" w:rsidRPr="00DD5D1C" w:rsidRDefault="000B00B4" w:rsidP="00DD5D1C">
                  <w:pPr>
                    <w:pStyle w:val="TableBodyText"/>
                  </w:pPr>
                  <w:r>
                    <w:t>0.9</w:t>
                  </w:r>
                </w:p>
              </w:tc>
              <w:tc>
                <w:tcPr>
                  <w:tcW w:w="500" w:type="pct"/>
                  <w:vAlign w:val="bottom"/>
                </w:tcPr>
                <w:p w:rsidR="00DD5D1C" w:rsidRPr="00DD5D1C" w:rsidRDefault="000B00B4" w:rsidP="00DD5D1C">
                  <w:pPr>
                    <w:pStyle w:val="TableBodyText"/>
                  </w:pPr>
                  <w:r>
                    <w:t>1.1</w:t>
                  </w:r>
                </w:p>
              </w:tc>
              <w:tc>
                <w:tcPr>
                  <w:tcW w:w="500" w:type="pct"/>
                  <w:vAlign w:val="bottom"/>
                </w:tcPr>
                <w:p w:rsidR="00DD5D1C" w:rsidRPr="00DD5D1C" w:rsidRDefault="000B00B4" w:rsidP="00DD5D1C">
                  <w:pPr>
                    <w:pStyle w:val="TableBodyText"/>
                  </w:pPr>
                  <w:r>
                    <w:t>1.0</w:t>
                  </w:r>
                </w:p>
              </w:tc>
              <w:tc>
                <w:tcPr>
                  <w:tcW w:w="500" w:type="pct"/>
                  <w:vAlign w:val="bottom"/>
                </w:tcPr>
                <w:p w:rsidR="00DD5D1C" w:rsidRPr="00DD5D1C" w:rsidRDefault="000B00B4" w:rsidP="00DD5D1C">
                  <w:pPr>
                    <w:pStyle w:val="TableBodyText"/>
                  </w:pPr>
                  <w:r>
                    <w:t>0.6</w:t>
                  </w:r>
                </w:p>
              </w:tc>
              <w:tc>
                <w:tcPr>
                  <w:tcW w:w="496" w:type="pct"/>
                  <w:vAlign w:val="bottom"/>
                </w:tcPr>
                <w:p w:rsidR="00DD5D1C" w:rsidRPr="00DD5D1C" w:rsidRDefault="000B00B4" w:rsidP="00DD5D1C">
                  <w:pPr>
                    <w:pStyle w:val="TableBodyText"/>
                  </w:pPr>
                  <w:r>
                    <w:t>0.9</w:t>
                  </w:r>
                </w:p>
              </w:tc>
            </w:tr>
            <w:tr w:rsidR="00DD5D1C" w:rsidTr="006D7128">
              <w:tc>
                <w:tcPr>
                  <w:tcW w:w="5000" w:type="pct"/>
                  <w:gridSpan w:val="10"/>
                </w:tcPr>
                <w:p w:rsidR="00DD5D1C" w:rsidRPr="00DD5D1C" w:rsidRDefault="00DD5D1C" w:rsidP="00BE7904">
                  <w:pPr>
                    <w:pStyle w:val="Note"/>
                    <w:rPr>
                      <w:rStyle w:val="NoteLabel"/>
                    </w:rPr>
                  </w:pPr>
                  <w:r w:rsidRPr="006D7128">
                    <w:t>Total</w:t>
                  </w:r>
                  <w:r>
                    <w:t xml:space="preserve"> (any of the above)</w:t>
                  </w:r>
                  <w:r w:rsidR="00BE7904" w:rsidRPr="00BE7904">
                    <w:rPr>
                      <w:rStyle w:val="NoteLabel"/>
                    </w:rPr>
                    <w:t>c</w:t>
                  </w:r>
                </w:p>
              </w:tc>
            </w:tr>
            <w:tr w:rsidR="00DD5D1C" w:rsidTr="00362AD7">
              <w:tc>
                <w:tcPr>
                  <w:tcW w:w="501" w:type="pct"/>
                  <w:tcBorders>
                    <w:bottom w:val="single" w:sz="6" w:space="0" w:color="BFBFBF"/>
                  </w:tcBorders>
                  <w:shd w:val="clear" w:color="auto" w:fill="auto"/>
                </w:tcPr>
                <w:p w:rsidR="00DD5D1C" w:rsidRDefault="00DD5D1C" w:rsidP="00A376A3">
                  <w:pPr>
                    <w:pStyle w:val="TableBodyText"/>
                    <w:jc w:val="left"/>
                  </w:pPr>
                </w:p>
              </w:tc>
              <w:tc>
                <w:tcPr>
                  <w:tcW w:w="501" w:type="pct"/>
                  <w:tcBorders>
                    <w:bottom w:val="single" w:sz="6" w:space="0" w:color="BFBFBF"/>
                  </w:tcBorders>
                  <w:vAlign w:val="bottom"/>
                </w:tcPr>
                <w:p w:rsidR="00DD5D1C" w:rsidRPr="00DD5D1C" w:rsidRDefault="00DD5D1C" w:rsidP="00DD5D1C">
                  <w:pPr>
                    <w:pStyle w:val="TableBodyText"/>
                  </w:pPr>
                  <w:r w:rsidRPr="00DD5D1C">
                    <w:t xml:space="preserve">  6.3</w:t>
                  </w:r>
                </w:p>
              </w:tc>
              <w:tc>
                <w:tcPr>
                  <w:tcW w:w="501" w:type="pct"/>
                  <w:tcBorders>
                    <w:bottom w:val="single" w:sz="6" w:space="0" w:color="BFBFBF"/>
                  </w:tcBorders>
                  <w:vAlign w:val="bottom"/>
                </w:tcPr>
                <w:p w:rsidR="00DD5D1C" w:rsidRPr="00DD5D1C" w:rsidRDefault="00DD5D1C" w:rsidP="00DD5D1C">
                  <w:pPr>
                    <w:pStyle w:val="TableBodyText"/>
                  </w:pPr>
                  <w:r w:rsidRPr="00DD5D1C">
                    <w:t xml:space="preserve">  6.8</w:t>
                  </w:r>
                </w:p>
              </w:tc>
              <w:tc>
                <w:tcPr>
                  <w:tcW w:w="501" w:type="pct"/>
                  <w:tcBorders>
                    <w:bottom w:val="single" w:sz="6" w:space="0" w:color="BFBFBF"/>
                  </w:tcBorders>
                  <w:vAlign w:val="bottom"/>
                </w:tcPr>
                <w:p w:rsidR="00DD5D1C" w:rsidRPr="00DD5D1C" w:rsidRDefault="00DD5D1C" w:rsidP="00DD5D1C">
                  <w:pPr>
                    <w:pStyle w:val="TableBodyText"/>
                  </w:pPr>
                  <w:r w:rsidRPr="00DD5D1C">
                    <w:t xml:space="preserve">  6.3</w:t>
                  </w:r>
                </w:p>
              </w:tc>
              <w:tc>
                <w:tcPr>
                  <w:tcW w:w="500" w:type="pct"/>
                  <w:tcBorders>
                    <w:bottom w:val="single" w:sz="6" w:space="0" w:color="BFBFBF"/>
                  </w:tcBorders>
                  <w:vAlign w:val="bottom"/>
                </w:tcPr>
                <w:p w:rsidR="00DD5D1C" w:rsidRPr="00DD5D1C" w:rsidRDefault="00DD5D1C" w:rsidP="00DD5D1C">
                  <w:pPr>
                    <w:pStyle w:val="TableBodyText"/>
                  </w:pPr>
                  <w:r w:rsidRPr="00DD5D1C">
                    <w:t xml:space="preserve">  6.4</w:t>
                  </w:r>
                </w:p>
              </w:tc>
              <w:tc>
                <w:tcPr>
                  <w:tcW w:w="500" w:type="pct"/>
                  <w:tcBorders>
                    <w:bottom w:val="single" w:sz="6" w:space="0" w:color="BFBFBF"/>
                  </w:tcBorders>
                  <w:vAlign w:val="bottom"/>
                </w:tcPr>
                <w:p w:rsidR="00DD5D1C" w:rsidRPr="00DD5D1C" w:rsidRDefault="00DD5D1C" w:rsidP="00DD5D1C">
                  <w:pPr>
                    <w:pStyle w:val="TableBodyText"/>
                  </w:pPr>
                  <w:r w:rsidRPr="00DD5D1C">
                    <w:t xml:space="preserve">  7.2</w:t>
                  </w:r>
                </w:p>
              </w:tc>
              <w:tc>
                <w:tcPr>
                  <w:tcW w:w="500" w:type="pct"/>
                  <w:tcBorders>
                    <w:bottom w:val="single" w:sz="6" w:space="0" w:color="BFBFBF"/>
                  </w:tcBorders>
                  <w:vAlign w:val="bottom"/>
                </w:tcPr>
                <w:p w:rsidR="00DD5D1C" w:rsidRPr="00DD5D1C" w:rsidRDefault="00DD5D1C" w:rsidP="00DD5D1C">
                  <w:pPr>
                    <w:pStyle w:val="TableBodyText"/>
                  </w:pPr>
                  <w:r w:rsidRPr="00DD5D1C">
                    <w:t xml:space="preserve">  8.2</w:t>
                  </w:r>
                </w:p>
              </w:tc>
              <w:tc>
                <w:tcPr>
                  <w:tcW w:w="500" w:type="pct"/>
                  <w:tcBorders>
                    <w:bottom w:val="single" w:sz="6" w:space="0" w:color="BFBFBF"/>
                  </w:tcBorders>
                  <w:vAlign w:val="bottom"/>
                </w:tcPr>
                <w:p w:rsidR="00DD5D1C" w:rsidRPr="00DD5D1C" w:rsidRDefault="00DD5D1C" w:rsidP="00DD5D1C">
                  <w:pPr>
                    <w:pStyle w:val="TableBodyText"/>
                  </w:pPr>
                  <w:r w:rsidRPr="00DD5D1C">
                    <w:t xml:space="preserve">  7.4</w:t>
                  </w:r>
                </w:p>
              </w:tc>
              <w:tc>
                <w:tcPr>
                  <w:tcW w:w="500" w:type="pct"/>
                  <w:tcBorders>
                    <w:bottom w:val="single" w:sz="6" w:space="0" w:color="BFBFBF"/>
                  </w:tcBorders>
                  <w:shd w:val="clear" w:color="auto" w:fill="auto"/>
                  <w:vAlign w:val="bottom"/>
                </w:tcPr>
                <w:p w:rsidR="00DD5D1C" w:rsidRPr="00DD5D1C" w:rsidRDefault="00DD5D1C" w:rsidP="00DD5D1C">
                  <w:pPr>
                    <w:pStyle w:val="TableBodyText"/>
                  </w:pPr>
                  <w:r w:rsidRPr="00DD5D1C">
                    <w:t xml:space="preserve">  3.4</w:t>
                  </w:r>
                </w:p>
              </w:tc>
              <w:tc>
                <w:tcPr>
                  <w:tcW w:w="496" w:type="pct"/>
                  <w:tcBorders>
                    <w:bottom w:val="single" w:sz="6" w:space="0" w:color="BFBFBF"/>
                  </w:tcBorders>
                  <w:shd w:val="clear" w:color="auto" w:fill="auto"/>
                  <w:vAlign w:val="bottom"/>
                </w:tcPr>
                <w:p w:rsidR="00DD5D1C" w:rsidRPr="00DD5D1C" w:rsidRDefault="00DD5D1C" w:rsidP="00DD5D1C">
                  <w:pPr>
                    <w:pStyle w:val="TableBodyText"/>
                  </w:pPr>
                  <w:r w:rsidRPr="00DD5D1C">
                    <w:t xml:space="preserve">  6.5</w:t>
                  </w:r>
                </w:p>
              </w:tc>
            </w:tr>
          </w:tbl>
          <w:p w:rsidR="00F52876" w:rsidRDefault="00F52876" w:rsidP="00A376A3">
            <w:pPr>
              <w:pStyle w:val="Box"/>
            </w:pPr>
          </w:p>
        </w:tc>
      </w:tr>
      <w:tr w:rsidR="00F52876" w:rsidTr="00A376A3">
        <w:trPr>
          <w:cantSplit/>
        </w:trPr>
        <w:tc>
          <w:tcPr>
            <w:tcW w:w="8771" w:type="dxa"/>
            <w:tcBorders>
              <w:top w:val="nil"/>
              <w:left w:val="nil"/>
              <w:bottom w:val="nil"/>
              <w:right w:val="nil"/>
            </w:tcBorders>
            <w:shd w:val="clear" w:color="auto" w:fill="auto"/>
          </w:tcPr>
          <w:p w:rsidR="00F52876" w:rsidRDefault="00F52876" w:rsidP="00A376A3">
            <w:pPr>
              <w:pStyle w:val="Note"/>
              <w:rPr>
                <w:i/>
              </w:rPr>
            </w:pPr>
            <w:r w:rsidRPr="008E77FE">
              <w:rPr>
                <w:rStyle w:val="NoteLabel"/>
              </w:rPr>
              <w:t>a</w:t>
            </w:r>
            <w:r>
              <w:t xml:space="preserve"> </w:t>
            </w:r>
            <w:r w:rsidR="00A376A3" w:rsidRPr="00A376A3">
              <w:t xml:space="preserve">Separations that included ICD-10-AM diagnosis and/or external cause codes that indicated an adverse event was treated and/or occurred during the hospitalisation. </w:t>
            </w:r>
            <w:r w:rsidR="00A376A3" w:rsidRPr="00A376A3">
              <w:rPr>
                <w:rStyle w:val="NoteLabel"/>
              </w:rPr>
              <w:t>b</w:t>
            </w:r>
            <w:r w:rsidR="00A376A3" w:rsidRPr="00A376A3">
              <w:t xml:space="preserve"> Age standardised rate. </w:t>
            </w:r>
            <w:r w:rsidR="00A376A3" w:rsidRPr="00A376A3">
              <w:rPr>
                <w:rStyle w:val="NoteLabel"/>
              </w:rPr>
              <w:t>c</w:t>
            </w:r>
            <w:r w:rsidR="00A376A3" w:rsidRPr="00A376A3">
              <w:t xml:space="preserve"> Categories do not sum to the totals because multiple diagnoses and external causes can be recorded for each separation</w:t>
            </w:r>
            <w:r w:rsidR="00DF1228">
              <w:t>,</w:t>
            </w:r>
            <w:r w:rsidR="00A376A3" w:rsidRPr="00A376A3">
              <w:t xml:space="preserve"> and external cause codes and diagnosis codes can be used together to describe an adverse event.</w:t>
            </w:r>
          </w:p>
        </w:tc>
      </w:tr>
      <w:tr w:rsidR="00F52876" w:rsidTr="00A376A3">
        <w:trPr>
          <w:cantSplit/>
        </w:trPr>
        <w:tc>
          <w:tcPr>
            <w:tcW w:w="8771" w:type="dxa"/>
            <w:tcBorders>
              <w:top w:val="nil"/>
              <w:left w:val="nil"/>
              <w:bottom w:val="nil"/>
              <w:right w:val="nil"/>
            </w:tcBorders>
            <w:shd w:val="clear" w:color="auto" w:fill="auto"/>
          </w:tcPr>
          <w:p w:rsidR="00F52876" w:rsidRDefault="00F52876" w:rsidP="004F7D79">
            <w:pPr>
              <w:pStyle w:val="Source"/>
            </w:pPr>
            <w:r>
              <w:rPr>
                <w:i/>
              </w:rPr>
              <w:t>Source</w:t>
            </w:r>
            <w:r w:rsidRPr="00167F06">
              <w:t xml:space="preserve">: </w:t>
            </w:r>
            <w:r w:rsidRPr="00F52876">
              <w:t>AIHW (unpublished), National Hospital Morbidity Database; table 11A.5</w:t>
            </w:r>
            <w:r w:rsidR="004F7D79">
              <w:t>4</w:t>
            </w:r>
            <w:r w:rsidRPr="00F52876">
              <w:t>.</w:t>
            </w:r>
          </w:p>
        </w:tc>
      </w:tr>
      <w:tr w:rsidR="00F52876" w:rsidTr="00A376A3">
        <w:trPr>
          <w:cantSplit/>
        </w:trPr>
        <w:tc>
          <w:tcPr>
            <w:tcW w:w="8771" w:type="dxa"/>
            <w:tcBorders>
              <w:top w:val="nil"/>
              <w:left w:val="nil"/>
              <w:bottom w:val="single" w:sz="6" w:space="0" w:color="78A22F"/>
              <w:right w:val="nil"/>
            </w:tcBorders>
            <w:shd w:val="clear" w:color="auto" w:fill="auto"/>
          </w:tcPr>
          <w:p w:rsidR="00F52876" w:rsidRDefault="00F52876" w:rsidP="00A376A3">
            <w:pPr>
              <w:pStyle w:val="Box"/>
              <w:spacing w:before="0" w:line="120" w:lineRule="exact"/>
            </w:pPr>
          </w:p>
        </w:tc>
      </w:tr>
      <w:tr w:rsidR="00F52876" w:rsidRPr="000863A5" w:rsidTr="00A376A3">
        <w:tc>
          <w:tcPr>
            <w:tcW w:w="8771" w:type="dxa"/>
            <w:tcBorders>
              <w:top w:val="single" w:sz="6" w:space="0" w:color="78A22F"/>
              <w:left w:val="nil"/>
              <w:bottom w:val="nil"/>
              <w:right w:val="nil"/>
            </w:tcBorders>
          </w:tcPr>
          <w:p w:rsidR="00F52876" w:rsidRPr="00626D32" w:rsidRDefault="00F52876" w:rsidP="00A376A3">
            <w:pPr>
              <w:pStyle w:val="BoxSpaceBelow"/>
            </w:pPr>
          </w:p>
        </w:tc>
      </w:tr>
    </w:tbl>
    <w:p w:rsidR="00A376A3" w:rsidRDefault="00A376A3" w:rsidP="00A376A3">
      <w:pPr>
        <w:pStyle w:val="BodyText"/>
      </w:pPr>
      <w:r>
        <w:t xml:space="preserve">A separation may be recorded against more than one category in table 11.7, as some adverse events are reported as diagnoses and others as external causes or places of occurrence (of the injury or poisoning). </w:t>
      </w:r>
    </w:p>
    <w:p w:rsidR="00A376A3" w:rsidRDefault="00A376A3" w:rsidP="00A376A3">
      <w:pPr>
        <w:pStyle w:val="BodyText"/>
      </w:pPr>
      <w:r>
        <w:t>These data can be interpreted as representing selected adverse events in health care that have resulted in, or have affected, hospital admissions, rather than all adverse events that occurred in hospitals. Some of the adverse events included in these tables may represent events that occurred before admission.</w:t>
      </w:r>
    </w:p>
    <w:p w:rsidR="00A376A3" w:rsidRDefault="00A376A3" w:rsidP="00A376A3">
      <w:pPr>
        <w:pStyle w:val="BodyText"/>
      </w:pPr>
      <w:r>
        <w:lastRenderedPageBreak/>
        <w:t>Some adverse events are not identifiable using the codes for an adverse event or a place of occurrence of hospital. Some other diagnosis codes may suggest that an adverse event has occurred when it has not.</w:t>
      </w:r>
    </w:p>
    <w:p w:rsidR="005C0535" w:rsidRDefault="00A32FE4" w:rsidP="005574AD">
      <w:pPr>
        <w:pStyle w:val="Heading5"/>
      </w:pPr>
      <w:r w:rsidRPr="00A32FE4">
        <w:t>Safety — falls resulting in patient harm in hospitals</w:t>
      </w:r>
    </w:p>
    <w:p w:rsidR="00A7155A" w:rsidRDefault="00C01760" w:rsidP="00A376A3">
      <w:pPr>
        <w:pStyle w:val="BodyText"/>
      </w:pPr>
      <w:r>
        <w:t xml:space="preserve">Data for falls resulting in patient harm in hospitals are available this year for the first time since the 2012 Report. </w:t>
      </w:r>
      <w:r w:rsidR="00A7155A" w:rsidRPr="00ED6769">
        <w:t xml:space="preserve">Falls resulting in </w:t>
      </w:r>
      <w:r w:rsidR="00A7155A" w:rsidRPr="00280DC9">
        <w:t>patient harm recorded in public hospital separations where the place of occurrence was a health service area varied</w:t>
      </w:r>
      <w:r w:rsidR="00A7155A" w:rsidRPr="00ED6769">
        <w:t xml:space="preserve"> across states and territories in 2012-13, with a national rate of 4.0 falls per 1000 separations (figure 1</w:t>
      </w:r>
      <w:r w:rsidR="00A7155A">
        <w:t>1</w:t>
      </w:r>
      <w:r w:rsidR="00A7155A" w:rsidRPr="00ED6769">
        <w:t>.1</w:t>
      </w:r>
      <w:r w:rsidR="00A7155A">
        <w:t>6</w:t>
      </w:r>
      <w:r w:rsidR="00A7155A" w:rsidRPr="00ED6769">
        <w:t>). Data are reported by Indigenous status and remoteness in table 1</w:t>
      </w:r>
      <w:r w:rsidR="00A7155A">
        <w:t>1</w:t>
      </w:r>
      <w:r w:rsidR="00A7155A" w:rsidRPr="00ED6769">
        <w:t>A.</w:t>
      </w:r>
      <w:r w:rsidR="00A7155A">
        <w:t>55</w:t>
      </w:r>
      <w:r w:rsidR="00A7155A" w:rsidRPr="00ED6769">
        <w:t>.</w:t>
      </w:r>
    </w:p>
    <w:p w:rsidR="005C0535" w:rsidRDefault="005C0535" w:rsidP="005C053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0535" w:rsidTr="005C0535">
        <w:tc>
          <w:tcPr>
            <w:tcW w:w="8771" w:type="dxa"/>
            <w:tcBorders>
              <w:top w:val="single" w:sz="6" w:space="0" w:color="78A22F"/>
              <w:left w:val="nil"/>
              <w:bottom w:val="nil"/>
              <w:right w:val="nil"/>
            </w:tcBorders>
            <w:shd w:val="clear" w:color="auto" w:fill="auto"/>
          </w:tcPr>
          <w:p w:rsidR="005C0535" w:rsidRPr="00176D3F" w:rsidRDefault="005C0535" w:rsidP="002F4115">
            <w:pPr>
              <w:pStyle w:val="FigureTitle"/>
            </w:pPr>
            <w:r w:rsidRPr="00784A05">
              <w:rPr>
                <w:b w:val="0"/>
              </w:rPr>
              <w:t xml:space="preserve">Figure </w:t>
            </w:r>
            <w:r w:rsidR="000D26EC">
              <w:rPr>
                <w:b w:val="0"/>
              </w:rPr>
              <w:t>11.</w:t>
            </w:r>
            <w:r w:rsidR="009A53E9">
              <w:rPr>
                <w:b w:val="0"/>
                <w:noProof/>
              </w:rPr>
              <w:t>16</w:t>
            </w:r>
            <w:r>
              <w:tab/>
            </w:r>
            <w:r w:rsidR="00A32FE4" w:rsidRPr="00A32FE4">
              <w:t xml:space="preserve">Separations for falls resulting in patient harm in </w:t>
            </w:r>
            <w:r w:rsidR="00A32FE4">
              <w:t xml:space="preserve">public </w:t>
            </w:r>
            <w:r w:rsidR="00A32FE4" w:rsidRPr="00A32FE4">
              <w:t>hospitals</w:t>
            </w:r>
            <w:r w:rsidR="00A32FE4">
              <w:t>, 2012-13</w:t>
            </w:r>
            <w:r w:rsidR="00964CAF" w:rsidRPr="00964CAF">
              <w:rPr>
                <w:rStyle w:val="NoteLabel"/>
                <w:b/>
                <w:szCs w:val="20"/>
              </w:rPr>
              <w:t>a</w:t>
            </w:r>
            <w:r w:rsidR="002A3F91">
              <w:rPr>
                <w:rStyle w:val="NoteLabel"/>
                <w:b/>
                <w:szCs w:val="20"/>
              </w:rPr>
              <w:t>, b</w:t>
            </w:r>
            <w:r w:rsidR="00964CAF">
              <w:t xml:space="preserve"> </w:t>
            </w:r>
          </w:p>
        </w:tc>
      </w:tr>
      <w:tr w:rsidR="005C0535" w:rsidTr="005C053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C0535" w:rsidTr="005C0535">
              <w:trPr>
                <w:jc w:val="center"/>
              </w:trPr>
              <w:tc>
                <w:tcPr>
                  <w:tcW w:w="5000" w:type="pct"/>
                  <w:tcBorders>
                    <w:top w:val="nil"/>
                    <w:bottom w:val="nil"/>
                  </w:tcBorders>
                </w:tcPr>
                <w:p w:rsidR="005C0535" w:rsidRDefault="008953BE" w:rsidP="002F4115">
                  <w:pPr>
                    <w:pStyle w:val="Figure"/>
                    <w:keepLines/>
                    <w:spacing w:before="60" w:after="60"/>
                  </w:pPr>
                  <w:r>
                    <w:rPr>
                      <w:noProof/>
                    </w:rPr>
                    <w:drawing>
                      <wp:inline distT="0" distB="0" distL="0" distR="0">
                        <wp:extent cx="5391150" cy="2686050"/>
                        <wp:effectExtent l="0" t="0" r="0" b="0"/>
                        <wp:docPr id="14" name="Picture 14" descr="Figure 11.16 Separations for falls resulting in patient harm in public hospital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5C0535" w:rsidRDefault="005C0535" w:rsidP="002F4115">
            <w:pPr>
              <w:pStyle w:val="Figure"/>
              <w:keepLines/>
            </w:pPr>
          </w:p>
        </w:tc>
      </w:tr>
      <w:tr w:rsidR="005C0535" w:rsidRPr="00176D3F" w:rsidTr="005C0535">
        <w:tc>
          <w:tcPr>
            <w:tcW w:w="8771" w:type="dxa"/>
            <w:tcBorders>
              <w:top w:val="nil"/>
              <w:left w:val="nil"/>
              <w:bottom w:val="nil"/>
              <w:right w:val="nil"/>
            </w:tcBorders>
            <w:shd w:val="clear" w:color="auto" w:fill="auto"/>
          </w:tcPr>
          <w:p w:rsidR="005C0535" w:rsidRPr="00176D3F" w:rsidRDefault="0036435D" w:rsidP="00DF1228">
            <w:pPr>
              <w:pStyle w:val="Note"/>
              <w:keepNext/>
            </w:pPr>
            <w:r w:rsidRPr="0036435D">
              <w:rPr>
                <w:rStyle w:val="NoteLabel"/>
              </w:rPr>
              <w:t>a</w:t>
            </w:r>
            <w:r>
              <w:t xml:space="preserve"> </w:t>
            </w:r>
            <w:r w:rsidR="002A3F91" w:rsidRPr="002A3F91">
              <w:t>Falls resulting in patient harm occurring in hospitals could be underestimated</w:t>
            </w:r>
            <w:r w:rsidR="00DF1228">
              <w:t>,</w:t>
            </w:r>
            <w:r w:rsidR="002A3F91" w:rsidRPr="002A3F91">
              <w:t xml:space="preserve"> as the place of occurrence was not reported (or unspecified) for about 26 per cent of separations with an external cause of injury of falls</w:t>
            </w:r>
            <w:r w:rsidR="002A3F91">
              <w:t xml:space="preserve">. </w:t>
            </w:r>
            <w:r w:rsidR="002A3F91" w:rsidRPr="002A3F91">
              <w:rPr>
                <w:rStyle w:val="NoteLabel"/>
              </w:rPr>
              <w:t>b</w:t>
            </w:r>
            <w:r w:rsidR="002A3F91">
              <w:t xml:space="preserve"> </w:t>
            </w:r>
            <w:r w:rsidRPr="0036435D">
              <w:t xml:space="preserve">It is not possible to identify falls specifically occurring in hospitals. </w:t>
            </w:r>
            <w:r>
              <w:t>T</w:t>
            </w:r>
            <w:r w:rsidRPr="0036435D">
              <w:t>he data identif</w:t>
            </w:r>
            <w:r w:rsidR="00DF1228">
              <w:t>y</w:t>
            </w:r>
            <w:r w:rsidRPr="0036435D">
              <w:t xml:space="preserve"> falls occurring in any health service setting, including day surgery centres or hospices.</w:t>
            </w:r>
            <w:r>
              <w:t xml:space="preserve"> T</w:t>
            </w:r>
            <w:r w:rsidRPr="0036435D">
              <w:t>o minimise the inclusion of falls that occurred before admission, separations with an injury or poisoning principal diagnosis are excluded.</w:t>
            </w:r>
          </w:p>
        </w:tc>
      </w:tr>
      <w:tr w:rsidR="005C0535" w:rsidRPr="00176D3F" w:rsidTr="005C0535">
        <w:tc>
          <w:tcPr>
            <w:tcW w:w="8771" w:type="dxa"/>
            <w:tcBorders>
              <w:top w:val="nil"/>
              <w:left w:val="nil"/>
              <w:bottom w:val="nil"/>
              <w:right w:val="nil"/>
            </w:tcBorders>
            <w:shd w:val="clear" w:color="auto" w:fill="auto"/>
          </w:tcPr>
          <w:p w:rsidR="005C0535" w:rsidRPr="00176D3F" w:rsidRDefault="00A32FE4" w:rsidP="004F7D79">
            <w:pPr>
              <w:pStyle w:val="Source"/>
              <w:keepNext/>
            </w:pPr>
            <w:r>
              <w:rPr>
                <w:i/>
              </w:rPr>
              <w:t>S</w:t>
            </w:r>
            <w:r w:rsidR="005C0535" w:rsidRPr="00784A05">
              <w:rPr>
                <w:i/>
              </w:rPr>
              <w:t>ource</w:t>
            </w:r>
            <w:r w:rsidR="005C0535" w:rsidRPr="00176D3F">
              <w:t xml:space="preserve">: </w:t>
            </w:r>
            <w:r w:rsidR="00D217E8" w:rsidRPr="00D217E8">
              <w:t xml:space="preserve">AIHW (2014), </w:t>
            </w:r>
            <w:r w:rsidR="00D217E8" w:rsidRPr="00D217E8">
              <w:rPr>
                <w:i/>
              </w:rPr>
              <w:t>Australian Hospital Statistics 2012-13</w:t>
            </w:r>
            <w:r w:rsidR="00D217E8" w:rsidRPr="00D217E8">
              <w:t>, Health Services Series No. 54, Cat no.</w:t>
            </w:r>
            <w:r w:rsidR="009551A6">
              <w:t> </w:t>
            </w:r>
            <w:r w:rsidR="00D217E8" w:rsidRPr="00D217E8">
              <w:t>HSE</w:t>
            </w:r>
            <w:r w:rsidR="00DF1228">
              <w:t> </w:t>
            </w:r>
            <w:r w:rsidR="00D217E8" w:rsidRPr="00D217E8">
              <w:t>145</w:t>
            </w:r>
            <w:r w:rsidR="00E9094C" w:rsidRPr="00E9094C">
              <w:t>; table 11A.</w:t>
            </w:r>
            <w:r w:rsidR="007E1F41">
              <w:t>5</w:t>
            </w:r>
            <w:r w:rsidR="004F7D79">
              <w:t>5</w:t>
            </w:r>
            <w:r w:rsidR="00E9094C" w:rsidRPr="00E9094C">
              <w:t>.</w:t>
            </w:r>
          </w:p>
        </w:tc>
      </w:tr>
      <w:tr w:rsidR="005C0535" w:rsidTr="005C0535">
        <w:tc>
          <w:tcPr>
            <w:tcW w:w="8771" w:type="dxa"/>
            <w:tcBorders>
              <w:top w:val="nil"/>
              <w:left w:val="nil"/>
              <w:bottom w:val="single" w:sz="6" w:space="0" w:color="78A22F"/>
              <w:right w:val="nil"/>
            </w:tcBorders>
            <w:shd w:val="clear" w:color="auto" w:fill="auto"/>
          </w:tcPr>
          <w:p w:rsidR="005C0535" w:rsidRDefault="005C0535" w:rsidP="005C0535">
            <w:pPr>
              <w:pStyle w:val="Figurespace"/>
            </w:pPr>
          </w:p>
        </w:tc>
      </w:tr>
      <w:tr w:rsidR="005C0535" w:rsidRPr="000863A5" w:rsidTr="005C0535">
        <w:tc>
          <w:tcPr>
            <w:tcW w:w="8771" w:type="dxa"/>
            <w:tcBorders>
              <w:top w:val="single" w:sz="6" w:space="0" w:color="78A22F"/>
              <w:left w:val="nil"/>
              <w:bottom w:val="nil"/>
              <w:right w:val="nil"/>
            </w:tcBorders>
          </w:tcPr>
          <w:p w:rsidR="005C0535" w:rsidRPr="00626D32" w:rsidRDefault="005C0535" w:rsidP="005C0535">
            <w:pPr>
              <w:pStyle w:val="BoxSpaceBelow"/>
            </w:pPr>
          </w:p>
        </w:tc>
      </w:tr>
    </w:tbl>
    <w:p w:rsidR="00A7155A" w:rsidRPr="00ED6769" w:rsidRDefault="00A7155A" w:rsidP="00A7155A">
      <w:pPr>
        <w:pStyle w:val="BodyText"/>
      </w:pPr>
      <w:r w:rsidRPr="00ED6769">
        <w:t>Falls resulting in patient harm occurring in hospitals could be underestimated as the place of occurrence was not reporte</w:t>
      </w:r>
      <w:r>
        <w:t>d (or unspecified) for about 26 </w:t>
      </w:r>
      <w:r w:rsidRPr="00ED6769">
        <w:t>per cent of separations with an external cause of injury of falls (AIHW 2014</w:t>
      </w:r>
      <w:r>
        <w:t>a</w:t>
      </w:r>
      <w:r w:rsidRPr="00ED6769">
        <w:t xml:space="preserve">). </w:t>
      </w:r>
    </w:p>
    <w:p w:rsidR="00A7155A" w:rsidRDefault="00A7155A" w:rsidP="00A7155A">
      <w:pPr>
        <w:pStyle w:val="BodyText"/>
      </w:pPr>
      <w:r w:rsidRPr="00ED6769">
        <w:t>Falls could also be overestimated</w:t>
      </w:r>
      <w:r>
        <w:t>,</w:t>
      </w:r>
      <w:r w:rsidRPr="00ED6769">
        <w:t xml:space="preserve"> as it is not currently possible to identify falls specifically occurring in hospitals. Currently</w:t>
      </w:r>
      <w:r>
        <w:t>,</w:t>
      </w:r>
      <w:r w:rsidRPr="00ED6769">
        <w:t xml:space="preserve"> the data identif</w:t>
      </w:r>
      <w:r>
        <w:t>y</w:t>
      </w:r>
      <w:r w:rsidRPr="00ED6769">
        <w:t xml:space="preserve"> falls occurring in any health service </w:t>
      </w:r>
      <w:r>
        <w:t>setting</w:t>
      </w:r>
      <w:r w:rsidRPr="00ED6769">
        <w:t xml:space="preserve">, including day surgery centres or hospices. However, to minimise the inclusion of </w:t>
      </w:r>
      <w:r w:rsidRPr="00ED6769">
        <w:lastRenderedPageBreak/>
        <w:t>falls that occurred before admission, separations with an injury or poisoning principal diagnosis are excluded.</w:t>
      </w:r>
      <w:r w:rsidRPr="000C2EAC">
        <w:t xml:space="preserve"> </w:t>
      </w:r>
    </w:p>
    <w:p w:rsidR="00A376A3" w:rsidRDefault="00A376A3" w:rsidP="00A376A3">
      <w:pPr>
        <w:pStyle w:val="Heading4"/>
      </w:pPr>
      <w:r>
        <w:t>Responsiveness</w:t>
      </w:r>
    </w:p>
    <w:p w:rsidR="00A376A3" w:rsidRDefault="00A376A3" w:rsidP="00A376A3">
      <w:pPr>
        <w:pStyle w:val="BodyText"/>
      </w:pPr>
      <w:r>
        <w:t xml:space="preserve">The Steering Committee has identified the responsiveness of public hospitals as an area for development in future Reports. </w:t>
      </w:r>
    </w:p>
    <w:p w:rsidR="00A376A3" w:rsidRDefault="00A376A3" w:rsidP="00A376A3">
      <w:pPr>
        <w:pStyle w:val="Heading4"/>
      </w:pPr>
      <w:r>
        <w:t>Continuity — continuity of care</w:t>
      </w:r>
    </w:p>
    <w:p w:rsidR="00F52876" w:rsidRDefault="00A376A3" w:rsidP="00A376A3">
      <w:pPr>
        <w:pStyle w:val="BodyText"/>
      </w:pPr>
      <w:r>
        <w:t>‘Continuity of care’ is an indicator of governments’ objective to provide public hospital services that are of high quality (box 11.9).</w:t>
      </w:r>
    </w:p>
    <w:p w:rsidR="00A376A3" w:rsidRDefault="00A376A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376A3" w:rsidTr="00A376A3">
        <w:tc>
          <w:tcPr>
            <w:tcW w:w="8771" w:type="dxa"/>
            <w:tcBorders>
              <w:top w:val="single" w:sz="6" w:space="0" w:color="78A22F"/>
              <w:left w:val="nil"/>
              <w:bottom w:val="nil"/>
              <w:right w:val="nil"/>
            </w:tcBorders>
            <w:shd w:val="clear" w:color="auto" w:fill="F2F2F2"/>
          </w:tcPr>
          <w:p w:rsidR="00A376A3" w:rsidRDefault="00A376A3">
            <w:pPr>
              <w:pStyle w:val="BoxTitle"/>
            </w:pPr>
            <w:r>
              <w:rPr>
                <w:b w:val="0"/>
              </w:rPr>
              <w:t>Box 11.</w:t>
            </w:r>
            <w:r w:rsidR="009A53E9">
              <w:rPr>
                <w:b w:val="0"/>
                <w:noProof/>
              </w:rPr>
              <w:t>9</w:t>
            </w:r>
            <w:r>
              <w:tab/>
            </w:r>
            <w:r w:rsidRPr="00A376A3">
              <w:t>Continuity of care</w:t>
            </w:r>
          </w:p>
        </w:tc>
      </w:tr>
      <w:tr w:rsidR="00A376A3" w:rsidTr="00A376A3">
        <w:trPr>
          <w:cantSplit/>
        </w:trPr>
        <w:tc>
          <w:tcPr>
            <w:tcW w:w="8771" w:type="dxa"/>
            <w:tcBorders>
              <w:top w:val="nil"/>
              <w:left w:val="nil"/>
              <w:bottom w:val="nil"/>
              <w:right w:val="nil"/>
            </w:tcBorders>
            <w:shd w:val="clear" w:color="auto" w:fill="F2F2F2"/>
          </w:tcPr>
          <w:p w:rsidR="00A376A3" w:rsidRDefault="00A376A3" w:rsidP="00A376A3">
            <w:pPr>
              <w:pStyle w:val="Box"/>
            </w:pPr>
            <w:r>
              <w:t>‘Continuity of care’ measures the provision of uninterrupted, timely, coordinated healthcare, interventions and actions across programs, practitioners and organisations.</w:t>
            </w:r>
          </w:p>
          <w:p w:rsidR="00A376A3" w:rsidRDefault="00A376A3" w:rsidP="00A376A3">
            <w:pPr>
              <w:pStyle w:val="Box"/>
            </w:pPr>
            <w:r>
              <w:t>Continuity of care has been identified as a key area for development in future Reports.</w:t>
            </w:r>
          </w:p>
        </w:tc>
      </w:tr>
      <w:tr w:rsidR="00A376A3" w:rsidTr="00A376A3">
        <w:trPr>
          <w:cantSplit/>
        </w:trPr>
        <w:tc>
          <w:tcPr>
            <w:tcW w:w="8771" w:type="dxa"/>
            <w:tcBorders>
              <w:top w:val="nil"/>
              <w:left w:val="nil"/>
              <w:bottom w:val="single" w:sz="6" w:space="0" w:color="78A22F"/>
              <w:right w:val="nil"/>
            </w:tcBorders>
            <w:shd w:val="clear" w:color="auto" w:fill="F2F2F2"/>
          </w:tcPr>
          <w:p w:rsidR="00A376A3" w:rsidRDefault="00A376A3">
            <w:pPr>
              <w:pStyle w:val="Box"/>
              <w:spacing w:before="0" w:line="120" w:lineRule="exact"/>
            </w:pPr>
          </w:p>
        </w:tc>
      </w:tr>
      <w:tr w:rsidR="00A376A3" w:rsidRPr="000863A5" w:rsidTr="00A376A3">
        <w:tc>
          <w:tcPr>
            <w:tcW w:w="8771" w:type="dxa"/>
            <w:tcBorders>
              <w:top w:val="single" w:sz="6" w:space="0" w:color="78A22F"/>
              <w:left w:val="nil"/>
              <w:bottom w:val="nil"/>
              <w:right w:val="nil"/>
            </w:tcBorders>
          </w:tcPr>
          <w:p w:rsidR="00A376A3" w:rsidRPr="00626D32" w:rsidRDefault="00A376A3" w:rsidP="00A376A3">
            <w:pPr>
              <w:pStyle w:val="BoxSpaceBelow"/>
            </w:pPr>
          </w:p>
        </w:tc>
      </w:tr>
    </w:tbl>
    <w:p w:rsidR="00A376A3" w:rsidRDefault="00A376A3" w:rsidP="00A376A3">
      <w:pPr>
        <w:pStyle w:val="Heading3"/>
      </w:pPr>
      <w:r>
        <w:t>Sustainability</w:t>
      </w:r>
    </w:p>
    <w:p w:rsidR="00A376A3" w:rsidRDefault="00A376A3" w:rsidP="00A376A3">
      <w:pPr>
        <w:pStyle w:val="Heading4"/>
      </w:pPr>
      <w:r>
        <w:t>Workforce sustainability</w:t>
      </w:r>
    </w:p>
    <w:p w:rsidR="00A376A3" w:rsidRDefault="00A376A3" w:rsidP="00A376A3">
      <w:pPr>
        <w:pStyle w:val="BodyText"/>
      </w:pPr>
      <w:r>
        <w:t>‘Workforce sustainability’ is an indicator of governments’ objective to provide sustainable public hospital services (box 11.10). Labour, particularly nurses and medical practitioners, is the most significant and costly resource used in providing public hospital services (figure 11.2</w:t>
      </w:r>
      <w:r w:rsidR="003D442B">
        <w:t>3</w:t>
      </w:r>
      <w:r>
        <w:t xml:space="preserve">), and the sustainability of the workforce helps determine whether problems might arise in the future delivery of public hospital services. </w:t>
      </w:r>
    </w:p>
    <w:p w:rsidR="007F028B" w:rsidRDefault="007F028B" w:rsidP="007F028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F028B" w:rsidTr="004E023B">
        <w:tc>
          <w:tcPr>
            <w:tcW w:w="8771" w:type="dxa"/>
            <w:tcBorders>
              <w:top w:val="single" w:sz="6" w:space="0" w:color="78A22F"/>
              <w:left w:val="nil"/>
              <w:bottom w:val="nil"/>
              <w:right w:val="nil"/>
            </w:tcBorders>
            <w:shd w:val="clear" w:color="auto" w:fill="F2F2F2"/>
          </w:tcPr>
          <w:p w:rsidR="007F028B" w:rsidRDefault="007F028B" w:rsidP="004E023B">
            <w:pPr>
              <w:pStyle w:val="BoxTitle"/>
            </w:pPr>
            <w:r>
              <w:rPr>
                <w:b w:val="0"/>
              </w:rPr>
              <w:t>Box 11.</w:t>
            </w:r>
            <w:r>
              <w:rPr>
                <w:b w:val="0"/>
                <w:noProof/>
              </w:rPr>
              <w:t>10</w:t>
            </w:r>
            <w:r>
              <w:tab/>
            </w:r>
            <w:r w:rsidRPr="00A376A3">
              <w:t>Workforce sustainability</w:t>
            </w:r>
          </w:p>
        </w:tc>
      </w:tr>
      <w:tr w:rsidR="007F028B" w:rsidTr="004E023B">
        <w:trPr>
          <w:cantSplit/>
        </w:trPr>
        <w:tc>
          <w:tcPr>
            <w:tcW w:w="8771" w:type="dxa"/>
            <w:tcBorders>
              <w:top w:val="nil"/>
              <w:left w:val="nil"/>
              <w:bottom w:val="nil"/>
              <w:right w:val="nil"/>
            </w:tcBorders>
            <w:shd w:val="clear" w:color="auto" w:fill="F2F2F2"/>
          </w:tcPr>
          <w:p w:rsidR="007F028B" w:rsidRDefault="007F028B" w:rsidP="004E023B">
            <w:pPr>
              <w:pStyle w:val="Box"/>
            </w:pPr>
            <w:r>
              <w:t>‘Workforce sustainability’ reports age profiles for nurse and medical practitioner workforces. It shows the proportions of registered nurses and medical practitioners in ten year age brackets, by jurisdiction and by region.</w:t>
            </w:r>
          </w:p>
          <w:p w:rsidR="007F028B" w:rsidRDefault="007F028B" w:rsidP="004E023B">
            <w:pPr>
              <w:pStyle w:val="Box"/>
            </w:pPr>
            <w:r>
              <w:t xml:space="preserve">High or increasing proportions of the workforce that are new entrants and/or low or decreasing proportions of the workforce that are close to retirement is desirable. </w:t>
            </w:r>
          </w:p>
          <w:p w:rsidR="007F028B" w:rsidRDefault="007F028B" w:rsidP="004E023B">
            <w:pPr>
              <w:pStyle w:val="Box"/>
            </w:pPr>
            <w:r>
              <w:t xml:space="preserve">All nurses (including midwives) and medical practitioners in the workforce are included in these measures, as crude indicators of the potential respective workforces for public hospitals. </w:t>
            </w:r>
          </w:p>
          <w:p w:rsidR="007F028B" w:rsidRDefault="007F028B" w:rsidP="007F028B">
            <w:pPr>
              <w:pStyle w:val="Continued"/>
            </w:pPr>
            <w:r>
              <w:t>(Continued on next page)</w:t>
            </w:r>
          </w:p>
        </w:tc>
      </w:tr>
      <w:tr w:rsidR="007F028B" w:rsidTr="004E023B">
        <w:trPr>
          <w:cantSplit/>
        </w:trPr>
        <w:tc>
          <w:tcPr>
            <w:tcW w:w="8771" w:type="dxa"/>
            <w:tcBorders>
              <w:top w:val="nil"/>
              <w:left w:val="nil"/>
              <w:bottom w:val="single" w:sz="6" w:space="0" w:color="78A22F"/>
              <w:right w:val="nil"/>
            </w:tcBorders>
            <w:shd w:val="clear" w:color="auto" w:fill="F2F2F2"/>
          </w:tcPr>
          <w:p w:rsidR="007F028B" w:rsidRDefault="007F028B" w:rsidP="004E023B">
            <w:pPr>
              <w:pStyle w:val="Box"/>
              <w:spacing w:before="0" w:line="120" w:lineRule="exact"/>
            </w:pPr>
          </w:p>
        </w:tc>
      </w:tr>
      <w:tr w:rsidR="007F028B" w:rsidRPr="000863A5" w:rsidTr="004E023B">
        <w:tc>
          <w:tcPr>
            <w:tcW w:w="8771" w:type="dxa"/>
            <w:tcBorders>
              <w:top w:val="single" w:sz="6" w:space="0" w:color="78A22F"/>
              <w:left w:val="nil"/>
              <w:bottom w:val="nil"/>
              <w:right w:val="nil"/>
            </w:tcBorders>
          </w:tcPr>
          <w:p w:rsidR="007F028B" w:rsidRPr="00626D32" w:rsidRDefault="007F028B" w:rsidP="004E023B">
            <w:pPr>
              <w:pStyle w:val="BoxSpaceBelow"/>
            </w:pPr>
          </w:p>
        </w:tc>
      </w:tr>
    </w:tbl>
    <w:p w:rsidR="00A376A3" w:rsidRDefault="00A376A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376A3" w:rsidTr="00A376A3">
        <w:tc>
          <w:tcPr>
            <w:tcW w:w="8771" w:type="dxa"/>
            <w:tcBorders>
              <w:top w:val="single" w:sz="6" w:space="0" w:color="78A22F"/>
              <w:left w:val="nil"/>
              <w:bottom w:val="nil"/>
              <w:right w:val="nil"/>
            </w:tcBorders>
            <w:shd w:val="clear" w:color="auto" w:fill="F2F2F2"/>
          </w:tcPr>
          <w:p w:rsidR="00A376A3" w:rsidRDefault="00A376A3" w:rsidP="007F028B">
            <w:pPr>
              <w:pStyle w:val="BoxTitle"/>
            </w:pPr>
            <w:r>
              <w:rPr>
                <w:b w:val="0"/>
              </w:rPr>
              <w:t>Box 11.</w:t>
            </w:r>
            <w:r w:rsidR="007F028B">
              <w:rPr>
                <w:b w:val="0"/>
              </w:rPr>
              <w:t>10</w:t>
            </w:r>
            <w:r>
              <w:tab/>
            </w:r>
            <w:r w:rsidR="007F028B" w:rsidRPr="007F028B">
              <w:rPr>
                <w:sz w:val="18"/>
                <w:szCs w:val="18"/>
              </w:rPr>
              <w:t>(continued</w:t>
            </w:r>
            <w:r w:rsidR="007F028B">
              <w:rPr>
                <w:sz w:val="18"/>
                <w:szCs w:val="18"/>
              </w:rPr>
              <w:t>)</w:t>
            </w:r>
          </w:p>
        </w:tc>
      </w:tr>
      <w:tr w:rsidR="00A376A3" w:rsidTr="00A376A3">
        <w:trPr>
          <w:cantSplit/>
        </w:trPr>
        <w:tc>
          <w:tcPr>
            <w:tcW w:w="8771" w:type="dxa"/>
            <w:tcBorders>
              <w:top w:val="nil"/>
              <w:left w:val="nil"/>
              <w:bottom w:val="nil"/>
              <w:right w:val="nil"/>
            </w:tcBorders>
            <w:shd w:val="clear" w:color="auto" w:fill="F2F2F2"/>
          </w:tcPr>
          <w:p w:rsidR="00A376A3" w:rsidRDefault="00A376A3" w:rsidP="00A376A3">
            <w:pPr>
              <w:pStyle w:val="Box"/>
            </w:pPr>
            <w:r>
              <w:t>These measures are not a substitute for a full workforce analysis that allows for migration, trends in full-time work and expected demand increases. They can, however, indicate that further attention should be given to workforce sustainability for public hospitals.</w:t>
            </w:r>
          </w:p>
          <w:p w:rsidR="00A376A3" w:rsidRDefault="00A376A3" w:rsidP="00A376A3">
            <w:pPr>
              <w:pStyle w:val="Box"/>
            </w:pPr>
            <w:r>
              <w:t>Data reported for this indicator are:</w:t>
            </w:r>
          </w:p>
          <w:p w:rsidR="00A376A3" w:rsidRDefault="00A376A3" w:rsidP="00A376A3">
            <w:pPr>
              <w:pStyle w:val="BoxListBullet"/>
            </w:pPr>
            <w:r>
              <w:t xml:space="preserve">comparable (subject to caveats) across jurisdictions and over time </w:t>
            </w:r>
          </w:p>
          <w:p w:rsidR="00A376A3" w:rsidRDefault="00A376A3" w:rsidP="00A376A3">
            <w:pPr>
              <w:pStyle w:val="BoxListBullet"/>
            </w:pPr>
            <w:r>
              <w:t>complete (subject to caveats) for the current reporting period. All required 201</w:t>
            </w:r>
            <w:r w:rsidR="00C21C9F">
              <w:t>3</w:t>
            </w:r>
            <w:r>
              <w:t xml:space="preserve"> data are available for all jurisdictions.</w:t>
            </w:r>
          </w:p>
          <w:p w:rsidR="00A376A3" w:rsidRDefault="00CB26A6" w:rsidP="00CB26A6">
            <w:pPr>
              <w:pStyle w:val="Box"/>
            </w:pPr>
            <w:r w:rsidRPr="00CB26A6">
              <w:t>Data quality</w:t>
            </w:r>
            <w:r>
              <w:t xml:space="preserve"> information for this indicator</w:t>
            </w:r>
            <w:r w:rsidRPr="00CB26A6">
              <w:t xml:space="preserve"> </w:t>
            </w:r>
            <w:r w:rsidR="008C0550">
              <w:t>is at www.pc.gov.au</w:t>
            </w:r>
            <w:r w:rsidRPr="00CB26A6">
              <w:t>/rogs/2015.</w:t>
            </w:r>
          </w:p>
        </w:tc>
      </w:tr>
      <w:tr w:rsidR="00A376A3" w:rsidTr="00A376A3">
        <w:trPr>
          <w:cantSplit/>
        </w:trPr>
        <w:tc>
          <w:tcPr>
            <w:tcW w:w="8771" w:type="dxa"/>
            <w:tcBorders>
              <w:top w:val="nil"/>
              <w:left w:val="nil"/>
              <w:bottom w:val="single" w:sz="6" w:space="0" w:color="78A22F"/>
              <w:right w:val="nil"/>
            </w:tcBorders>
            <w:shd w:val="clear" w:color="auto" w:fill="F2F2F2"/>
          </w:tcPr>
          <w:p w:rsidR="00A376A3" w:rsidRDefault="00A376A3">
            <w:pPr>
              <w:pStyle w:val="Box"/>
              <w:spacing w:before="0" w:line="120" w:lineRule="exact"/>
            </w:pPr>
          </w:p>
        </w:tc>
      </w:tr>
      <w:tr w:rsidR="00A376A3" w:rsidRPr="000863A5" w:rsidTr="00A376A3">
        <w:tc>
          <w:tcPr>
            <w:tcW w:w="8771" w:type="dxa"/>
            <w:tcBorders>
              <w:top w:val="single" w:sz="6" w:space="0" w:color="78A22F"/>
              <w:left w:val="nil"/>
              <w:bottom w:val="nil"/>
              <w:right w:val="nil"/>
            </w:tcBorders>
          </w:tcPr>
          <w:p w:rsidR="00A376A3" w:rsidRPr="00626D32" w:rsidRDefault="00A376A3" w:rsidP="00A376A3">
            <w:pPr>
              <w:pStyle w:val="BoxSpaceBelow"/>
            </w:pPr>
          </w:p>
        </w:tc>
      </w:tr>
    </w:tbl>
    <w:p w:rsidR="007F028B" w:rsidRDefault="007F028B" w:rsidP="007F028B">
      <w:pPr>
        <w:pStyle w:val="BodyText"/>
      </w:pPr>
      <w:r>
        <w:t>The sustainability of the public hospital workforce is affected by a number of factors; in particular, whether the number of new entrants are sufficient to maintain the existing workforce, and the proportion of the workforce that is close to retirement.</w:t>
      </w:r>
    </w:p>
    <w:p w:rsidR="00A376A3" w:rsidRDefault="00A376A3" w:rsidP="0083330D">
      <w:pPr>
        <w:pStyle w:val="BodyText"/>
      </w:pPr>
      <w:r w:rsidRPr="00A376A3">
        <w:t>The age profile of the nursing workforce (which includes midwives) for 201</w:t>
      </w:r>
      <w:r w:rsidR="005F067D">
        <w:t>3</w:t>
      </w:r>
      <w:r w:rsidRPr="00A376A3">
        <w:t xml:space="preserve"> for each jurisdiction is shown in figure 11.1</w:t>
      </w:r>
      <w:r w:rsidR="000D26EC">
        <w:t>7</w:t>
      </w:r>
      <w:r w:rsidRPr="0032683D">
        <w:t xml:space="preserve">. </w:t>
      </w:r>
      <w:r w:rsidR="005A20A9" w:rsidRPr="0083330D">
        <w:t xml:space="preserve">Nationally, 15.9 per cent of the nursing workforce was aged under 30 years and 10.6 per cent were aged 60 years and over. </w:t>
      </w:r>
    </w:p>
    <w:p w:rsidR="00A376A3" w:rsidRDefault="00A376A3" w:rsidP="00A376A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376A3" w:rsidTr="00A376A3">
        <w:tc>
          <w:tcPr>
            <w:tcW w:w="8771" w:type="dxa"/>
            <w:tcBorders>
              <w:top w:val="single" w:sz="6" w:space="0" w:color="78A22F"/>
              <w:left w:val="nil"/>
              <w:bottom w:val="nil"/>
              <w:right w:val="nil"/>
            </w:tcBorders>
            <w:shd w:val="clear" w:color="auto" w:fill="auto"/>
          </w:tcPr>
          <w:p w:rsidR="00A376A3" w:rsidRPr="00176D3F" w:rsidRDefault="00A376A3" w:rsidP="00A376A3">
            <w:pPr>
              <w:pStyle w:val="FigureTitle"/>
            </w:pPr>
            <w:r w:rsidRPr="00784A05">
              <w:rPr>
                <w:b w:val="0"/>
              </w:rPr>
              <w:t xml:space="preserve">Figure </w:t>
            </w:r>
            <w:r w:rsidR="000D26EC">
              <w:rPr>
                <w:b w:val="0"/>
              </w:rPr>
              <w:t>11.</w:t>
            </w:r>
            <w:r w:rsidR="009A53E9">
              <w:rPr>
                <w:b w:val="0"/>
                <w:noProof/>
              </w:rPr>
              <w:t>17</w:t>
            </w:r>
            <w:r>
              <w:tab/>
            </w:r>
            <w:r w:rsidRPr="00A376A3">
              <w:t>Nursing workforce, by age group, 201</w:t>
            </w:r>
            <w:r>
              <w:t>3</w:t>
            </w:r>
            <w:r w:rsidRPr="00A376A3">
              <w:rPr>
                <w:rStyle w:val="NoteLabel"/>
                <w:b/>
                <w:szCs w:val="20"/>
              </w:rPr>
              <w:t>a, b</w:t>
            </w:r>
          </w:p>
        </w:tc>
      </w:tr>
      <w:tr w:rsidR="00A376A3" w:rsidTr="00A376A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376A3" w:rsidTr="00A376A3">
              <w:trPr>
                <w:jc w:val="center"/>
              </w:trPr>
              <w:tc>
                <w:tcPr>
                  <w:tcW w:w="5000" w:type="pct"/>
                  <w:tcBorders>
                    <w:top w:val="nil"/>
                    <w:bottom w:val="nil"/>
                  </w:tcBorders>
                </w:tcPr>
                <w:p w:rsidR="00A376A3" w:rsidRDefault="001F000D" w:rsidP="00A376A3">
                  <w:pPr>
                    <w:pStyle w:val="Figure"/>
                    <w:spacing w:before="60" w:after="60"/>
                  </w:pPr>
                  <w:r>
                    <w:rPr>
                      <w:noProof/>
                    </w:rPr>
                    <w:drawing>
                      <wp:inline distT="0" distB="0" distL="0" distR="0" wp14:anchorId="572A3AAF" wp14:editId="0A1A305B">
                        <wp:extent cx="5391150" cy="2705100"/>
                        <wp:effectExtent l="0" t="0" r="0" b="0"/>
                        <wp:docPr id="20" name="Picture 20" descr="Figure 11.17 Nursing workforce, by age group,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A376A3" w:rsidRDefault="00A376A3" w:rsidP="00A376A3">
            <w:pPr>
              <w:pStyle w:val="Figure"/>
            </w:pPr>
          </w:p>
        </w:tc>
      </w:tr>
      <w:tr w:rsidR="00A376A3" w:rsidRPr="00176D3F" w:rsidTr="00A376A3">
        <w:tc>
          <w:tcPr>
            <w:tcW w:w="8771" w:type="dxa"/>
            <w:tcBorders>
              <w:top w:val="nil"/>
              <w:left w:val="nil"/>
              <w:bottom w:val="nil"/>
              <w:right w:val="nil"/>
            </w:tcBorders>
            <w:shd w:val="clear" w:color="auto" w:fill="auto"/>
          </w:tcPr>
          <w:p w:rsidR="00A376A3" w:rsidRPr="00176D3F" w:rsidRDefault="00A376A3" w:rsidP="00DF1228">
            <w:pPr>
              <w:pStyle w:val="Note"/>
            </w:pPr>
            <w:r>
              <w:rPr>
                <w:rStyle w:val="NoteLabel"/>
              </w:rPr>
              <w:t>a</w:t>
            </w:r>
            <w:r w:rsidRPr="00A376A3">
              <w:t xml:space="preserve"> Includes registered and enrolled nurses (including midwives) who are employed in nursing, nurses who are registered but on extended leave and nurses who are registered and looking for work in nursing. </w:t>
            </w:r>
            <w:r w:rsidRPr="00A376A3">
              <w:rPr>
                <w:rStyle w:val="NoteLabel"/>
              </w:rPr>
              <w:t>b</w:t>
            </w:r>
            <w:r w:rsidR="00DF1228">
              <w:rPr>
                <w:rStyle w:val="NoteLabel"/>
              </w:rPr>
              <w:t> </w:t>
            </w:r>
            <w:r w:rsidRPr="00A376A3">
              <w:t xml:space="preserve">State and </w:t>
            </w:r>
            <w:r w:rsidR="00DF1228" w:rsidRPr="00A376A3">
              <w:t xml:space="preserve">Territory </w:t>
            </w:r>
            <w:r w:rsidRPr="00A376A3">
              <w:t xml:space="preserve">is derived from </w:t>
            </w:r>
            <w:r w:rsidR="00DF1228" w:rsidRPr="00A376A3">
              <w:t xml:space="preserve">State </w:t>
            </w:r>
            <w:r w:rsidRPr="00A376A3">
              <w:t xml:space="preserve">and </w:t>
            </w:r>
            <w:r w:rsidR="00DF1228" w:rsidRPr="00A376A3">
              <w:t xml:space="preserve">Territory </w:t>
            </w:r>
            <w:r w:rsidRPr="00A376A3">
              <w:t xml:space="preserve">of main job where available; otherwise </w:t>
            </w:r>
            <w:r w:rsidR="00DF1228" w:rsidRPr="00A376A3">
              <w:t xml:space="preserve">State </w:t>
            </w:r>
            <w:r w:rsidRPr="00A376A3">
              <w:t xml:space="preserve">and </w:t>
            </w:r>
            <w:r w:rsidR="00DF1228" w:rsidRPr="00A376A3">
              <w:t xml:space="preserve">Territory </w:t>
            </w:r>
            <w:r w:rsidRPr="00A376A3">
              <w:t xml:space="preserve">of principal practice is used as a proxy. If principal practice details are unavailable, </w:t>
            </w:r>
            <w:r w:rsidR="00DF1228" w:rsidRPr="00A376A3">
              <w:t xml:space="preserve">State </w:t>
            </w:r>
            <w:r w:rsidRPr="00A376A3">
              <w:t xml:space="preserve">and </w:t>
            </w:r>
            <w:r w:rsidR="00DF1228" w:rsidRPr="00A376A3">
              <w:t xml:space="preserve">Territory </w:t>
            </w:r>
            <w:r w:rsidRPr="00A376A3">
              <w:t>of residence is used. Records with no information on all three locations are coded to ‘Not stated’.</w:t>
            </w:r>
          </w:p>
        </w:tc>
      </w:tr>
      <w:tr w:rsidR="00A376A3" w:rsidRPr="00176D3F" w:rsidTr="00A376A3">
        <w:tc>
          <w:tcPr>
            <w:tcW w:w="8771" w:type="dxa"/>
            <w:tcBorders>
              <w:top w:val="nil"/>
              <w:left w:val="nil"/>
              <w:bottom w:val="nil"/>
              <w:right w:val="nil"/>
            </w:tcBorders>
            <w:shd w:val="clear" w:color="auto" w:fill="auto"/>
          </w:tcPr>
          <w:p w:rsidR="00A376A3" w:rsidRPr="00176D3F" w:rsidRDefault="00A376A3" w:rsidP="004F7D79">
            <w:pPr>
              <w:pStyle w:val="Source"/>
            </w:pPr>
            <w:r>
              <w:rPr>
                <w:i/>
              </w:rPr>
              <w:t>S</w:t>
            </w:r>
            <w:r w:rsidRPr="00784A05">
              <w:rPr>
                <w:i/>
              </w:rPr>
              <w:t>ource</w:t>
            </w:r>
            <w:r w:rsidRPr="00176D3F">
              <w:t xml:space="preserve">: </w:t>
            </w:r>
            <w:r w:rsidRPr="00A376A3">
              <w:t>AIHW (unpublished) National Health Workforce Data Set; table 11A.5</w:t>
            </w:r>
            <w:r w:rsidR="004F7D79">
              <w:t>7</w:t>
            </w:r>
            <w:r w:rsidRPr="00A376A3">
              <w:t>.</w:t>
            </w:r>
          </w:p>
        </w:tc>
      </w:tr>
      <w:tr w:rsidR="00A376A3" w:rsidTr="00A376A3">
        <w:tc>
          <w:tcPr>
            <w:tcW w:w="8771" w:type="dxa"/>
            <w:tcBorders>
              <w:top w:val="nil"/>
              <w:left w:val="nil"/>
              <w:bottom w:val="single" w:sz="6" w:space="0" w:color="78A22F"/>
              <w:right w:val="nil"/>
            </w:tcBorders>
            <w:shd w:val="clear" w:color="auto" w:fill="auto"/>
          </w:tcPr>
          <w:p w:rsidR="00A376A3" w:rsidRDefault="00A376A3" w:rsidP="00A376A3">
            <w:pPr>
              <w:pStyle w:val="Figurespace"/>
            </w:pPr>
          </w:p>
        </w:tc>
      </w:tr>
      <w:tr w:rsidR="00A376A3" w:rsidRPr="000863A5" w:rsidTr="00A376A3">
        <w:tc>
          <w:tcPr>
            <w:tcW w:w="8771" w:type="dxa"/>
            <w:tcBorders>
              <w:top w:val="single" w:sz="6" w:space="0" w:color="78A22F"/>
              <w:left w:val="nil"/>
              <w:bottom w:val="nil"/>
              <w:right w:val="nil"/>
            </w:tcBorders>
          </w:tcPr>
          <w:p w:rsidR="00A376A3" w:rsidRPr="00626D32" w:rsidRDefault="00A376A3" w:rsidP="00A376A3">
            <w:pPr>
              <w:pStyle w:val="BoxSpaceBelow"/>
            </w:pPr>
          </w:p>
        </w:tc>
      </w:tr>
    </w:tbl>
    <w:p w:rsidR="007F028B" w:rsidRDefault="007F028B" w:rsidP="007F028B">
      <w:pPr>
        <w:pStyle w:val="BodyText"/>
      </w:pPr>
      <w:r w:rsidRPr="0083330D">
        <w:lastRenderedPageBreak/>
        <w:t>Almost three quarters of the workforce was aged between 30 and 59 years. Nursing</w:t>
      </w:r>
      <w:r w:rsidRPr="00A376A3">
        <w:t xml:space="preserve"> workforce data by remoteness area for 201</w:t>
      </w:r>
      <w:r>
        <w:t>3</w:t>
      </w:r>
      <w:r w:rsidRPr="00A376A3">
        <w:t xml:space="preserve"> are shown in figure 11.1</w:t>
      </w:r>
      <w:r>
        <w:t>8</w:t>
      </w:r>
      <w:r w:rsidRPr="00A376A3">
        <w:t>.</w:t>
      </w:r>
    </w:p>
    <w:p w:rsidR="00A376A3" w:rsidRDefault="00A376A3" w:rsidP="00980FDB">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376A3" w:rsidTr="00A376A3">
        <w:tc>
          <w:tcPr>
            <w:tcW w:w="8771" w:type="dxa"/>
            <w:tcBorders>
              <w:top w:val="single" w:sz="6" w:space="0" w:color="78A22F"/>
              <w:left w:val="nil"/>
              <w:bottom w:val="nil"/>
              <w:right w:val="nil"/>
            </w:tcBorders>
            <w:shd w:val="clear" w:color="auto" w:fill="auto"/>
          </w:tcPr>
          <w:p w:rsidR="00A376A3" w:rsidRPr="00176D3F" w:rsidRDefault="00A376A3" w:rsidP="00980FDB">
            <w:pPr>
              <w:pStyle w:val="FigureTitle"/>
            </w:pPr>
            <w:r w:rsidRPr="00784A05">
              <w:rPr>
                <w:b w:val="0"/>
              </w:rPr>
              <w:t xml:space="preserve">Figure </w:t>
            </w:r>
            <w:r w:rsidR="000D26EC">
              <w:rPr>
                <w:b w:val="0"/>
              </w:rPr>
              <w:t>11.</w:t>
            </w:r>
            <w:r w:rsidR="009A53E9">
              <w:rPr>
                <w:b w:val="0"/>
                <w:noProof/>
              </w:rPr>
              <w:t>18</w:t>
            </w:r>
            <w:r>
              <w:tab/>
            </w:r>
            <w:r w:rsidR="002728B5" w:rsidRPr="002728B5">
              <w:t>Nursing workforce, by age group and remoteness area</w:t>
            </w:r>
            <w:r w:rsidRPr="00A376A3">
              <w:t>, 201</w:t>
            </w:r>
            <w:r>
              <w:t>3</w:t>
            </w:r>
            <w:r w:rsidRPr="00A376A3">
              <w:rPr>
                <w:rStyle w:val="NoteLabel"/>
                <w:b/>
                <w:szCs w:val="20"/>
              </w:rPr>
              <w:t>a</w:t>
            </w:r>
          </w:p>
        </w:tc>
      </w:tr>
      <w:tr w:rsidR="00A376A3" w:rsidTr="00A376A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376A3" w:rsidTr="00A376A3">
              <w:trPr>
                <w:jc w:val="center"/>
              </w:trPr>
              <w:tc>
                <w:tcPr>
                  <w:tcW w:w="5000" w:type="pct"/>
                  <w:tcBorders>
                    <w:top w:val="nil"/>
                    <w:bottom w:val="nil"/>
                  </w:tcBorders>
                </w:tcPr>
                <w:p w:rsidR="00A376A3" w:rsidRDefault="001F000D" w:rsidP="00980FDB">
                  <w:pPr>
                    <w:pStyle w:val="Figure"/>
                    <w:keepLines/>
                    <w:spacing w:before="60" w:after="60"/>
                  </w:pPr>
                  <w:r>
                    <w:rPr>
                      <w:noProof/>
                    </w:rPr>
                    <w:drawing>
                      <wp:inline distT="0" distB="0" distL="0" distR="0" wp14:anchorId="29BDD24D" wp14:editId="72399322">
                        <wp:extent cx="5391150" cy="2705100"/>
                        <wp:effectExtent l="0" t="0" r="0" b="0"/>
                        <wp:docPr id="21" name="Picture 21" descr="Figure 11.18 Nursing workforce, by age group and remoteness area,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A376A3" w:rsidRDefault="00A376A3" w:rsidP="00980FDB">
            <w:pPr>
              <w:pStyle w:val="Figure"/>
              <w:keepLines/>
            </w:pPr>
          </w:p>
        </w:tc>
      </w:tr>
      <w:tr w:rsidR="00A376A3" w:rsidRPr="00176D3F" w:rsidTr="00A376A3">
        <w:tc>
          <w:tcPr>
            <w:tcW w:w="8771" w:type="dxa"/>
            <w:tcBorders>
              <w:top w:val="nil"/>
              <w:left w:val="nil"/>
              <w:bottom w:val="nil"/>
              <w:right w:val="nil"/>
            </w:tcBorders>
            <w:shd w:val="clear" w:color="auto" w:fill="auto"/>
          </w:tcPr>
          <w:p w:rsidR="00A376A3" w:rsidRPr="00176D3F" w:rsidRDefault="00A376A3" w:rsidP="0083312F">
            <w:pPr>
              <w:pStyle w:val="Note"/>
              <w:keepNext/>
            </w:pPr>
            <w:r>
              <w:rPr>
                <w:rStyle w:val="NoteLabel"/>
              </w:rPr>
              <w:t>a</w:t>
            </w:r>
            <w:r>
              <w:t xml:space="preserve"> </w:t>
            </w:r>
            <w:r w:rsidRPr="00A376A3">
              <w:t>Includes registered and enrolled nurses (including midwives) who are employed in nursing, nurses who are registered but on extended leave and nurses who are registered a</w:t>
            </w:r>
            <w:r w:rsidR="0083312F">
              <w:t>nd looking for work in nursing.</w:t>
            </w:r>
          </w:p>
        </w:tc>
      </w:tr>
      <w:tr w:rsidR="00A376A3" w:rsidRPr="00176D3F" w:rsidTr="00A376A3">
        <w:tc>
          <w:tcPr>
            <w:tcW w:w="8771" w:type="dxa"/>
            <w:tcBorders>
              <w:top w:val="nil"/>
              <w:left w:val="nil"/>
              <w:bottom w:val="nil"/>
              <w:right w:val="nil"/>
            </w:tcBorders>
            <w:shd w:val="clear" w:color="auto" w:fill="auto"/>
          </w:tcPr>
          <w:p w:rsidR="00A376A3" w:rsidRPr="00176D3F" w:rsidRDefault="00A376A3" w:rsidP="004F7D79">
            <w:pPr>
              <w:pStyle w:val="Source"/>
              <w:keepNext/>
            </w:pPr>
            <w:r>
              <w:rPr>
                <w:i/>
              </w:rPr>
              <w:t>S</w:t>
            </w:r>
            <w:r w:rsidRPr="00784A05">
              <w:rPr>
                <w:i/>
              </w:rPr>
              <w:t>ource</w:t>
            </w:r>
            <w:r w:rsidRPr="00176D3F">
              <w:t xml:space="preserve">: </w:t>
            </w:r>
            <w:r w:rsidRPr="00A376A3">
              <w:t>AIHW (unpublished) National Health Workforce Data Set; table 11A.5</w:t>
            </w:r>
            <w:r w:rsidR="004F7D79">
              <w:t>6</w:t>
            </w:r>
            <w:r w:rsidRPr="00A376A3">
              <w:t>.</w:t>
            </w:r>
          </w:p>
        </w:tc>
      </w:tr>
      <w:tr w:rsidR="00A376A3" w:rsidTr="00A376A3">
        <w:tc>
          <w:tcPr>
            <w:tcW w:w="8771" w:type="dxa"/>
            <w:tcBorders>
              <w:top w:val="nil"/>
              <w:left w:val="nil"/>
              <w:bottom w:val="single" w:sz="6" w:space="0" w:color="78A22F"/>
              <w:right w:val="nil"/>
            </w:tcBorders>
            <w:shd w:val="clear" w:color="auto" w:fill="auto"/>
          </w:tcPr>
          <w:p w:rsidR="00A376A3" w:rsidRDefault="00A376A3" w:rsidP="00980FDB">
            <w:pPr>
              <w:pStyle w:val="Figurespace"/>
              <w:keepLines/>
            </w:pPr>
          </w:p>
        </w:tc>
      </w:tr>
      <w:tr w:rsidR="00A376A3" w:rsidRPr="000863A5" w:rsidTr="00A376A3">
        <w:tc>
          <w:tcPr>
            <w:tcW w:w="8771" w:type="dxa"/>
            <w:tcBorders>
              <w:top w:val="single" w:sz="6" w:space="0" w:color="78A22F"/>
              <w:left w:val="nil"/>
              <w:bottom w:val="nil"/>
              <w:right w:val="nil"/>
            </w:tcBorders>
          </w:tcPr>
          <w:p w:rsidR="00A376A3" w:rsidRPr="00626D32" w:rsidRDefault="00A376A3" w:rsidP="00980FDB">
            <w:pPr>
              <w:pStyle w:val="BoxSpaceBelow"/>
              <w:keepNext/>
              <w:keepLines/>
            </w:pPr>
          </w:p>
        </w:tc>
      </w:tr>
    </w:tbl>
    <w:p w:rsidR="00A376A3" w:rsidRDefault="0025242A" w:rsidP="0083330D">
      <w:pPr>
        <w:pStyle w:val="BodyText"/>
      </w:pPr>
      <w:r w:rsidRPr="0025242A">
        <w:t>The age profile of the medical practitioner workforce in 201</w:t>
      </w:r>
      <w:r w:rsidR="005F067D">
        <w:t>3</w:t>
      </w:r>
      <w:r w:rsidRPr="0025242A">
        <w:t xml:space="preserve"> for each jurisdiction is shown in figure 11.1</w:t>
      </w:r>
      <w:r w:rsidR="000D26EC">
        <w:t>9</w:t>
      </w:r>
      <w:r w:rsidRPr="0083330D">
        <w:t xml:space="preserve">. </w:t>
      </w:r>
      <w:r w:rsidR="00636535" w:rsidRPr="0083330D">
        <w:t xml:space="preserve">Nationally, 10.0 per cent of the medical practitioner workforce was aged under 30 years and 17.0 per cent were aged 60 years and over. Almost three quarters of the workforce was aged between 30 and 59 years. </w:t>
      </w:r>
      <w:r w:rsidRPr="0032683D">
        <w:t>Medical</w:t>
      </w:r>
      <w:r w:rsidRPr="0025242A">
        <w:t xml:space="preserve"> practitioner workforce data for 201</w:t>
      </w:r>
      <w:r w:rsidR="005F067D">
        <w:t>3</w:t>
      </w:r>
      <w:r w:rsidRPr="0025242A">
        <w:t xml:space="preserve"> by remoteness area are shown in figure 11.</w:t>
      </w:r>
      <w:r w:rsidR="000D26EC">
        <w:t>20</w:t>
      </w:r>
      <w:r w:rsidRPr="0025242A">
        <w:t>.</w:t>
      </w:r>
    </w:p>
    <w:p w:rsidR="0025242A" w:rsidRDefault="0025242A" w:rsidP="00980FDB">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5242A" w:rsidTr="007D422B">
        <w:tc>
          <w:tcPr>
            <w:tcW w:w="8771" w:type="dxa"/>
            <w:tcBorders>
              <w:top w:val="single" w:sz="6" w:space="0" w:color="78A22F"/>
              <w:left w:val="nil"/>
              <w:bottom w:val="nil"/>
              <w:right w:val="nil"/>
            </w:tcBorders>
            <w:shd w:val="clear" w:color="auto" w:fill="auto"/>
          </w:tcPr>
          <w:p w:rsidR="0025242A" w:rsidRPr="00176D3F" w:rsidRDefault="0025242A" w:rsidP="00980FDB">
            <w:pPr>
              <w:pStyle w:val="FigureTitle"/>
            </w:pPr>
            <w:r w:rsidRPr="00784A05">
              <w:rPr>
                <w:b w:val="0"/>
              </w:rPr>
              <w:t xml:space="preserve">Figure </w:t>
            </w:r>
            <w:r w:rsidR="000D26EC">
              <w:rPr>
                <w:b w:val="0"/>
              </w:rPr>
              <w:t>11.</w:t>
            </w:r>
            <w:r w:rsidR="009A53E9">
              <w:rPr>
                <w:b w:val="0"/>
                <w:noProof/>
              </w:rPr>
              <w:t>19</w:t>
            </w:r>
            <w:r>
              <w:tab/>
            </w:r>
            <w:r w:rsidRPr="0025242A">
              <w:t>Medical practitioner workforce, by age group, 201</w:t>
            </w:r>
            <w:r>
              <w:t>3</w:t>
            </w:r>
            <w:r w:rsidRPr="0025242A">
              <w:rPr>
                <w:rStyle w:val="NoteLabel"/>
                <w:b/>
                <w:szCs w:val="20"/>
              </w:rPr>
              <w:t>a, b</w:t>
            </w:r>
          </w:p>
        </w:tc>
      </w:tr>
      <w:tr w:rsidR="0025242A" w:rsidTr="007D422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5242A" w:rsidTr="007D422B">
              <w:trPr>
                <w:jc w:val="center"/>
              </w:trPr>
              <w:tc>
                <w:tcPr>
                  <w:tcW w:w="5000" w:type="pct"/>
                  <w:tcBorders>
                    <w:top w:val="nil"/>
                    <w:bottom w:val="nil"/>
                  </w:tcBorders>
                </w:tcPr>
                <w:p w:rsidR="0025242A" w:rsidRDefault="001F000D" w:rsidP="00980FDB">
                  <w:pPr>
                    <w:pStyle w:val="Figure"/>
                    <w:keepLines/>
                    <w:spacing w:before="60" w:after="60"/>
                  </w:pPr>
                  <w:r>
                    <w:rPr>
                      <w:noProof/>
                    </w:rPr>
                    <w:drawing>
                      <wp:inline distT="0" distB="0" distL="0" distR="0" wp14:anchorId="25CE8447" wp14:editId="7EB5541B">
                        <wp:extent cx="5391150" cy="2476500"/>
                        <wp:effectExtent l="0" t="0" r="0" b="0"/>
                        <wp:docPr id="22" name="Picture 22" descr="Figure 11.19 Medical practitioner workforce, by age group,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91150" cy="2476500"/>
                                </a:xfrm>
                                <a:prstGeom prst="rect">
                                  <a:avLst/>
                                </a:prstGeom>
                                <a:noFill/>
                                <a:ln>
                                  <a:noFill/>
                                </a:ln>
                              </pic:spPr>
                            </pic:pic>
                          </a:graphicData>
                        </a:graphic>
                      </wp:inline>
                    </w:drawing>
                  </w:r>
                </w:p>
              </w:tc>
            </w:tr>
          </w:tbl>
          <w:p w:rsidR="0025242A" w:rsidRDefault="0025242A" w:rsidP="00980FDB">
            <w:pPr>
              <w:pStyle w:val="Figure"/>
              <w:keepLines/>
            </w:pPr>
          </w:p>
        </w:tc>
      </w:tr>
      <w:tr w:rsidR="0025242A" w:rsidRPr="00176D3F" w:rsidTr="007D422B">
        <w:tc>
          <w:tcPr>
            <w:tcW w:w="8771" w:type="dxa"/>
            <w:tcBorders>
              <w:top w:val="nil"/>
              <w:left w:val="nil"/>
              <w:bottom w:val="nil"/>
              <w:right w:val="nil"/>
            </w:tcBorders>
            <w:shd w:val="clear" w:color="auto" w:fill="auto"/>
          </w:tcPr>
          <w:p w:rsidR="0025242A" w:rsidRPr="00176D3F" w:rsidRDefault="0025242A" w:rsidP="00980FDB">
            <w:pPr>
              <w:pStyle w:val="Note"/>
              <w:keepNext/>
            </w:pPr>
            <w:r>
              <w:rPr>
                <w:rStyle w:val="NoteLabel"/>
              </w:rPr>
              <w:t>a</w:t>
            </w:r>
            <w:r>
              <w:t xml:space="preserve"> </w:t>
            </w:r>
            <w:r w:rsidRPr="0025242A">
              <w:t xml:space="preserve">Includes employed medical practitioners, registered medical practitioners on extended leave and registered medical practitioners looking for work in medicine. </w:t>
            </w:r>
            <w:r w:rsidRPr="0025242A">
              <w:rPr>
                <w:rStyle w:val="NoteLabel"/>
              </w:rPr>
              <w:t>b</w:t>
            </w:r>
            <w:r w:rsidRPr="0025242A">
              <w:t xml:space="preserve"> State and </w:t>
            </w:r>
            <w:r w:rsidR="0083312F" w:rsidRPr="0025242A">
              <w:t xml:space="preserve">Territory </w:t>
            </w:r>
            <w:r w:rsidRPr="0025242A">
              <w:t xml:space="preserve">is derived from </w:t>
            </w:r>
            <w:r w:rsidR="0083312F" w:rsidRPr="0025242A">
              <w:t xml:space="preserve">State </w:t>
            </w:r>
            <w:r w:rsidRPr="0025242A">
              <w:t xml:space="preserve">and </w:t>
            </w:r>
            <w:r w:rsidR="0083312F" w:rsidRPr="0025242A">
              <w:t xml:space="preserve">Territory </w:t>
            </w:r>
            <w:r w:rsidRPr="0025242A">
              <w:t xml:space="preserve">of main job where available; otherwise </w:t>
            </w:r>
            <w:r w:rsidR="0083312F" w:rsidRPr="0025242A">
              <w:t xml:space="preserve">State </w:t>
            </w:r>
            <w:r w:rsidRPr="0025242A">
              <w:t xml:space="preserve">and </w:t>
            </w:r>
            <w:r w:rsidR="0083312F" w:rsidRPr="0025242A">
              <w:t xml:space="preserve">Territory </w:t>
            </w:r>
            <w:r w:rsidRPr="0025242A">
              <w:t xml:space="preserve">of principal practice is used as a proxy. If principal practice details are unavailable, </w:t>
            </w:r>
            <w:r w:rsidR="0083312F" w:rsidRPr="0025242A">
              <w:t xml:space="preserve">State </w:t>
            </w:r>
            <w:r w:rsidRPr="0025242A">
              <w:t xml:space="preserve">and </w:t>
            </w:r>
            <w:r w:rsidR="0083312F" w:rsidRPr="0025242A">
              <w:t xml:space="preserve">Territory </w:t>
            </w:r>
            <w:r w:rsidRPr="0025242A">
              <w:t>of residence is used. Records with no information on all three locations are coded to ‘Not stated’.</w:t>
            </w:r>
          </w:p>
        </w:tc>
      </w:tr>
      <w:tr w:rsidR="0025242A" w:rsidRPr="00176D3F" w:rsidTr="007D422B">
        <w:tc>
          <w:tcPr>
            <w:tcW w:w="8771" w:type="dxa"/>
            <w:tcBorders>
              <w:top w:val="nil"/>
              <w:left w:val="nil"/>
              <w:bottom w:val="nil"/>
              <w:right w:val="nil"/>
            </w:tcBorders>
            <w:shd w:val="clear" w:color="auto" w:fill="auto"/>
          </w:tcPr>
          <w:p w:rsidR="0025242A" w:rsidRPr="00176D3F" w:rsidRDefault="0025242A" w:rsidP="004F7D79">
            <w:pPr>
              <w:pStyle w:val="Source"/>
              <w:keepNext/>
            </w:pPr>
            <w:r>
              <w:rPr>
                <w:i/>
              </w:rPr>
              <w:t>S</w:t>
            </w:r>
            <w:r w:rsidRPr="00784A05">
              <w:rPr>
                <w:i/>
              </w:rPr>
              <w:t>ource</w:t>
            </w:r>
            <w:r w:rsidRPr="00176D3F">
              <w:t xml:space="preserve">: </w:t>
            </w:r>
            <w:r w:rsidRPr="0025242A">
              <w:t>AIHW (unpublished) National Health Workforce Data Set; table 11A.</w:t>
            </w:r>
            <w:r w:rsidR="004F7D79">
              <w:t>59</w:t>
            </w:r>
            <w:r w:rsidRPr="0025242A">
              <w:t>.</w:t>
            </w:r>
          </w:p>
        </w:tc>
      </w:tr>
      <w:tr w:rsidR="0025242A" w:rsidTr="007D422B">
        <w:tc>
          <w:tcPr>
            <w:tcW w:w="8771" w:type="dxa"/>
            <w:tcBorders>
              <w:top w:val="nil"/>
              <w:left w:val="nil"/>
              <w:bottom w:val="single" w:sz="6" w:space="0" w:color="78A22F"/>
              <w:right w:val="nil"/>
            </w:tcBorders>
            <w:shd w:val="clear" w:color="auto" w:fill="auto"/>
          </w:tcPr>
          <w:p w:rsidR="0025242A" w:rsidRDefault="0025242A" w:rsidP="00980FDB">
            <w:pPr>
              <w:pStyle w:val="Figurespace"/>
              <w:keepLines/>
            </w:pPr>
          </w:p>
        </w:tc>
      </w:tr>
      <w:tr w:rsidR="0025242A" w:rsidRPr="000863A5" w:rsidTr="007D422B">
        <w:tc>
          <w:tcPr>
            <w:tcW w:w="8771" w:type="dxa"/>
            <w:tcBorders>
              <w:top w:val="single" w:sz="6" w:space="0" w:color="78A22F"/>
              <w:left w:val="nil"/>
              <w:bottom w:val="nil"/>
              <w:right w:val="nil"/>
            </w:tcBorders>
          </w:tcPr>
          <w:p w:rsidR="0025242A" w:rsidRPr="00626D32" w:rsidRDefault="0025242A" w:rsidP="00980FDB">
            <w:pPr>
              <w:pStyle w:val="BoxSpaceBelow"/>
              <w:keepNext/>
              <w:keepLines/>
            </w:pPr>
          </w:p>
        </w:tc>
      </w:tr>
    </w:tbl>
    <w:p w:rsidR="0025242A" w:rsidRDefault="0025242A" w:rsidP="007D422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5242A" w:rsidTr="007D422B">
        <w:tc>
          <w:tcPr>
            <w:tcW w:w="8771" w:type="dxa"/>
            <w:tcBorders>
              <w:top w:val="single" w:sz="6" w:space="0" w:color="78A22F"/>
              <w:left w:val="nil"/>
              <w:bottom w:val="nil"/>
              <w:right w:val="nil"/>
            </w:tcBorders>
            <w:shd w:val="clear" w:color="auto" w:fill="auto"/>
          </w:tcPr>
          <w:p w:rsidR="0025242A" w:rsidRPr="00176D3F" w:rsidRDefault="0025242A" w:rsidP="0025242A">
            <w:pPr>
              <w:pStyle w:val="FigureTitle"/>
            </w:pPr>
            <w:r w:rsidRPr="00784A05">
              <w:rPr>
                <w:b w:val="0"/>
              </w:rPr>
              <w:t xml:space="preserve">Figure </w:t>
            </w:r>
            <w:r w:rsidR="000D26EC">
              <w:rPr>
                <w:b w:val="0"/>
              </w:rPr>
              <w:t>11.</w:t>
            </w:r>
            <w:r w:rsidR="009A53E9">
              <w:rPr>
                <w:b w:val="0"/>
                <w:noProof/>
              </w:rPr>
              <w:t>20</w:t>
            </w:r>
            <w:r>
              <w:tab/>
            </w:r>
            <w:r w:rsidRPr="0025242A">
              <w:t>Medical practitioner workforce, by age group and remoteness area, 201</w:t>
            </w:r>
            <w:r>
              <w:t>3</w:t>
            </w:r>
            <w:r w:rsidR="0083312F">
              <w:rPr>
                <w:rStyle w:val="NoteLabel"/>
                <w:b/>
                <w:szCs w:val="20"/>
              </w:rPr>
              <w:t>a</w:t>
            </w:r>
          </w:p>
        </w:tc>
      </w:tr>
      <w:tr w:rsidR="0025242A" w:rsidTr="007D422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5242A" w:rsidTr="007D422B">
              <w:trPr>
                <w:jc w:val="center"/>
              </w:trPr>
              <w:tc>
                <w:tcPr>
                  <w:tcW w:w="5000" w:type="pct"/>
                  <w:tcBorders>
                    <w:top w:val="nil"/>
                    <w:bottom w:val="nil"/>
                  </w:tcBorders>
                </w:tcPr>
                <w:p w:rsidR="0025242A" w:rsidRDefault="001F000D" w:rsidP="007D422B">
                  <w:pPr>
                    <w:pStyle w:val="Figure"/>
                    <w:spacing w:before="60" w:after="60"/>
                  </w:pPr>
                  <w:r>
                    <w:rPr>
                      <w:noProof/>
                    </w:rPr>
                    <w:drawing>
                      <wp:inline distT="0" distB="0" distL="0" distR="0" wp14:anchorId="0D68987B" wp14:editId="00AE6627">
                        <wp:extent cx="5391150" cy="2619375"/>
                        <wp:effectExtent l="0" t="0" r="0" b="9525"/>
                        <wp:docPr id="23" name="Picture 23" descr="Figure 11.20 Medical practitioner workforce, by age group and remoteness area,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1150" cy="2619375"/>
                                </a:xfrm>
                                <a:prstGeom prst="rect">
                                  <a:avLst/>
                                </a:prstGeom>
                                <a:noFill/>
                                <a:ln>
                                  <a:noFill/>
                                </a:ln>
                              </pic:spPr>
                            </pic:pic>
                          </a:graphicData>
                        </a:graphic>
                      </wp:inline>
                    </w:drawing>
                  </w:r>
                </w:p>
              </w:tc>
            </w:tr>
          </w:tbl>
          <w:p w:rsidR="0025242A" w:rsidRDefault="0025242A" w:rsidP="007D422B">
            <w:pPr>
              <w:pStyle w:val="Figure"/>
            </w:pPr>
          </w:p>
        </w:tc>
      </w:tr>
      <w:tr w:rsidR="0025242A" w:rsidRPr="00176D3F" w:rsidTr="007D422B">
        <w:tc>
          <w:tcPr>
            <w:tcW w:w="8771" w:type="dxa"/>
            <w:tcBorders>
              <w:top w:val="nil"/>
              <w:left w:val="nil"/>
              <w:bottom w:val="nil"/>
              <w:right w:val="nil"/>
            </w:tcBorders>
            <w:shd w:val="clear" w:color="auto" w:fill="auto"/>
          </w:tcPr>
          <w:p w:rsidR="0025242A" w:rsidRPr="00176D3F" w:rsidRDefault="0025242A" w:rsidP="0083312F">
            <w:pPr>
              <w:pStyle w:val="Note"/>
            </w:pPr>
            <w:r>
              <w:rPr>
                <w:rStyle w:val="NoteLabel"/>
              </w:rPr>
              <w:t>a</w:t>
            </w:r>
            <w:r>
              <w:t xml:space="preserve"> </w:t>
            </w:r>
            <w:r w:rsidRPr="0025242A">
              <w:t xml:space="preserve">Includes employed medical practitioners, registered medical practitioners on extended leave and registered medical practitioners looking for work in medicine. </w:t>
            </w:r>
          </w:p>
        </w:tc>
      </w:tr>
      <w:tr w:rsidR="0025242A" w:rsidRPr="00176D3F" w:rsidTr="007D422B">
        <w:tc>
          <w:tcPr>
            <w:tcW w:w="8771" w:type="dxa"/>
            <w:tcBorders>
              <w:top w:val="nil"/>
              <w:left w:val="nil"/>
              <w:bottom w:val="nil"/>
              <w:right w:val="nil"/>
            </w:tcBorders>
            <w:shd w:val="clear" w:color="auto" w:fill="auto"/>
          </w:tcPr>
          <w:p w:rsidR="0025242A" w:rsidRPr="00176D3F" w:rsidRDefault="0025242A" w:rsidP="004F7D79">
            <w:pPr>
              <w:pStyle w:val="Source"/>
            </w:pPr>
            <w:r>
              <w:rPr>
                <w:i/>
              </w:rPr>
              <w:t>S</w:t>
            </w:r>
            <w:r w:rsidRPr="00784A05">
              <w:rPr>
                <w:i/>
              </w:rPr>
              <w:t>ource</w:t>
            </w:r>
            <w:r w:rsidRPr="00176D3F">
              <w:t xml:space="preserve">: </w:t>
            </w:r>
            <w:r w:rsidRPr="0025242A">
              <w:t>AIHW (unpublished) National Health Workforce Data Set; table 11A.</w:t>
            </w:r>
            <w:r w:rsidR="004F7D79">
              <w:t>58</w:t>
            </w:r>
            <w:r w:rsidRPr="0025242A">
              <w:t>.</w:t>
            </w:r>
          </w:p>
        </w:tc>
      </w:tr>
      <w:tr w:rsidR="0025242A" w:rsidTr="007D422B">
        <w:tc>
          <w:tcPr>
            <w:tcW w:w="8771" w:type="dxa"/>
            <w:tcBorders>
              <w:top w:val="nil"/>
              <w:left w:val="nil"/>
              <w:bottom w:val="single" w:sz="6" w:space="0" w:color="78A22F"/>
              <w:right w:val="nil"/>
            </w:tcBorders>
            <w:shd w:val="clear" w:color="auto" w:fill="auto"/>
          </w:tcPr>
          <w:p w:rsidR="0025242A" w:rsidRDefault="0025242A" w:rsidP="007D422B">
            <w:pPr>
              <w:pStyle w:val="Figurespace"/>
            </w:pPr>
          </w:p>
        </w:tc>
      </w:tr>
      <w:tr w:rsidR="0025242A" w:rsidRPr="000863A5" w:rsidTr="007D422B">
        <w:tc>
          <w:tcPr>
            <w:tcW w:w="8771" w:type="dxa"/>
            <w:tcBorders>
              <w:top w:val="single" w:sz="6" w:space="0" w:color="78A22F"/>
              <w:left w:val="nil"/>
              <w:bottom w:val="nil"/>
              <w:right w:val="nil"/>
            </w:tcBorders>
          </w:tcPr>
          <w:p w:rsidR="0025242A" w:rsidRPr="00626D32" w:rsidRDefault="0025242A" w:rsidP="007D422B">
            <w:pPr>
              <w:pStyle w:val="BoxSpaceBelow"/>
            </w:pPr>
          </w:p>
        </w:tc>
      </w:tr>
    </w:tbl>
    <w:p w:rsidR="0025242A" w:rsidRDefault="0025242A" w:rsidP="0025242A">
      <w:pPr>
        <w:pStyle w:val="Heading3"/>
      </w:pPr>
      <w:r>
        <w:lastRenderedPageBreak/>
        <w:t>Efficiency</w:t>
      </w:r>
    </w:p>
    <w:p w:rsidR="0025242A" w:rsidRDefault="0025242A" w:rsidP="0025242A">
      <w:pPr>
        <w:pStyle w:val="BodyText"/>
      </w:pPr>
      <w:r>
        <w:t>Two approaches to measuring the efficiency of public hospital services are included in this Report: the ‘cost per casemix-adjusted unit of output’ (the unit cost) and the ‘casemix-adjusted relative length of stay index’. Length of stay is correlated with costs at aggregate levels of reporting.</w:t>
      </w:r>
    </w:p>
    <w:p w:rsidR="0025242A" w:rsidRDefault="0025242A" w:rsidP="0025242A">
      <w:pPr>
        <w:pStyle w:val="BodyText"/>
      </w:pPr>
      <w:r>
        <w:t xml:space="preserve">The Steering Committee’s approach is to report the full costs of a service where they are available. Where the full costs of a service cannot be accurately measured, the Steering Committee seeks to report estimated costs that are comparable. Where differences in comparability remain, the differences are documented. The Steering Committee has identified financial reporting issues that have affected the accuracy and comparability of unit costs for acute care services. These include the treatment of payroll tax, superannuation, depreciation and the user cost of capital associated with buildings and equipment. A number of issues remain to </w:t>
      </w:r>
      <w:r w:rsidR="0083312F">
        <w:t xml:space="preserve">improve </w:t>
      </w:r>
      <w:r>
        <w:t>further the quality of these estimates.</w:t>
      </w:r>
    </w:p>
    <w:p w:rsidR="0025242A" w:rsidRDefault="0025242A" w:rsidP="0025242A">
      <w:pPr>
        <w:pStyle w:val="BodyText"/>
      </w:pPr>
      <w:r>
        <w:t>Costs associated with non-current physical assets (such as depreciation and the user cost of capital) are potentially important components of the total costs of many services delivered by government agencies. Differences in the techniques for measuring non-current physical assets (such as valuation methods) can reduce the comparability of cost estimates across jurisdictions. In response to concerns regarding data comparability, the Steering Committee initiated a study, reported in Asset Measurement in the Costing of Government Services (SCRCSSP 2001). The study examined the extent to which differences in asset measurement techniques applied by participating agencies can affect the comparability of reported unit costs.</w:t>
      </w:r>
    </w:p>
    <w:p w:rsidR="0025242A" w:rsidRDefault="0025242A" w:rsidP="0025242A">
      <w:pPr>
        <w:pStyle w:val="BodyText"/>
      </w:pPr>
      <w:r>
        <w:t xml:space="preserve">The results reported in the study for public hospitals indicate that different methods of asset measurement could lead to quite large variations in reported capital costs. However, considered in the context of total unit costs, the differences created by these asset measurement effects were relatively small, because capital costs represent a small proportion of total cost (although the differences can affect cost rankings across jurisdictions). A key message from the study was that the adoption of nationally uniform accounting standards across all service areas would be a desirable outcome. </w:t>
      </w:r>
    </w:p>
    <w:p w:rsidR="0025242A" w:rsidRDefault="0025242A" w:rsidP="0025242A">
      <w:pPr>
        <w:pStyle w:val="BodyText"/>
      </w:pPr>
      <w:r>
        <w:t>Care needs to be taken, therefore, in comparing unit costs across jurisdictions. Differences in counting rules, the treatment of various expenditure items (for example, superannuation) and the allocation of overhead costs have the potential to affect such comparisons. In addition, differences in the use of salary packaging can allow hospitals to lower their wage bills (and thus State or Territory government expenditure) while maintaining the after-tax income of their staff. No data were available for reporting on the effect of salary packaging and any variation in its use across jurisdictions.</w:t>
      </w:r>
    </w:p>
    <w:p w:rsidR="0025242A" w:rsidRDefault="0025242A" w:rsidP="0025242A">
      <w:pPr>
        <w:pStyle w:val="Heading4"/>
      </w:pPr>
      <w:r>
        <w:lastRenderedPageBreak/>
        <w:t>Cost per casemix-adjusted separation</w:t>
      </w:r>
    </w:p>
    <w:p w:rsidR="0025242A" w:rsidRDefault="0025242A" w:rsidP="0025242A">
      <w:pPr>
        <w:pStyle w:val="BodyText"/>
      </w:pPr>
      <w:r>
        <w:t>‘Cost per casemix-adjusted separation’ is an indicator of governments’ objective to deliver services in a cost effective manner (box 11.11).</w:t>
      </w:r>
    </w:p>
    <w:p w:rsidR="0025242A" w:rsidRDefault="002524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5242A" w:rsidTr="007D422B">
        <w:tc>
          <w:tcPr>
            <w:tcW w:w="8771" w:type="dxa"/>
            <w:tcBorders>
              <w:top w:val="single" w:sz="6" w:space="0" w:color="78A22F"/>
              <w:left w:val="nil"/>
              <w:bottom w:val="nil"/>
              <w:right w:val="nil"/>
            </w:tcBorders>
            <w:shd w:val="clear" w:color="auto" w:fill="F2F2F2"/>
          </w:tcPr>
          <w:p w:rsidR="0025242A" w:rsidRDefault="0025242A">
            <w:pPr>
              <w:pStyle w:val="BoxTitle"/>
            </w:pPr>
            <w:r>
              <w:rPr>
                <w:b w:val="0"/>
              </w:rPr>
              <w:t>Box 11.</w:t>
            </w:r>
            <w:r w:rsidR="009A53E9">
              <w:rPr>
                <w:b w:val="0"/>
                <w:noProof/>
              </w:rPr>
              <w:t>11</w:t>
            </w:r>
            <w:r>
              <w:tab/>
            </w:r>
            <w:r w:rsidRPr="0025242A">
              <w:t>Cost per casemix-adjusted separation</w:t>
            </w:r>
          </w:p>
        </w:tc>
      </w:tr>
      <w:tr w:rsidR="0025242A" w:rsidTr="007D422B">
        <w:trPr>
          <w:cantSplit/>
        </w:trPr>
        <w:tc>
          <w:tcPr>
            <w:tcW w:w="8771" w:type="dxa"/>
            <w:tcBorders>
              <w:top w:val="nil"/>
              <w:left w:val="nil"/>
              <w:bottom w:val="nil"/>
              <w:right w:val="nil"/>
            </w:tcBorders>
            <w:shd w:val="clear" w:color="auto" w:fill="F2F2F2"/>
          </w:tcPr>
          <w:p w:rsidR="00215AD4" w:rsidRDefault="00215AD4" w:rsidP="00215AD4">
            <w:pPr>
              <w:pStyle w:val="Box"/>
            </w:pPr>
            <w:r>
              <w:t>‘Cost per casemix-adjusted separation’ is defined by the following two measures:</w:t>
            </w:r>
          </w:p>
          <w:p w:rsidR="00042EB1" w:rsidRDefault="00042EB1" w:rsidP="00042EB1">
            <w:pPr>
              <w:pStyle w:val="BoxListBullet"/>
            </w:pPr>
            <w:r>
              <w:t>Recurrent cost per casemix-adjusted separation</w:t>
            </w:r>
          </w:p>
          <w:p w:rsidR="00042EB1" w:rsidRDefault="00042EB1" w:rsidP="00042EB1">
            <w:pPr>
              <w:pStyle w:val="BoxListBullet"/>
            </w:pPr>
            <w:r>
              <w:t>Total cost per casemix-adjusted separation</w:t>
            </w:r>
            <w:r w:rsidR="00A160CF">
              <w:t>.</w:t>
            </w:r>
          </w:p>
          <w:p w:rsidR="00042EB1" w:rsidRDefault="00042EB1" w:rsidP="00042EB1">
            <w:pPr>
              <w:pStyle w:val="BoxHeading2"/>
            </w:pPr>
            <w:r w:rsidRPr="00042EB1">
              <w:t>Recurrent cost per casemix-adjusted separation</w:t>
            </w:r>
          </w:p>
          <w:p w:rsidR="00215AD4" w:rsidRDefault="0083312F" w:rsidP="00042EB1">
            <w:pPr>
              <w:pStyle w:val="Box"/>
            </w:pPr>
            <w:r>
              <w:t>‘</w:t>
            </w:r>
            <w:r w:rsidR="00215AD4">
              <w:t>Recurrent cost per casemix-adjusted separation</w:t>
            </w:r>
            <w:r>
              <w:t>’</w:t>
            </w:r>
            <w:r w:rsidR="00215AD4">
              <w:t xml:space="preserve"> is the average cost of providing care for an admitted patient (overnight stay or same day) adjusted with AR</w:t>
            </w:r>
            <w:r w:rsidR="004D0FB7">
              <w:t>-</w:t>
            </w:r>
            <w:r w:rsidR="00215AD4">
              <w:t>DRG cost weights for the relative complexity of the patient’s clinical condition and of the hospital services provided (AIHW</w:t>
            </w:r>
            <w:r w:rsidR="009E55BA">
              <w:t> </w:t>
            </w:r>
            <w:r w:rsidR="00215AD4">
              <w:t>2000).</w:t>
            </w:r>
          </w:p>
          <w:p w:rsidR="00A160CF" w:rsidRDefault="00A160CF" w:rsidP="00042EB1">
            <w:pPr>
              <w:pStyle w:val="Box"/>
            </w:pPr>
            <w:r w:rsidRPr="00A160CF">
              <w:t xml:space="preserve">A low or decreasing </w:t>
            </w:r>
            <w:r>
              <w:t xml:space="preserve">recurrent </w:t>
            </w:r>
            <w:r w:rsidRPr="00A160CF">
              <w:t>cost per casemix-adjusted separation can reflect more efficient service delivery in public hospitals. However, this indicator needs to be viewed in the context of the set of performance indicators as a whole, as decreasing cost could also be associated with decreasing quality and effectiveness.</w:t>
            </w:r>
          </w:p>
          <w:p w:rsidR="00215AD4" w:rsidRDefault="00215AD4" w:rsidP="00A160CF">
            <w:pPr>
              <w:pStyle w:val="Box"/>
            </w:pPr>
            <w:r>
              <w:t>This measure includes overnight stays, same day separations, private patient separations in public hospitals and private patient recurrent costs. It excludes non</w:t>
            </w:r>
            <w:r w:rsidR="00B81EBB">
              <w:t>-</w:t>
            </w:r>
            <w:r>
              <w:t>acute hospitals, mothercraft hospitals, multipurpose hospitals, multipurpose services, hospices, rehabilitation hospitals, psychiatric hospitals and hospitals in the ‘unpeered and other’ peer group. The data exclude expenditure on non</w:t>
            </w:r>
            <w:r w:rsidR="00B81EBB">
              <w:t>-</w:t>
            </w:r>
            <w:r>
              <w:t xml:space="preserve">admitted patient care, the user cost of capital and depreciation, and research costs. </w:t>
            </w:r>
          </w:p>
          <w:p w:rsidR="00215AD4" w:rsidRDefault="00215AD4" w:rsidP="00A160CF">
            <w:pPr>
              <w:pStyle w:val="Box"/>
            </w:pPr>
            <w:r>
              <w:t>All admitted patient separations and their costs are included, and most separations are for acute care. Cost weights are not available for admitted patients who received non</w:t>
            </w:r>
            <w:r w:rsidR="00B81EBB">
              <w:t>-</w:t>
            </w:r>
            <w:r>
              <w:t>acute care (</w:t>
            </w:r>
            <w:r w:rsidRPr="00696C96">
              <w:t>4.7</w:t>
            </w:r>
            <w:r>
              <w:t xml:space="preserve"> per cent of total separations in </w:t>
            </w:r>
            <w:r w:rsidRPr="00696C96">
              <w:t>2011</w:t>
            </w:r>
            <w:r w:rsidR="00C21C9F" w:rsidRPr="00696C96">
              <w:t>-</w:t>
            </w:r>
            <w:r w:rsidRPr="00696C96">
              <w:t>12</w:t>
            </w:r>
            <w:r>
              <w:t xml:space="preserve"> (table 11A.13)), so the acute care cost weights are applied to non</w:t>
            </w:r>
            <w:r w:rsidR="00B81EBB">
              <w:t>-</w:t>
            </w:r>
            <w:r>
              <w:t xml:space="preserve">acute separations. The admitted patient cost proportion is an estimate only. </w:t>
            </w:r>
          </w:p>
          <w:p w:rsidR="00215AD4" w:rsidRDefault="00215AD4" w:rsidP="00A160CF">
            <w:pPr>
              <w:pStyle w:val="Box"/>
            </w:pPr>
            <w:r>
              <w:t>Some jurisdictions have developed experimental cost estimates for acute, non</w:t>
            </w:r>
            <w:r w:rsidR="00B81EBB">
              <w:t>-</w:t>
            </w:r>
            <w:r>
              <w:t>psychiatric patients, which are reported here. Separations for non</w:t>
            </w:r>
            <w:r w:rsidR="00B81EBB">
              <w:t>-</w:t>
            </w:r>
            <w:r>
              <w:t>acute patients and psychiatric acute care patients are excluded from these estimates because AR</w:t>
            </w:r>
            <w:r w:rsidR="004D0FB7">
              <w:t>-</w:t>
            </w:r>
            <w:r>
              <w:t xml:space="preserve">DRG cost weights are a poor predictor of </w:t>
            </w:r>
            <w:r w:rsidR="0083312F">
              <w:t xml:space="preserve">the </w:t>
            </w:r>
            <w:r w:rsidR="0083312F" w:rsidRPr="00696C96">
              <w:t xml:space="preserve">cost of </w:t>
            </w:r>
            <w:r w:rsidRPr="00696C96">
              <w:t>these</w:t>
            </w:r>
            <w:r>
              <w:t xml:space="preserve"> separations.</w:t>
            </w:r>
            <w:r w:rsidR="0022493D">
              <w:t xml:space="preserve"> </w:t>
            </w:r>
          </w:p>
          <w:p w:rsidR="00215AD4" w:rsidRDefault="00215AD4" w:rsidP="00A160CF">
            <w:pPr>
              <w:pStyle w:val="Box"/>
            </w:pPr>
            <w:r>
              <w:t>Data reported for this measure are:</w:t>
            </w:r>
          </w:p>
          <w:p w:rsidR="00215AD4" w:rsidRDefault="00215AD4" w:rsidP="00A160CF">
            <w:pPr>
              <w:pStyle w:val="BoxListBullet"/>
            </w:pPr>
            <w:r>
              <w:t>comparable (subject to caveats) within jurisdictions over time but are not comparable across jurisdictions</w:t>
            </w:r>
          </w:p>
          <w:p w:rsidR="0025242A" w:rsidRPr="00696C96" w:rsidRDefault="00215AD4" w:rsidP="00A160CF">
            <w:pPr>
              <w:pStyle w:val="BoxListBullet"/>
            </w:pPr>
            <w:r w:rsidRPr="00696C96">
              <w:t>complete (subject to caveats) for the current repo</w:t>
            </w:r>
            <w:r w:rsidR="00964CAF" w:rsidRPr="00696C96">
              <w:t>rting period. All required 2011-</w:t>
            </w:r>
            <w:r w:rsidRPr="00696C96">
              <w:t>12 data are available for all jurisdictions.</w:t>
            </w:r>
          </w:p>
          <w:p w:rsidR="002E24C4" w:rsidRPr="002E24C4" w:rsidRDefault="002E24C4" w:rsidP="002E24C4">
            <w:pPr>
              <w:pStyle w:val="Box"/>
            </w:pPr>
            <w:r w:rsidRPr="00CB26A6">
              <w:t>Data quality</w:t>
            </w:r>
            <w:r>
              <w:t xml:space="preserve"> information for this measure</w:t>
            </w:r>
            <w:r w:rsidR="008C0550">
              <w:t xml:space="preserve"> is at www.pc.gov.au</w:t>
            </w:r>
            <w:r w:rsidRPr="00CB26A6">
              <w:t>/rogs/2015.</w:t>
            </w:r>
          </w:p>
          <w:p w:rsidR="00215AD4" w:rsidRDefault="00215AD4" w:rsidP="00215AD4">
            <w:pPr>
              <w:pStyle w:val="Continued"/>
            </w:pPr>
            <w:r>
              <w:t>(Continued on next page)</w:t>
            </w:r>
          </w:p>
        </w:tc>
      </w:tr>
      <w:tr w:rsidR="0025242A" w:rsidTr="007D422B">
        <w:trPr>
          <w:cantSplit/>
        </w:trPr>
        <w:tc>
          <w:tcPr>
            <w:tcW w:w="8771" w:type="dxa"/>
            <w:tcBorders>
              <w:top w:val="nil"/>
              <w:left w:val="nil"/>
              <w:bottom w:val="single" w:sz="6" w:space="0" w:color="78A22F"/>
              <w:right w:val="nil"/>
            </w:tcBorders>
            <w:shd w:val="clear" w:color="auto" w:fill="F2F2F2"/>
          </w:tcPr>
          <w:p w:rsidR="0025242A" w:rsidRDefault="0025242A">
            <w:pPr>
              <w:pStyle w:val="Box"/>
              <w:spacing w:before="0" w:line="120" w:lineRule="exact"/>
            </w:pPr>
          </w:p>
        </w:tc>
      </w:tr>
      <w:tr w:rsidR="0025242A" w:rsidRPr="000863A5" w:rsidTr="007D422B">
        <w:tc>
          <w:tcPr>
            <w:tcW w:w="8771" w:type="dxa"/>
            <w:tcBorders>
              <w:top w:val="single" w:sz="6" w:space="0" w:color="78A22F"/>
              <w:left w:val="nil"/>
              <w:bottom w:val="nil"/>
              <w:right w:val="nil"/>
            </w:tcBorders>
          </w:tcPr>
          <w:p w:rsidR="0025242A" w:rsidRPr="00626D32" w:rsidRDefault="0025242A" w:rsidP="007D422B">
            <w:pPr>
              <w:pStyle w:val="BoxSpaceBelow"/>
            </w:pPr>
          </w:p>
        </w:tc>
      </w:tr>
    </w:tbl>
    <w:p w:rsidR="0025242A" w:rsidRDefault="0025242A" w:rsidP="0025242A">
      <w:pPr>
        <w:pStyle w:val="BodyText"/>
      </w:pPr>
    </w:p>
    <w:p w:rsidR="00215AD4" w:rsidRDefault="00215AD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15AD4" w:rsidTr="007D422B">
        <w:tc>
          <w:tcPr>
            <w:tcW w:w="8771" w:type="dxa"/>
            <w:tcBorders>
              <w:top w:val="single" w:sz="6" w:space="0" w:color="78A22F"/>
              <w:left w:val="nil"/>
              <w:bottom w:val="nil"/>
              <w:right w:val="nil"/>
            </w:tcBorders>
            <w:shd w:val="clear" w:color="auto" w:fill="F2F2F2"/>
          </w:tcPr>
          <w:p w:rsidR="00215AD4" w:rsidRDefault="00215AD4" w:rsidP="00215AD4">
            <w:pPr>
              <w:pStyle w:val="BoxTitle"/>
            </w:pPr>
            <w:r>
              <w:rPr>
                <w:b w:val="0"/>
              </w:rPr>
              <w:t>Box 11.11</w:t>
            </w:r>
            <w:r>
              <w:tab/>
            </w:r>
            <w:r w:rsidRPr="009E55BA">
              <w:rPr>
                <w:sz w:val="18"/>
                <w:szCs w:val="18"/>
              </w:rPr>
              <w:t>(</w:t>
            </w:r>
            <w:r w:rsidR="009E55BA" w:rsidRPr="009E55BA">
              <w:rPr>
                <w:sz w:val="18"/>
                <w:szCs w:val="18"/>
              </w:rPr>
              <w:t>continued</w:t>
            </w:r>
            <w:r w:rsidRPr="009E55BA">
              <w:rPr>
                <w:sz w:val="18"/>
                <w:szCs w:val="18"/>
              </w:rPr>
              <w:t>)</w:t>
            </w:r>
          </w:p>
        </w:tc>
      </w:tr>
      <w:tr w:rsidR="00215AD4" w:rsidTr="007D422B">
        <w:trPr>
          <w:cantSplit/>
        </w:trPr>
        <w:tc>
          <w:tcPr>
            <w:tcW w:w="8771" w:type="dxa"/>
            <w:tcBorders>
              <w:top w:val="nil"/>
              <w:left w:val="nil"/>
              <w:bottom w:val="nil"/>
              <w:right w:val="nil"/>
            </w:tcBorders>
            <w:shd w:val="clear" w:color="auto" w:fill="F2F2F2"/>
          </w:tcPr>
          <w:p w:rsidR="00042EB1" w:rsidRDefault="00A160CF" w:rsidP="00042EB1">
            <w:pPr>
              <w:pStyle w:val="BoxHeading2"/>
            </w:pPr>
            <w:r>
              <w:t>Total</w:t>
            </w:r>
            <w:r w:rsidR="00042EB1" w:rsidRPr="00042EB1">
              <w:t xml:space="preserve"> cost per casemix-adjusted separation</w:t>
            </w:r>
          </w:p>
          <w:p w:rsidR="00346E2F" w:rsidRDefault="0083312F" w:rsidP="00042EB1">
            <w:pPr>
              <w:pStyle w:val="Box"/>
            </w:pPr>
            <w:r>
              <w:t>‘</w:t>
            </w:r>
            <w:r w:rsidR="00346E2F">
              <w:t>Total cost per casemix adjusted separation</w:t>
            </w:r>
            <w:r>
              <w:t>’</w:t>
            </w:r>
            <w:r w:rsidR="00346E2F">
              <w:t xml:space="preserve"> is the recurrent cost per casemix-adjusted separation plus the capital costs per casemix-adjusted separation. Recurrent costs include labour and material costs, and capital costs include depreciation and the user cost of capital for buildings and equipment. This measure allows the full cost of hospital services to be considered. The hospitals included in this measure are the same as for recurrent cost per casemix-adjusted separation.</w:t>
            </w:r>
          </w:p>
          <w:p w:rsidR="00346E2F" w:rsidRDefault="00346E2F" w:rsidP="00A160CF">
            <w:pPr>
              <w:pStyle w:val="Box"/>
            </w:pPr>
            <w:r>
              <w:t>Depreciation is defined as the cost of consuming an asset’s services. It is measured by the reduction in value of an asset over the financial year. The user cost of capital is the opportunity cost of the capital invested in an asset, and is equivalent to the return foregone from not using the funds to deliver other services or to retire debt. Interest payments represent a user cost of capital, so are deducted from capital costs to avoid double counting.</w:t>
            </w:r>
          </w:p>
          <w:p w:rsidR="00A160CF" w:rsidRDefault="00A160CF" w:rsidP="00A160CF">
            <w:pPr>
              <w:pStyle w:val="Box"/>
            </w:pPr>
            <w:r>
              <w:t>A low or decreasing cost per casemix-adjusted separation can reflect more efficient service delivery in public hospitals. However, this indicator needs to be viewed in the context of the set of performance indicators as a whole, as decreasing cost could also be associated with decreasing quality and effectiveness.</w:t>
            </w:r>
          </w:p>
          <w:p w:rsidR="00346E2F" w:rsidRDefault="00346E2F" w:rsidP="00A160CF">
            <w:pPr>
              <w:pStyle w:val="Box"/>
            </w:pPr>
            <w:r>
              <w:t>Data reported for this measure are:</w:t>
            </w:r>
          </w:p>
          <w:p w:rsidR="00346E2F" w:rsidRDefault="00346E2F" w:rsidP="002E24C4">
            <w:pPr>
              <w:pStyle w:val="BoxListBullet"/>
            </w:pPr>
            <w:r>
              <w:t>comparable (subject to caveats) within jurisdictions over time but are not comparable across jurisdictions</w:t>
            </w:r>
          </w:p>
          <w:p w:rsidR="00346E2F" w:rsidRPr="00696C96" w:rsidRDefault="00346E2F" w:rsidP="002E24C4">
            <w:pPr>
              <w:pStyle w:val="BoxListBullet"/>
            </w:pPr>
            <w:r w:rsidRPr="00696C96">
              <w:t>complete (subject to caveats) for the current repo</w:t>
            </w:r>
            <w:r w:rsidR="00964CAF" w:rsidRPr="00696C96">
              <w:t>rting period. All required 2011-</w:t>
            </w:r>
            <w:r w:rsidRPr="00696C96">
              <w:t>12 data are available for all jurisdictions.</w:t>
            </w:r>
          </w:p>
          <w:p w:rsidR="00215AD4" w:rsidRDefault="00CB26A6" w:rsidP="002E24C4">
            <w:pPr>
              <w:pStyle w:val="Box"/>
            </w:pPr>
            <w:r w:rsidRPr="00CB26A6">
              <w:t>Data quality</w:t>
            </w:r>
            <w:r>
              <w:t xml:space="preserve"> information for this </w:t>
            </w:r>
            <w:r w:rsidR="002E24C4">
              <w:t>measure</w:t>
            </w:r>
            <w:r w:rsidRPr="00CB26A6">
              <w:t xml:space="preserve"> is at www.p</w:t>
            </w:r>
            <w:r w:rsidR="008C0550">
              <w:t>c.gov.au</w:t>
            </w:r>
            <w:r w:rsidRPr="00CB26A6">
              <w:t>/rogs/2015.</w:t>
            </w:r>
          </w:p>
        </w:tc>
      </w:tr>
      <w:tr w:rsidR="00215AD4" w:rsidTr="007D422B">
        <w:trPr>
          <w:cantSplit/>
        </w:trPr>
        <w:tc>
          <w:tcPr>
            <w:tcW w:w="8771" w:type="dxa"/>
            <w:tcBorders>
              <w:top w:val="nil"/>
              <w:left w:val="nil"/>
              <w:bottom w:val="single" w:sz="6" w:space="0" w:color="78A22F"/>
              <w:right w:val="nil"/>
            </w:tcBorders>
            <w:shd w:val="clear" w:color="auto" w:fill="F2F2F2"/>
          </w:tcPr>
          <w:p w:rsidR="00215AD4" w:rsidRDefault="00215AD4">
            <w:pPr>
              <w:pStyle w:val="Box"/>
              <w:spacing w:before="0" w:line="120" w:lineRule="exact"/>
            </w:pPr>
          </w:p>
        </w:tc>
      </w:tr>
      <w:tr w:rsidR="00215AD4" w:rsidRPr="000863A5" w:rsidTr="007D422B">
        <w:tc>
          <w:tcPr>
            <w:tcW w:w="8771" w:type="dxa"/>
            <w:tcBorders>
              <w:top w:val="single" w:sz="6" w:space="0" w:color="78A22F"/>
              <w:left w:val="nil"/>
              <w:bottom w:val="nil"/>
              <w:right w:val="nil"/>
            </w:tcBorders>
          </w:tcPr>
          <w:p w:rsidR="00215AD4" w:rsidRPr="00626D32" w:rsidRDefault="00215AD4" w:rsidP="007D422B">
            <w:pPr>
              <w:pStyle w:val="BoxSpaceBelow"/>
            </w:pPr>
          </w:p>
        </w:tc>
      </w:tr>
    </w:tbl>
    <w:p w:rsidR="00256DF0" w:rsidRPr="00696C96" w:rsidRDefault="00696C96" w:rsidP="0083330D">
      <w:pPr>
        <w:pStyle w:val="BodyText"/>
      </w:pPr>
      <w:r w:rsidRPr="00696C96">
        <w:t xml:space="preserve">Data for 2012-13 were not available for </w:t>
      </w:r>
      <w:r w:rsidR="00EF6D03">
        <w:t xml:space="preserve">the </w:t>
      </w:r>
      <w:r w:rsidRPr="00696C96">
        <w:t xml:space="preserve">recurrent and total cost per casemix-adjusted separation </w:t>
      </w:r>
      <w:r w:rsidR="00EF6D03">
        <w:t xml:space="preserve">measures </w:t>
      </w:r>
      <w:r w:rsidRPr="00696C96">
        <w:t>for this Report edition.</w:t>
      </w:r>
      <w:r>
        <w:t xml:space="preserve"> </w:t>
      </w:r>
      <w:r w:rsidR="00EF6D03">
        <w:t xml:space="preserve">Data for these measures are sourced from the AIHW. </w:t>
      </w:r>
      <w:r w:rsidR="00EF6D03" w:rsidRPr="00EF6D03">
        <w:t xml:space="preserve">The AIHW are currently changing the methodology for this indicator. Data </w:t>
      </w:r>
      <w:r w:rsidR="00DA10A8">
        <w:t>for</w:t>
      </w:r>
      <w:r w:rsidR="00EF6D03" w:rsidRPr="00EF6D03">
        <w:t xml:space="preserve"> the new methodology </w:t>
      </w:r>
      <w:r w:rsidR="00EF6D03">
        <w:t xml:space="preserve">were not </w:t>
      </w:r>
      <w:r w:rsidR="00EF6D03" w:rsidRPr="00EF6D03">
        <w:t xml:space="preserve">available in time for inclusion in </w:t>
      </w:r>
      <w:r w:rsidR="00EF6D03">
        <w:t>this</w:t>
      </w:r>
      <w:r w:rsidR="00EF6D03" w:rsidRPr="00EF6D03">
        <w:t xml:space="preserve"> Report</w:t>
      </w:r>
      <w:r w:rsidR="00EF6D03">
        <w:t xml:space="preserve"> edition</w:t>
      </w:r>
      <w:r w:rsidR="00EF6D03" w:rsidRPr="00EF6D03">
        <w:t>.</w:t>
      </w:r>
    </w:p>
    <w:p w:rsidR="00346E2F" w:rsidRDefault="00346E2F" w:rsidP="00980FDB">
      <w:pPr>
        <w:pStyle w:val="Heading5"/>
      </w:pPr>
      <w:r>
        <w:t>Recurrent cost per casemix-adjusted separation</w:t>
      </w:r>
    </w:p>
    <w:p w:rsidR="00215AD4" w:rsidRDefault="00346E2F" w:rsidP="00346E2F">
      <w:pPr>
        <w:pStyle w:val="BodyText"/>
      </w:pPr>
      <w:r>
        <w:t>‘Recurrent cost per casemix-adjusted separation’ data are presented in figure 11.</w:t>
      </w:r>
      <w:r w:rsidR="000D26EC">
        <w:t>21</w:t>
      </w:r>
      <w:r>
        <w:t>.</w:t>
      </w:r>
    </w:p>
    <w:p w:rsidR="00346E2F" w:rsidRDefault="00346E2F" w:rsidP="007D422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46E2F" w:rsidTr="0083330D">
        <w:tc>
          <w:tcPr>
            <w:tcW w:w="8771" w:type="dxa"/>
            <w:tcBorders>
              <w:top w:val="single" w:sz="6" w:space="0" w:color="78A22F"/>
              <w:left w:val="nil"/>
              <w:bottom w:val="nil"/>
              <w:right w:val="nil"/>
            </w:tcBorders>
            <w:shd w:val="clear" w:color="auto" w:fill="auto"/>
          </w:tcPr>
          <w:p w:rsidR="00346E2F" w:rsidRPr="00176D3F" w:rsidRDefault="00346E2F" w:rsidP="00346E2F">
            <w:pPr>
              <w:pStyle w:val="FigureTitle"/>
            </w:pPr>
            <w:r w:rsidRPr="00784A05">
              <w:rPr>
                <w:b w:val="0"/>
              </w:rPr>
              <w:t xml:space="preserve">Figure </w:t>
            </w:r>
            <w:r w:rsidR="000D26EC">
              <w:rPr>
                <w:b w:val="0"/>
              </w:rPr>
              <w:t>11.</w:t>
            </w:r>
            <w:r w:rsidR="009A53E9">
              <w:rPr>
                <w:b w:val="0"/>
                <w:noProof/>
              </w:rPr>
              <w:t>21</w:t>
            </w:r>
            <w:r>
              <w:tab/>
            </w:r>
            <w:r w:rsidRPr="00346E2F">
              <w:t xml:space="preserve">Recurrent cost per casemix-adjusted separation, </w:t>
            </w:r>
            <w:r w:rsidR="00C544B8">
              <w:br/>
            </w:r>
            <w:r w:rsidRPr="00346E2F">
              <w:t>2011-12</w:t>
            </w:r>
            <w:r w:rsidRPr="00346E2F">
              <w:rPr>
                <w:rStyle w:val="NoteLabel"/>
                <w:b/>
                <w:szCs w:val="20"/>
              </w:rPr>
              <w:t>a, b, c, d</w:t>
            </w:r>
          </w:p>
        </w:tc>
      </w:tr>
      <w:tr w:rsidR="00346E2F" w:rsidTr="0083330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46E2F" w:rsidTr="007D422B">
              <w:trPr>
                <w:jc w:val="center"/>
              </w:trPr>
              <w:tc>
                <w:tcPr>
                  <w:tcW w:w="5000" w:type="pct"/>
                  <w:tcBorders>
                    <w:top w:val="nil"/>
                    <w:bottom w:val="nil"/>
                  </w:tcBorders>
                </w:tcPr>
                <w:p w:rsidR="00346E2F" w:rsidRDefault="001F000D" w:rsidP="007D422B">
                  <w:pPr>
                    <w:pStyle w:val="Figure"/>
                    <w:spacing w:before="60" w:after="60"/>
                  </w:pPr>
                  <w:r>
                    <w:rPr>
                      <w:noProof/>
                    </w:rPr>
                    <w:drawing>
                      <wp:inline distT="0" distB="0" distL="0" distR="0" wp14:anchorId="3D9193E0" wp14:editId="14E2CA93">
                        <wp:extent cx="5391150" cy="2371725"/>
                        <wp:effectExtent l="0" t="0" r="0" b="9525"/>
                        <wp:docPr id="24" name="Picture 24" descr="Figure 11.21 Recurrent cost per casemix-adjusted separation, &#10;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91150" cy="2371725"/>
                                </a:xfrm>
                                <a:prstGeom prst="rect">
                                  <a:avLst/>
                                </a:prstGeom>
                                <a:noFill/>
                                <a:ln>
                                  <a:noFill/>
                                </a:ln>
                              </pic:spPr>
                            </pic:pic>
                          </a:graphicData>
                        </a:graphic>
                      </wp:inline>
                    </w:drawing>
                  </w:r>
                </w:p>
              </w:tc>
            </w:tr>
          </w:tbl>
          <w:p w:rsidR="00346E2F" w:rsidRDefault="00346E2F" w:rsidP="007D422B">
            <w:pPr>
              <w:pStyle w:val="Figure"/>
            </w:pPr>
          </w:p>
        </w:tc>
      </w:tr>
      <w:tr w:rsidR="00346E2F" w:rsidRPr="00176D3F" w:rsidTr="007D422B">
        <w:tc>
          <w:tcPr>
            <w:tcW w:w="8771" w:type="dxa"/>
            <w:tcBorders>
              <w:top w:val="nil"/>
              <w:left w:val="nil"/>
              <w:bottom w:val="nil"/>
              <w:right w:val="nil"/>
            </w:tcBorders>
            <w:shd w:val="clear" w:color="auto" w:fill="auto"/>
          </w:tcPr>
          <w:p w:rsidR="00346E2F" w:rsidRPr="00176D3F" w:rsidRDefault="00346E2F" w:rsidP="007D422B">
            <w:pPr>
              <w:pStyle w:val="Note"/>
            </w:pPr>
            <w:r>
              <w:rPr>
                <w:rStyle w:val="NoteLabel"/>
              </w:rPr>
              <w:t>a</w:t>
            </w:r>
            <w:r>
              <w:t xml:space="preserve"> </w:t>
            </w:r>
            <w:r w:rsidRPr="00346E2F">
              <w:t xml:space="preserve">Excludes depreciation and the user cost of capital, spending on non-admitted patient care and research costs. </w:t>
            </w:r>
            <w:r w:rsidRPr="00346E2F">
              <w:rPr>
                <w:rStyle w:val="NoteLabel"/>
              </w:rPr>
              <w:t>b</w:t>
            </w:r>
            <w:r w:rsidRPr="00346E2F">
              <w:t xml:space="preserve"> </w:t>
            </w:r>
            <w:r w:rsidRPr="00696C96">
              <w:t>Casemix-adjusted separations are the product of total separations and average cost weight. Average cost weights are from the National Hospital Cost Data Collection, based on acute and unspecified separations and newborn episodes of care with qualified days, using the 2008-09 AR-DRG v 5.2 cost weights.</w:t>
            </w:r>
            <w:r w:rsidRPr="00346E2F">
              <w:t xml:space="preserve"> </w:t>
            </w:r>
            <w:r w:rsidRPr="00346E2F">
              <w:rPr>
                <w:rStyle w:val="NoteLabel"/>
              </w:rPr>
              <w:t>c</w:t>
            </w:r>
            <w:r w:rsidRPr="00346E2F">
              <w:t xml:space="preserve"> Excludes separations for which the care type was reported as ‘newborn with no qualified days’, and records for hospital boarders and posthumous organ procurement. </w:t>
            </w:r>
            <w:r w:rsidRPr="00346E2F">
              <w:rPr>
                <w:rStyle w:val="NoteLabel"/>
              </w:rPr>
              <w:t>d</w:t>
            </w:r>
            <w:r w:rsidRPr="00346E2F">
              <w:t xml:space="preserve"> Psychiatric hospitals, drug and alcohol services, mothercraft hospitals, unpeered and other hospitals, hospices, rehabilitation facilities, small non-acute hospitals and multi purpose services are excluded from these data. The data are based on hospital establishments for which expenditure data were provided, including networks of hospitals in some jurisdictions. Some small hospitals with incomplete expenditure data were not included.</w:t>
            </w:r>
          </w:p>
        </w:tc>
      </w:tr>
      <w:tr w:rsidR="00346E2F" w:rsidRPr="00176D3F" w:rsidTr="007D422B">
        <w:tc>
          <w:tcPr>
            <w:tcW w:w="8771" w:type="dxa"/>
            <w:tcBorders>
              <w:top w:val="nil"/>
              <w:left w:val="nil"/>
              <w:bottom w:val="nil"/>
              <w:right w:val="nil"/>
            </w:tcBorders>
            <w:shd w:val="clear" w:color="auto" w:fill="auto"/>
          </w:tcPr>
          <w:p w:rsidR="00346E2F" w:rsidRPr="00176D3F" w:rsidRDefault="00346E2F" w:rsidP="004F7D79">
            <w:pPr>
              <w:pStyle w:val="Source"/>
            </w:pPr>
            <w:r>
              <w:rPr>
                <w:i/>
              </w:rPr>
              <w:t>S</w:t>
            </w:r>
            <w:r w:rsidRPr="00784A05">
              <w:rPr>
                <w:i/>
              </w:rPr>
              <w:t>ource</w:t>
            </w:r>
            <w:r w:rsidRPr="00176D3F">
              <w:t xml:space="preserve">: </w:t>
            </w:r>
            <w:r w:rsidRPr="00346E2F">
              <w:t xml:space="preserve">AIHW (2013), </w:t>
            </w:r>
            <w:r w:rsidRPr="00346E2F">
              <w:rPr>
                <w:i/>
              </w:rPr>
              <w:t>Australian Hospital Statistics 2011-12</w:t>
            </w:r>
            <w:r w:rsidRPr="00346E2F">
              <w:t>, Health Services Series No. 50, Cat no.</w:t>
            </w:r>
            <w:r w:rsidR="009551A6">
              <w:t> </w:t>
            </w:r>
            <w:r w:rsidRPr="00346E2F">
              <w:t>HSE</w:t>
            </w:r>
            <w:r w:rsidR="0083312F">
              <w:t> </w:t>
            </w:r>
            <w:r w:rsidRPr="00346E2F">
              <w:t>134; table 11A.</w:t>
            </w:r>
            <w:r w:rsidR="007E1F41">
              <w:t>6</w:t>
            </w:r>
            <w:r w:rsidR="004F7D79">
              <w:t>0</w:t>
            </w:r>
            <w:r w:rsidRPr="00346E2F">
              <w:t>.</w:t>
            </w:r>
          </w:p>
        </w:tc>
      </w:tr>
      <w:tr w:rsidR="00346E2F" w:rsidTr="007D422B">
        <w:tc>
          <w:tcPr>
            <w:tcW w:w="8771" w:type="dxa"/>
            <w:tcBorders>
              <w:top w:val="nil"/>
              <w:left w:val="nil"/>
              <w:bottom w:val="single" w:sz="6" w:space="0" w:color="78A22F"/>
              <w:right w:val="nil"/>
            </w:tcBorders>
            <w:shd w:val="clear" w:color="auto" w:fill="auto"/>
          </w:tcPr>
          <w:p w:rsidR="00346E2F" w:rsidRDefault="00346E2F" w:rsidP="007D422B">
            <w:pPr>
              <w:pStyle w:val="Figurespace"/>
            </w:pPr>
          </w:p>
        </w:tc>
      </w:tr>
      <w:tr w:rsidR="00346E2F" w:rsidRPr="000863A5" w:rsidTr="007D422B">
        <w:tc>
          <w:tcPr>
            <w:tcW w:w="8771" w:type="dxa"/>
            <w:tcBorders>
              <w:top w:val="single" w:sz="6" w:space="0" w:color="78A22F"/>
              <w:left w:val="nil"/>
              <w:bottom w:val="nil"/>
              <w:right w:val="nil"/>
            </w:tcBorders>
          </w:tcPr>
          <w:p w:rsidR="00346E2F" w:rsidRPr="00626D32" w:rsidRDefault="00346E2F" w:rsidP="007D422B">
            <w:pPr>
              <w:pStyle w:val="BoxSpaceBelow"/>
            </w:pPr>
          </w:p>
        </w:tc>
      </w:tr>
    </w:tbl>
    <w:p w:rsidR="00346E2F" w:rsidRDefault="004A1661" w:rsidP="00346E2F">
      <w:pPr>
        <w:pStyle w:val="BodyText"/>
      </w:pPr>
      <w:r w:rsidRPr="004A1661">
        <w:t>Experimental estimates of ‘recurrent cost per casemix-adjusted separation’ for acute non</w:t>
      </w:r>
      <w:r w:rsidR="00B81EBB">
        <w:noBreakHyphen/>
      </w:r>
      <w:r w:rsidRPr="004A1661">
        <w:t>psychiatric patients are reported for NSW, Victoria and WA (figure 11.2</w:t>
      </w:r>
      <w:r w:rsidR="000D26EC">
        <w:t>2</w:t>
      </w:r>
      <w:r w:rsidRPr="004A1661">
        <w:t>). (These estimates relate to a subset of the selected public hospitals reported in figure 11.</w:t>
      </w:r>
      <w:r w:rsidR="000D26EC">
        <w:t>21</w:t>
      </w:r>
      <w:r w:rsidRPr="004A1661">
        <w:t xml:space="preserve"> and are not available for other jurisdictions.) The experimental estimates aim to overcome the need to apply cost weights for acute care to non</w:t>
      </w:r>
      <w:r w:rsidR="00B81EBB">
        <w:t>-</w:t>
      </w:r>
      <w:r w:rsidRPr="004A1661">
        <w:t>acute care separations (box 11.11). The effect of restricting the analysis to acute, non</w:t>
      </w:r>
      <w:r w:rsidR="00B81EBB">
        <w:t>-</w:t>
      </w:r>
      <w:r w:rsidRPr="004A1661">
        <w:t xml:space="preserve">psychiatric admitted patients was to decrease the estimated recurrent cost per casemix adjusted separation for the subset of hospitals by </w:t>
      </w:r>
      <w:r w:rsidRPr="00696C96">
        <w:t>5.6</w:t>
      </w:r>
      <w:r w:rsidR="0083312F" w:rsidRPr="00696C96">
        <w:t> </w:t>
      </w:r>
      <w:r w:rsidRPr="004A1661">
        <w:t xml:space="preserve">per cent for NSW, </w:t>
      </w:r>
      <w:r w:rsidRPr="00696C96">
        <w:t>14.0</w:t>
      </w:r>
      <w:r w:rsidRPr="004A1661">
        <w:t xml:space="preserve"> per cent for Victoria and </w:t>
      </w:r>
      <w:r w:rsidRPr="00696C96">
        <w:t>4.1</w:t>
      </w:r>
      <w:r w:rsidRPr="004A1661">
        <w:t xml:space="preserve"> per cent for WA (AIHW 2013).</w:t>
      </w:r>
    </w:p>
    <w:p w:rsidR="004A1661" w:rsidRDefault="004A1661" w:rsidP="007D422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A1661" w:rsidTr="0083330D">
        <w:tc>
          <w:tcPr>
            <w:tcW w:w="8771" w:type="dxa"/>
            <w:tcBorders>
              <w:top w:val="single" w:sz="6" w:space="0" w:color="78A22F"/>
              <w:left w:val="nil"/>
              <w:bottom w:val="nil"/>
              <w:right w:val="nil"/>
            </w:tcBorders>
            <w:shd w:val="clear" w:color="auto" w:fill="auto"/>
          </w:tcPr>
          <w:p w:rsidR="004A1661" w:rsidRPr="00176D3F" w:rsidRDefault="004A1661" w:rsidP="004A1661">
            <w:pPr>
              <w:pStyle w:val="FigureTitle"/>
            </w:pPr>
            <w:r w:rsidRPr="00784A05">
              <w:rPr>
                <w:b w:val="0"/>
              </w:rPr>
              <w:t xml:space="preserve">Figure </w:t>
            </w:r>
            <w:r w:rsidR="000D26EC">
              <w:rPr>
                <w:b w:val="0"/>
              </w:rPr>
              <w:t>11.</w:t>
            </w:r>
            <w:r w:rsidR="009A53E9">
              <w:rPr>
                <w:b w:val="0"/>
                <w:noProof/>
              </w:rPr>
              <w:t>22</w:t>
            </w:r>
            <w:r>
              <w:tab/>
            </w:r>
            <w:r w:rsidRPr="004A1661">
              <w:t>Recurrent cost per acute non-psychiatric casemix-adjusted separation, subset of hospitals, 2011-12</w:t>
            </w:r>
            <w:r w:rsidRPr="004A1661">
              <w:rPr>
                <w:rStyle w:val="NoteLabel"/>
                <w:b/>
                <w:szCs w:val="20"/>
              </w:rPr>
              <w:t>a, b, c, d</w:t>
            </w:r>
          </w:p>
        </w:tc>
      </w:tr>
      <w:tr w:rsidR="004A1661" w:rsidTr="0083330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A1661" w:rsidTr="007D422B">
              <w:trPr>
                <w:jc w:val="center"/>
              </w:trPr>
              <w:tc>
                <w:tcPr>
                  <w:tcW w:w="5000" w:type="pct"/>
                  <w:tcBorders>
                    <w:top w:val="nil"/>
                    <w:bottom w:val="nil"/>
                  </w:tcBorders>
                </w:tcPr>
                <w:p w:rsidR="004A1661" w:rsidRDefault="001F000D" w:rsidP="007D422B">
                  <w:pPr>
                    <w:pStyle w:val="Figure"/>
                    <w:spacing w:before="60" w:after="60"/>
                  </w:pPr>
                  <w:r>
                    <w:rPr>
                      <w:noProof/>
                    </w:rPr>
                    <w:drawing>
                      <wp:inline distT="0" distB="0" distL="0" distR="0" wp14:anchorId="5B82324E" wp14:editId="2CD0D06D">
                        <wp:extent cx="5391150" cy="2705100"/>
                        <wp:effectExtent l="0" t="0" r="0" b="0"/>
                        <wp:docPr id="25" name="Picture 25" descr="Figure 11.22 Recurrent cost per acute non-psychiatric casemix-adjusted separation, subset of hospital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4A1661" w:rsidRDefault="004A1661" w:rsidP="007D422B">
            <w:pPr>
              <w:pStyle w:val="Figure"/>
            </w:pPr>
          </w:p>
        </w:tc>
      </w:tr>
      <w:tr w:rsidR="004A1661" w:rsidRPr="00176D3F" w:rsidTr="007D422B">
        <w:tc>
          <w:tcPr>
            <w:tcW w:w="8771" w:type="dxa"/>
            <w:tcBorders>
              <w:top w:val="nil"/>
              <w:left w:val="nil"/>
              <w:bottom w:val="nil"/>
              <w:right w:val="nil"/>
            </w:tcBorders>
            <w:shd w:val="clear" w:color="auto" w:fill="auto"/>
          </w:tcPr>
          <w:p w:rsidR="004A1661" w:rsidRPr="00176D3F" w:rsidRDefault="004A1661" w:rsidP="00B81EBB">
            <w:pPr>
              <w:pStyle w:val="Note"/>
            </w:pPr>
            <w:r>
              <w:rPr>
                <w:rStyle w:val="NoteLabel"/>
              </w:rPr>
              <w:t>a</w:t>
            </w:r>
            <w:r>
              <w:t xml:space="preserve"> </w:t>
            </w:r>
            <w:r w:rsidRPr="004A1661">
              <w:t>Excludes psychiatric hospitals, subacute, non-acute and unpeered hospitals. This subset excludes hospitals where the inpatient fraction was equal to the acute inpatient fraction and more than 1000 non</w:t>
            </w:r>
            <w:r w:rsidR="00B81EBB">
              <w:noBreakHyphen/>
            </w:r>
            <w:r w:rsidRPr="004A1661">
              <w:t>acute patient days were recorded. Also excludes hospitals where the apparent cost of non</w:t>
            </w:r>
            <w:r w:rsidR="00B81EBB">
              <w:t>-</w:t>
            </w:r>
            <w:r w:rsidRPr="004A1661">
              <w:t xml:space="preserve">acute patients exceeded $1000 per day and more than $1 million of apparent expenditure on non-acute patients days was reported. </w:t>
            </w:r>
            <w:r w:rsidRPr="004A1661">
              <w:rPr>
                <w:rStyle w:val="NoteLabel"/>
              </w:rPr>
              <w:t>b</w:t>
            </w:r>
            <w:r w:rsidRPr="004A1661">
              <w:t xml:space="preserve"> Separations are those where the care type is acute, newborn with qualified days, or not reported. Psychiatric separations are those with psychiatric care days. </w:t>
            </w:r>
            <w:r w:rsidRPr="004A1661">
              <w:rPr>
                <w:rStyle w:val="NoteLabel"/>
              </w:rPr>
              <w:t>c</w:t>
            </w:r>
            <w:r w:rsidRPr="004A1661">
              <w:t xml:space="preserve"> </w:t>
            </w:r>
            <w:r w:rsidRPr="00696C96">
              <w:t>Average cost weight from the National Hospital Cost Data Collection, based on acute, newborn with at least one qualified day, or not reported, using the 2008-09 AR</w:t>
            </w:r>
            <w:r w:rsidR="004D0FB7" w:rsidRPr="00696C96">
              <w:t>-</w:t>
            </w:r>
            <w:r w:rsidRPr="00696C96">
              <w:t xml:space="preserve">DRG version 5.2 cost weights. </w:t>
            </w:r>
            <w:r w:rsidRPr="004A1661">
              <w:rPr>
                <w:rStyle w:val="NoteLabel"/>
              </w:rPr>
              <w:t>d</w:t>
            </w:r>
            <w:r w:rsidRPr="004A1661">
              <w:t xml:space="preserve"> These estimates are not available for Queensland, SA, Tasmania, the ACT or the NT.</w:t>
            </w:r>
          </w:p>
        </w:tc>
      </w:tr>
      <w:tr w:rsidR="004A1661" w:rsidRPr="00176D3F" w:rsidTr="007D422B">
        <w:tc>
          <w:tcPr>
            <w:tcW w:w="8771" w:type="dxa"/>
            <w:tcBorders>
              <w:top w:val="nil"/>
              <w:left w:val="nil"/>
              <w:bottom w:val="nil"/>
              <w:right w:val="nil"/>
            </w:tcBorders>
            <w:shd w:val="clear" w:color="auto" w:fill="auto"/>
          </w:tcPr>
          <w:p w:rsidR="004A1661" w:rsidRPr="00176D3F" w:rsidRDefault="004A1661" w:rsidP="004F7D79">
            <w:pPr>
              <w:pStyle w:val="Source"/>
            </w:pPr>
            <w:r>
              <w:rPr>
                <w:i/>
              </w:rPr>
              <w:t>S</w:t>
            </w:r>
            <w:r w:rsidRPr="00784A05">
              <w:rPr>
                <w:i/>
              </w:rPr>
              <w:t>ource</w:t>
            </w:r>
            <w:r w:rsidRPr="00176D3F">
              <w:t xml:space="preserve">: </w:t>
            </w:r>
            <w:r w:rsidRPr="004A1661">
              <w:t xml:space="preserve">AIHW (2013), </w:t>
            </w:r>
            <w:r w:rsidRPr="004A1661">
              <w:rPr>
                <w:i/>
              </w:rPr>
              <w:t>Australian Hospital Statistics 2011-12</w:t>
            </w:r>
            <w:r w:rsidRPr="004A1661">
              <w:t>, Health Services Series No. 50, Cat no.</w:t>
            </w:r>
            <w:r w:rsidR="009551A6">
              <w:t> </w:t>
            </w:r>
            <w:r w:rsidRPr="004A1661">
              <w:t>HSE</w:t>
            </w:r>
            <w:r w:rsidR="0022493D">
              <w:t> </w:t>
            </w:r>
            <w:r w:rsidRPr="004A1661">
              <w:t>134; table 11A.</w:t>
            </w:r>
            <w:r w:rsidR="006160B6">
              <w:t>6</w:t>
            </w:r>
            <w:r w:rsidR="004F7D79">
              <w:t>0</w:t>
            </w:r>
            <w:r w:rsidRPr="004A1661">
              <w:t>.</w:t>
            </w:r>
          </w:p>
        </w:tc>
      </w:tr>
      <w:tr w:rsidR="004A1661" w:rsidTr="007D422B">
        <w:tc>
          <w:tcPr>
            <w:tcW w:w="8771" w:type="dxa"/>
            <w:tcBorders>
              <w:top w:val="nil"/>
              <w:left w:val="nil"/>
              <w:bottom w:val="single" w:sz="6" w:space="0" w:color="78A22F"/>
              <w:right w:val="nil"/>
            </w:tcBorders>
            <w:shd w:val="clear" w:color="auto" w:fill="auto"/>
          </w:tcPr>
          <w:p w:rsidR="004A1661" w:rsidRDefault="004A1661" w:rsidP="007D422B">
            <w:pPr>
              <w:pStyle w:val="Figurespace"/>
            </w:pPr>
          </w:p>
        </w:tc>
      </w:tr>
      <w:tr w:rsidR="004A1661" w:rsidRPr="000863A5" w:rsidTr="007D422B">
        <w:tc>
          <w:tcPr>
            <w:tcW w:w="8771" w:type="dxa"/>
            <w:tcBorders>
              <w:top w:val="single" w:sz="6" w:space="0" w:color="78A22F"/>
              <w:left w:val="nil"/>
              <w:bottom w:val="nil"/>
              <w:right w:val="nil"/>
            </w:tcBorders>
          </w:tcPr>
          <w:p w:rsidR="004A1661" w:rsidRPr="00626D32" w:rsidRDefault="004A1661" w:rsidP="007D422B">
            <w:pPr>
              <w:pStyle w:val="BoxSpaceBelow"/>
            </w:pPr>
          </w:p>
        </w:tc>
      </w:tr>
    </w:tbl>
    <w:p w:rsidR="004A1661" w:rsidRDefault="004A1661" w:rsidP="004A1661">
      <w:pPr>
        <w:pStyle w:val="BodyText"/>
      </w:pPr>
      <w:r>
        <w:t>Recurrent cost per casemix-adjusted separation is affected by differences in the mix of admitted patient services produced by hospitals in each jurisdiction. Hospitals have been categorised by ‘peer groups’ to enable those with similar activities to be compared. The public hospital peer groups include ‘Principal referral and Specialist women’s and children’s hospitals’, ‘Large hospitals’, ‘Medium hospitals’ and ‘Small acute hospitals’.</w:t>
      </w:r>
    </w:p>
    <w:p w:rsidR="004A1661" w:rsidRDefault="004A1661" w:rsidP="004A1661">
      <w:pPr>
        <w:pStyle w:val="BodyText"/>
      </w:pPr>
      <w:r>
        <w:t xml:space="preserve">The dominant peer classification is the ‘Principal referral and Specialist women’s and children’s’ category. The </w:t>
      </w:r>
      <w:r w:rsidRPr="00696C96">
        <w:t>90</w:t>
      </w:r>
      <w:r>
        <w:t xml:space="preserve"> hospitals in </w:t>
      </w:r>
      <w:r w:rsidR="005F067D">
        <w:t xml:space="preserve">this group had an average of </w:t>
      </w:r>
      <w:r w:rsidR="005F067D" w:rsidRPr="00696C96">
        <w:t>45 </w:t>
      </w:r>
      <w:r w:rsidRPr="00696C96">
        <w:t>440</w:t>
      </w:r>
      <w:r>
        <w:t xml:space="preserve"> separations each at an average cost of </w:t>
      </w:r>
      <w:r w:rsidRPr="00696C96">
        <w:t>$5222</w:t>
      </w:r>
      <w:r>
        <w:t xml:space="preserve"> per separation (table 11A.</w:t>
      </w:r>
      <w:r w:rsidR="006160B6">
        <w:t>6</w:t>
      </w:r>
      <w:r w:rsidR="004F7D79">
        <w:t>1</w:t>
      </w:r>
      <w:r>
        <w:t xml:space="preserve"> and table 11.8). Data for each of the hospital peer groups are presented in table 11.8. Detailed data for all peer groups are presented in table 11A.</w:t>
      </w:r>
      <w:r w:rsidR="006160B6">
        <w:t>6</w:t>
      </w:r>
      <w:r w:rsidR="004F7D79">
        <w:t>1</w:t>
      </w:r>
      <w:r>
        <w:t>.</w:t>
      </w:r>
    </w:p>
    <w:p w:rsidR="004A1661" w:rsidRDefault="004A1661" w:rsidP="007D422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4A1661" w:rsidTr="0083330D">
        <w:tc>
          <w:tcPr>
            <w:tcW w:w="8771" w:type="dxa"/>
            <w:tcBorders>
              <w:top w:val="single" w:sz="6" w:space="0" w:color="78A22F"/>
              <w:left w:val="nil"/>
              <w:bottom w:val="nil"/>
              <w:right w:val="nil"/>
            </w:tcBorders>
            <w:shd w:val="clear" w:color="auto" w:fill="auto"/>
          </w:tcPr>
          <w:p w:rsidR="004A1661" w:rsidRPr="00784A05" w:rsidRDefault="004A1661" w:rsidP="00C21C9F">
            <w:pPr>
              <w:pStyle w:val="TableTitle"/>
            </w:pPr>
            <w:r>
              <w:rPr>
                <w:b w:val="0"/>
              </w:rPr>
              <w:t>Table 11.</w:t>
            </w:r>
            <w:r w:rsidR="009A53E9">
              <w:rPr>
                <w:b w:val="0"/>
                <w:noProof/>
              </w:rPr>
              <w:t>8</w:t>
            </w:r>
            <w:r>
              <w:tab/>
            </w:r>
            <w:r w:rsidR="00C85195" w:rsidRPr="00C85195">
              <w:t>Recurrent cost per casemix-adjusted separation, by hospital peer group, 201</w:t>
            </w:r>
            <w:r w:rsidR="00C21C9F">
              <w:t>1-12</w:t>
            </w:r>
            <w:r w:rsidR="00C85195" w:rsidRPr="00C85195">
              <w:rPr>
                <w:rStyle w:val="NoteLabel"/>
                <w:b/>
              </w:rPr>
              <w:t>a, b, c</w:t>
            </w:r>
          </w:p>
        </w:tc>
      </w:tr>
      <w:tr w:rsidR="004A1661" w:rsidTr="0083330D">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963"/>
              <w:gridCol w:w="849"/>
              <w:gridCol w:w="710"/>
              <w:gridCol w:w="708"/>
              <w:gridCol w:w="710"/>
              <w:gridCol w:w="710"/>
              <w:gridCol w:w="708"/>
              <w:gridCol w:w="710"/>
              <w:gridCol w:w="708"/>
              <w:gridCol w:w="711"/>
            </w:tblGrid>
            <w:tr w:rsidR="00C85195" w:rsidTr="00C85195">
              <w:tc>
                <w:tcPr>
                  <w:tcW w:w="1156" w:type="pct"/>
                  <w:tcBorders>
                    <w:top w:val="single" w:sz="6" w:space="0" w:color="BFBFBF"/>
                    <w:bottom w:val="single" w:sz="6" w:space="0" w:color="BFBFBF"/>
                  </w:tcBorders>
                  <w:shd w:val="clear" w:color="auto" w:fill="auto"/>
                  <w:tcMar>
                    <w:top w:w="28" w:type="dxa"/>
                  </w:tcMar>
                </w:tcPr>
                <w:p w:rsidR="00C85195" w:rsidRDefault="00C85195" w:rsidP="007D422B">
                  <w:pPr>
                    <w:pStyle w:val="TableColumnHeading"/>
                    <w:jc w:val="left"/>
                  </w:pPr>
                </w:p>
              </w:tc>
              <w:tc>
                <w:tcPr>
                  <w:tcW w:w="500" w:type="pct"/>
                  <w:tcBorders>
                    <w:top w:val="single" w:sz="6" w:space="0" w:color="BFBFBF"/>
                    <w:bottom w:val="single" w:sz="6" w:space="0" w:color="BFBFBF"/>
                  </w:tcBorders>
                </w:tcPr>
                <w:p w:rsidR="00C85195" w:rsidRDefault="00C85195" w:rsidP="007D422B">
                  <w:pPr>
                    <w:pStyle w:val="TableColumnHeading"/>
                  </w:pPr>
                  <w:r>
                    <w:t>NSW</w:t>
                  </w:r>
                </w:p>
              </w:tc>
              <w:tc>
                <w:tcPr>
                  <w:tcW w:w="418" w:type="pct"/>
                  <w:tcBorders>
                    <w:top w:val="single" w:sz="6" w:space="0" w:color="BFBFBF"/>
                    <w:bottom w:val="single" w:sz="6" w:space="0" w:color="BFBFBF"/>
                  </w:tcBorders>
                </w:tcPr>
                <w:p w:rsidR="00C85195" w:rsidRDefault="00C85195" w:rsidP="007D422B">
                  <w:pPr>
                    <w:pStyle w:val="TableColumnHeading"/>
                  </w:pPr>
                  <w:r>
                    <w:t>Vic</w:t>
                  </w:r>
                </w:p>
              </w:tc>
              <w:tc>
                <w:tcPr>
                  <w:tcW w:w="417" w:type="pct"/>
                  <w:tcBorders>
                    <w:top w:val="single" w:sz="6" w:space="0" w:color="BFBFBF"/>
                    <w:bottom w:val="single" w:sz="6" w:space="0" w:color="BFBFBF"/>
                  </w:tcBorders>
                </w:tcPr>
                <w:p w:rsidR="00C85195" w:rsidRDefault="00C85195" w:rsidP="007D422B">
                  <w:pPr>
                    <w:pStyle w:val="TableColumnHeading"/>
                  </w:pPr>
                  <w:r>
                    <w:t>Qld</w:t>
                  </w:r>
                </w:p>
              </w:tc>
              <w:tc>
                <w:tcPr>
                  <w:tcW w:w="418" w:type="pct"/>
                  <w:tcBorders>
                    <w:top w:val="single" w:sz="6" w:space="0" w:color="BFBFBF"/>
                    <w:bottom w:val="single" w:sz="6" w:space="0" w:color="BFBFBF"/>
                  </w:tcBorders>
                </w:tcPr>
                <w:p w:rsidR="00C85195" w:rsidRDefault="00C85195" w:rsidP="007D422B">
                  <w:pPr>
                    <w:pStyle w:val="TableColumnHeading"/>
                  </w:pPr>
                  <w:r>
                    <w:t>WA</w:t>
                  </w:r>
                </w:p>
              </w:tc>
              <w:tc>
                <w:tcPr>
                  <w:tcW w:w="418" w:type="pct"/>
                  <w:tcBorders>
                    <w:top w:val="single" w:sz="6" w:space="0" w:color="BFBFBF"/>
                    <w:bottom w:val="single" w:sz="6" w:space="0" w:color="BFBFBF"/>
                  </w:tcBorders>
                </w:tcPr>
                <w:p w:rsidR="00C85195" w:rsidRDefault="00C85195" w:rsidP="007D422B">
                  <w:pPr>
                    <w:pStyle w:val="TableColumnHeading"/>
                  </w:pPr>
                  <w:r>
                    <w:t>SA</w:t>
                  </w:r>
                </w:p>
              </w:tc>
              <w:tc>
                <w:tcPr>
                  <w:tcW w:w="417" w:type="pct"/>
                  <w:tcBorders>
                    <w:top w:val="single" w:sz="6" w:space="0" w:color="BFBFBF"/>
                    <w:bottom w:val="single" w:sz="6" w:space="0" w:color="BFBFBF"/>
                  </w:tcBorders>
                </w:tcPr>
                <w:p w:rsidR="00C85195" w:rsidRDefault="00C85195" w:rsidP="007D422B">
                  <w:pPr>
                    <w:pStyle w:val="TableColumnHeading"/>
                  </w:pPr>
                  <w:r>
                    <w:t>Tas</w:t>
                  </w:r>
                </w:p>
              </w:tc>
              <w:tc>
                <w:tcPr>
                  <w:tcW w:w="418" w:type="pct"/>
                  <w:tcBorders>
                    <w:top w:val="single" w:sz="6" w:space="0" w:color="BFBFBF"/>
                    <w:bottom w:val="single" w:sz="6" w:space="0" w:color="BFBFBF"/>
                  </w:tcBorders>
                </w:tcPr>
                <w:p w:rsidR="00C85195" w:rsidRDefault="00C85195" w:rsidP="007D422B">
                  <w:pPr>
                    <w:pStyle w:val="TableColumnHeading"/>
                  </w:pPr>
                  <w:r>
                    <w:t>ACT</w:t>
                  </w:r>
                </w:p>
              </w:tc>
              <w:tc>
                <w:tcPr>
                  <w:tcW w:w="417" w:type="pct"/>
                  <w:tcBorders>
                    <w:top w:val="single" w:sz="6" w:space="0" w:color="BFBFBF"/>
                    <w:bottom w:val="single" w:sz="6" w:space="0" w:color="BFBFBF"/>
                  </w:tcBorders>
                  <w:shd w:val="clear" w:color="auto" w:fill="auto"/>
                  <w:tcMar>
                    <w:top w:w="28" w:type="dxa"/>
                  </w:tcMar>
                </w:tcPr>
                <w:p w:rsidR="00C85195" w:rsidRDefault="00C85195" w:rsidP="007D422B">
                  <w:pPr>
                    <w:pStyle w:val="TableColumnHeading"/>
                  </w:pPr>
                  <w:r>
                    <w:t>NT</w:t>
                  </w:r>
                </w:p>
              </w:tc>
              <w:tc>
                <w:tcPr>
                  <w:tcW w:w="419" w:type="pct"/>
                  <w:tcBorders>
                    <w:top w:val="single" w:sz="6" w:space="0" w:color="BFBFBF"/>
                    <w:bottom w:val="single" w:sz="6" w:space="0" w:color="BFBFBF"/>
                  </w:tcBorders>
                  <w:shd w:val="clear" w:color="auto" w:fill="auto"/>
                  <w:tcMar>
                    <w:top w:w="28" w:type="dxa"/>
                  </w:tcMar>
                </w:tcPr>
                <w:p w:rsidR="00C85195" w:rsidRDefault="00C85195" w:rsidP="007D422B">
                  <w:pPr>
                    <w:pStyle w:val="TableColumnHeading"/>
                    <w:ind w:right="28"/>
                  </w:pPr>
                  <w:r>
                    <w:t>Aust</w:t>
                  </w:r>
                </w:p>
              </w:tc>
            </w:tr>
            <w:tr w:rsidR="00C85195" w:rsidTr="0083330D">
              <w:tc>
                <w:tcPr>
                  <w:tcW w:w="1156" w:type="pct"/>
                  <w:tcBorders>
                    <w:top w:val="single" w:sz="6" w:space="0" w:color="BFBFBF"/>
                  </w:tcBorders>
                  <w:shd w:val="clear" w:color="auto" w:fill="auto"/>
                </w:tcPr>
                <w:p w:rsidR="00C85195" w:rsidRPr="00C5755B" w:rsidRDefault="00C85195" w:rsidP="007D422B">
                  <w:pPr>
                    <w:pStyle w:val="TableBodyText"/>
                    <w:jc w:val="left"/>
                    <w:rPr>
                      <w:szCs w:val="18"/>
                    </w:rPr>
                  </w:pPr>
                  <w:r>
                    <w:t xml:space="preserve">Hospital peer group </w:t>
                  </w:r>
                </w:p>
              </w:tc>
              <w:tc>
                <w:tcPr>
                  <w:tcW w:w="500" w:type="pct"/>
                  <w:tcBorders>
                    <w:top w:val="single" w:sz="6" w:space="0" w:color="BFBFBF"/>
                  </w:tcBorders>
                  <w:shd w:val="clear" w:color="auto" w:fill="auto"/>
                </w:tcPr>
                <w:p w:rsidR="00C85195" w:rsidRDefault="00C85195" w:rsidP="007D422B">
                  <w:pPr>
                    <w:pStyle w:val="TableUnitsRow"/>
                  </w:pPr>
                </w:p>
              </w:tc>
              <w:tc>
                <w:tcPr>
                  <w:tcW w:w="418" w:type="pct"/>
                  <w:tcBorders>
                    <w:top w:val="single" w:sz="6" w:space="0" w:color="BFBFBF"/>
                  </w:tcBorders>
                  <w:shd w:val="clear" w:color="auto" w:fill="auto"/>
                </w:tcPr>
                <w:p w:rsidR="00C85195" w:rsidRDefault="00C85195" w:rsidP="007D422B">
                  <w:pPr>
                    <w:pStyle w:val="TableUnitsRow"/>
                  </w:pPr>
                </w:p>
              </w:tc>
              <w:tc>
                <w:tcPr>
                  <w:tcW w:w="417" w:type="pct"/>
                  <w:tcBorders>
                    <w:top w:val="single" w:sz="6" w:space="0" w:color="BFBFBF"/>
                  </w:tcBorders>
                  <w:shd w:val="clear" w:color="auto" w:fill="auto"/>
                </w:tcPr>
                <w:p w:rsidR="00C85195" w:rsidRDefault="00C85195" w:rsidP="007D422B">
                  <w:pPr>
                    <w:pStyle w:val="TableUnitsRow"/>
                  </w:pPr>
                </w:p>
              </w:tc>
              <w:tc>
                <w:tcPr>
                  <w:tcW w:w="418" w:type="pct"/>
                  <w:tcBorders>
                    <w:top w:val="single" w:sz="6" w:space="0" w:color="BFBFBF"/>
                  </w:tcBorders>
                  <w:shd w:val="clear" w:color="auto" w:fill="auto"/>
                </w:tcPr>
                <w:p w:rsidR="00C85195" w:rsidRDefault="00C85195" w:rsidP="007D422B">
                  <w:pPr>
                    <w:pStyle w:val="TableUnitsRow"/>
                  </w:pPr>
                </w:p>
              </w:tc>
              <w:tc>
                <w:tcPr>
                  <w:tcW w:w="418" w:type="pct"/>
                  <w:tcBorders>
                    <w:top w:val="single" w:sz="6" w:space="0" w:color="BFBFBF"/>
                  </w:tcBorders>
                  <w:shd w:val="clear" w:color="auto" w:fill="auto"/>
                </w:tcPr>
                <w:p w:rsidR="00C85195" w:rsidRDefault="00C85195" w:rsidP="007D422B">
                  <w:pPr>
                    <w:pStyle w:val="TableUnitsRow"/>
                  </w:pPr>
                </w:p>
              </w:tc>
              <w:tc>
                <w:tcPr>
                  <w:tcW w:w="417" w:type="pct"/>
                  <w:tcBorders>
                    <w:top w:val="single" w:sz="6" w:space="0" w:color="BFBFBF"/>
                  </w:tcBorders>
                  <w:shd w:val="clear" w:color="auto" w:fill="auto"/>
                </w:tcPr>
                <w:p w:rsidR="00C85195" w:rsidRDefault="00C85195" w:rsidP="007D422B">
                  <w:pPr>
                    <w:pStyle w:val="TableUnitsRow"/>
                  </w:pPr>
                </w:p>
              </w:tc>
              <w:tc>
                <w:tcPr>
                  <w:tcW w:w="418" w:type="pct"/>
                  <w:tcBorders>
                    <w:top w:val="single" w:sz="6" w:space="0" w:color="BFBFBF"/>
                  </w:tcBorders>
                  <w:shd w:val="clear" w:color="auto" w:fill="auto"/>
                </w:tcPr>
                <w:p w:rsidR="00C85195" w:rsidRDefault="00C85195" w:rsidP="007D422B">
                  <w:pPr>
                    <w:pStyle w:val="TableUnitsRow"/>
                  </w:pPr>
                </w:p>
              </w:tc>
              <w:tc>
                <w:tcPr>
                  <w:tcW w:w="417" w:type="pct"/>
                  <w:tcBorders>
                    <w:top w:val="single" w:sz="6" w:space="0" w:color="BFBFBF"/>
                  </w:tcBorders>
                  <w:shd w:val="clear" w:color="auto" w:fill="auto"/>
                </w:tcPr>
                <w:p w:rsidR="00C85195" w:rsidRDefault="00C85195" w:rsidP="007D422B">
                  <w:pPr>
                    <w:pStyle w:val="TableUnitsRow"/>
                  </w:pPr>
                </w:p>
              </w:tc>
              <w:tc>
                <w:tcPr>
                  <w:tcW w:w="419" w:type="pct"/>
                  <w:tcBorders>
                    <w:top w:val="single" w:sz="6" w:space="0" w:color="BFBFBF"/>
                  </w:tcBorders>
                  <w:shd w:val="clear" w:color="auto" w:fill="auto"/>
                </w:tcPr>
                <w:p w:rsidR="00C85195" w:rsidRDefault="00C85195" w:rsidP="007D422B">
                  <w:pPr>
                    <w:pStyle w:val="TableUnitsRow"/>
                    <w:ind w:right="28"/>
                  </w:pPr>
                </w:p>
              </w:tc>
            </w:tr>
            <w:tr w:rsidR="00694D3D" w:rsidTr="0083330D">
              <w:tc>
                <w:tcPr>
                  <w:tcW w:w="1156" w:type="pct"/>
                  <w:shd w:val="clear" w:color="auto" w:fill="auto"/>
                </w:tcPr>
                <w:p w:rsidR="00694D3D" w:rsidRPr="00C5755B" w:rsidRDefault="00694D3D" w:rsidP="007D422B">
                  <w:pPr>
                    <w:pStyle w:val="TableBodyText"/>
                    <w:ind w:left="306" w:hanging="170"/>
                    <w:jc w:val="left"/>
                  </w:pPr>
                  <w:r>
                    <w:t>Principal referral and Specialist women’s and children’s</w:t>
                  </w:r>
                </w:p>
              </w:tc>
              <w:tc>
                <w:tcPr>
                  <w:tcW w:w="500" w:type="pct"/>
                  <w:shd w:val="clear" w:color="auto" w:fill="auto"/>
                </w:tcPr>
                <w:p w:rsidR="00694D3D" w:rsidRPr="00261480" w:rsidRDefault="00694D3D" w:rsidP="00694D3D">
                  <w:pPr>
                    <w:pStyle w:val="TableBodyText"/>
                    <w:ind w:left="346" w:hanging="340"/>
                  </w:pPr>
                  <w:r w:rsidRPr="00261480">
                    <w:t xml:space="preserve"> 5 337</w:t>
                  </w:r>
                </w:p>
              </w:tc>
              <w:tc>
                <w:tcPr>
                  <w:tcW w:w="418" w:type="pct"/>
                  <w:shd w:val="clear" w:color="auto" w:fill="auto"/>
                </w:tcPr>
                <w:p w:rsidR="00694D3D" w:rsidRPr="00261480" w:rsidRDefault="00694D3D" w:rsidP="00694D3D">
                  <w:pPr>
                    <w:pStyle w:val="TableBodyText"/>
                    <w:ind w:left="346" w:hanging="340"/>
                  </w:pPr>
                  <w:r w:rsidRPr="00261480">
                    <w:t xml:space="preserve"> 4 670</w:t>
                  </w:r>
                </w:p>
              </w:tc>
              <w:tc>
                <w:tcPr>
                  <w:tcW w:w="417" w:type="pct"/>
                  <w:shd w:val="clear" w:color="auto" w:fill="auto"/>
                </w:tcPr>
                <w:p w:rsidR="00694D3D" w:rsidRPr="00261480" w:rsidRDefault="00694D3D" w:rsidP="00694D3D">
                  <w:pPr>
                    <w:pStyle w:val="TableBodyText"/>
                    <w:ind w:left="346" w:hanging="340"/>
                  </w:pPr>
                  <w:r w:rsidRPr="00261480">
                    <w:t xml:space="preserve"> 5 355</w:t>
                  </w:r>
                </w:p>
              </w:tc>
              <w:tc>
                <w:tcPr>
                  <w:tcW w:w="418" w:type="pct"/>
                  <w:shd w:val="clear" w:color="auto" w:fill="auto"/>
                </w:tcPr>
                <w:p w:rsidR="00694D3D" w:rsidRPr="00261480" w:rsidRDefault="00694D3D" w:rsidP="00694D3D">
                  <w:pPr>
                    <w:pStyle w:val="TableBodyText"/>
                    <w:ind w:left="346" w:hanging="340"/>
                  </w:pPr>
                  <w:r w:rsidRPr="00261480">
                    <w:t xml:space="preserve"> 5 738</w:t>
                  </w:r>
                </w:p>
              </w:tc>
              <w:tc>
                <w:tcPr>
                  <w:tcW w:w="418" w:type="pct"/>
                  <w:shd w:val="clear" w:color="auto" w:fill="auto"/>
                </w:tcPr>
                <w:p w:rsidR="00694D3D" w:rsidRPr="00261480" w:rsidRDefault="00694D3D" w:rsidP="00694D3D">
                  <w:pPr>
                    <w:pStyle w:val="TableBodyText"/>
                    <w:ind w:left="346" w:hanging="340"/>
                  </w:pPr>
                  <w:r w:rsidRPr="00261480">
                    <w:t xml:space="preserve"> 5 287</w:t>
                  </w:r>
                </w:p>
              </w:tc>
              <w:tc>
                <w:tcPr>
                  <w:tcW w:w="417" w:type="pct"/>
                  <w:shd w:val="clear" w:color="auto" w:fill="auto"/>
                </w:tcPr>
                <w:p w:rsidR="00694D3D" w:rsidRPr="00261480" w:rsidRDefault="00694D3D" w:rsidP="00694D3D">
                  <w:pPr>
                    <w:pStyle w:val="TableBodyText"/>
                    <w:ind w:left="346" w:hanging="340"/>
                  </w:pPr>
                  <w:r w:rsidRPr="00261480">
                    <w:t xml:space="preserve"> 5 777</w:t>
                  </w:r>
                </w:p>
              </w:tc>
              <w:tc>
                <w:tcPr>
                  <w:tcW w:w="418" w:type="pct"/>
                  <w:shd w:val="clear" w:color="auto" w:fill="auto"/>
                </w:tcPr>
                <w:p w:rsidR="00694D3D" w:rsidRPr="00261480" w:rsidRDefault="00694D3D" w:rsidP="00694D3D">
                  <w:pPr>
                    <w:pStyle w:val="TableBodyText"/>
                    <w:ind w:left="346" w:hanging="340"/>
                  </w:pPr>
                  <w:r w:rsidRPr="00261480">
                    <w:t xml:space="preserve"> 6 384</w:t>
                  </w:r>
                </w:p>
              </w:tc>
              <w:tc>
                <w:tcPr>
                  <w:tcW w:w="417" w:type="pct"/>
                  <w:shd w:val="clear" w:color="auto" w:fill="auto"/>
                </w:tcPr>
                <w:p w:rsidR="00694D3D" w:rsidRPr="00261480" w:rsidRDefault="00694D3D" w:rsidP="00694D3D">
                  <w:pPr>
                    <w:pStyle w:val="TableBodyText"/>
                    <w:ind w:left="346" w:hanging="340"/>
                  </w:pPr>
                  <w:r w:rsidRPr="00261480">
                    <w:t xml:space="preserve"> 5 967</w:t>
                  </w:r>
                </w:p>
              </w:tc>
              <w:tc>
                <w:tcPr>
                  <w:tcW w:w="419" w:type="pct"/>
                  <w:shd w:val="clear" w:color="auto" w:fill="auto"/>
                </w:tcPr>
                <w:p w:rsidR="00694D3D" w:rsidRPr="00261480" w:rsidRDefault="00694D3D" w:rsidP="00694D3D">
                  <w:pPr>
                    <w:pStyle w:val="TableBodyText"/>
                    <w:ind w:left="346" w:hanging="340"/>
                  </w:pPr>
                  <w:r w:rsidRPr="00261480">
                    <w:t xml:space="preserve"> 5 222</w:t>
                  </w:r>
                </w:p>
              </w:tc>
            </w:tr>
            <w:tr w:rsidR="00694D3D" w:rsidTr="0083330D">
              <w:tc>
                <w:tcPr>
                  <w:tcW w:w="1156" w:type="pct"/>
                  <w:shd w:val="clear" w:color="auto" w:fill="auto"/>
                </w:tcPr>
                <w:p w:rsidR="00694D3D" w:rsidRPr="00C5755B" w:rsidRDefault="00694D3D" w:rsidP="007D422B">
                  <w:pPr>
                    <w:pStyle w:val="TableBodyText"/>
                    <w:ind w:left="476" w:hanging="340"/>
                    <w:jc w:val="left"/>
                  </w:pPr>
                  <w:r>
                    <w:t>Large</w:t>
                  </w:r>
                </w:p>
              </w:tc>
              <w:tc>
                <w:tcPr>
                  <w:tcW w:w="500" w:type="pct"/>
                  <w:shd w:val="clear" w:color="auto" w:fill="auto"/>
                </w:tcPr>
                <w:p w:rsidR="00694D3D" w:rsidRPr="00261480" w:rsidRDefault="00694D3D" w:rsidP="00694D3D">
                  <w:pPr>
                    <w:pStyle w:val="TableBodyText"/>
                    <w:ind w:left="346" w:hanging="340"/>
                  </w:pPr>
                  <w:r w:rsidRPr="00261480">
                    <w:t xml:space="preserve"> 5 003</w:t>
                  </w:r>
                </w:p>
              </w:tc>
              <w:tc>
                <w:tcPr>
                  <w:tcW w:w="418" w:type="pct"/>
                  <w:shd w:val="clear" w:color="auto" w:fill="auto"/>
                </w:tcPr>
                <w:p w:rsidR="00694D3D" w:rsidRPr="00261480" w:rsidRDefault="00694D3D" w:rsidP="00694D3D">
                  <w:pPr>
                    <w:pStyle w:val="TableBodyText"/>
                    <w:ind w:left="346" w:hanging="340"/>
                  </w:pPr>
                  <w:r w:rsidRPr="00261480">
                    <w:t xml:space="preserve"> 4 593</w:t>
                  </w:r>
                </w:p>
              </w:tc>
              <w:tc>
                <w:tcPr>
                  <w:tcW w:w="417" w:type="pct"/>
                  <w:shd w:val="clear" w:color="auto" w:fill="auto"/>
                </w:tcPr>
                <w:p w:rsidR="00694D3D" w:rsidRPr="00261480" w:rsidRDefault="00694D3D" w:rsidP="00694D3D">
                  <w:pPr>
                    <w:pStyle w:val="TableBodyText"/>
                    <w:ind w:left="346" w:hanging="340"/>
                  </w:pPr>
                  <w:r w:rsidRPr="00261480">
                    <w:t xml:space="preserve"> 3 973</w:t>
                  </w:r>
                </w:p>
              </w:tc>
              <w:tc>
                <w:tcPr>
                  <w:tcW w:w="418" w:type="pct"/>
                  <w:shd w:val="clear" w:color="auto" w:fill="auto"/>
                </w:tcPr>
                <w:p w:rsidR="00694D3D" w:rsidRPr="00261480" w:rsidRDefault="00694D3D" w:rsidP="00694D3D">
                  <w:pPr>
                    <w:pStyle w:val="TableBodyText"/>
                    <w:ind w:left="346" w:hanging="340"/>
                  </w:pPr>
                  <w:r w:rsidRPr="00261480">
                    <w:t xml:space="preserve"> 5 149</w:t>
                  </w:r>
                </w:p>
              </w:tc>
              <w:tc>
                <w:tcPr>
                  <w:tcW w:w="418" w:type="pct"/>
                  <w:shd w:val="clear" w:color="auto" w:fill="auto"/>
                </w:tcPr>
                <w:p w:rsidR="00694D3D" w:rsidRPr="00261480" w:rsidRDefault="00694D3D" w:rsidP="00694D3D">
                  <w:pPr>
                    <w:pStyle w:val="TableBodyText"/>
                    <w:ind w:left="346" w:hanging="340"/>
                  </w:pPr>
                  <w:r w:rsidRPr="00261480">
                    <w:t xml:space="preserve"> 5 051</w:t>
                  </w:r>
                </w:p>
              </w:tc>
              <w:tc>
                <w:tcPr>
                  <w:tcW w:w="417" w:type="pct"/>
                  <w:shd w:val="clear" w:color="auto" w:fill="auto"/>
                </w:tcPr>
                <w:p w:rsidR="00694D3D" w:rsidRPr="00261480" w:rsidRDefault="00694D3D" w:rsidP="00694D3D">
                  <w:pPr>
                    <w:pStyle w:val="TableBodyText"/>
                    <w:ind w:left="346" w:hanging="340"/>
                  </w:pPr>
                  <w:r w:rsidRPr="00261480">
                    <w:t xml:space="preserve"> 7 390</w:t>
                  </w:r>
                </w:p>
              </w:tc>
              <w:tc>
                <w:tcPr>
                  <w:tcW w:w="418" w:type="pct"/>
                  <w:shd w:val="clear" w:color="auto" w:fill="auto"/>
                </w:tcPr>
                <w:p w:rsidR="00694D3D" w:rsidRPr="00261480" w:rsidRDefault="00694D3D" w:rsidP="00694D3D">
                  <w:pPr>
                    <w:pStyle w:val="TableBodyText"/>
                    <w:ind w:left="346" w:hanging="340"/>
                  </w:pPr>
                  <w:r w:rsidRPr="00261480">
                    <w:t>..</w:t>
                  </w:r>
                </w:p>
              </w:tc>
              <w:tc>
                <w:tcPr>
                  <w:tcW w:w="417" w:type="pct"/>
                  <w:shd w:val="clear" w:color="auto" w:fill="auto"/>
                </w:tcPr>
                <w:p w:rsidR="00694D3D" w:rsidRPr="00261480" w:rsidRDefault="00694D3D" w:rsidP="00694D3D">
                  <w:pPr>
                    <w:pStyle w:val="TableBodyText"/>
                    <w:ind w:left="346" w:hanging="340"/>
                  </w:pPr>
                  <w:r w:rsidRPr="00261480">
                    <w:t>..</w:t>
                  </w:r>
                </w:p>
              </w:tc>
              <w:tc>
                <w:tcPr>
                  <w:tcW w:w="419" w:type="pct"/>
                  <w:shd w:val="clear" w:color="auto" w:fill="auto"/>
                </w:tcPr>
                <w:p w:rsidR="00694D3D" w:rsidRPr="00261480" w:rsidRDefault="00694D3D" w:rsidP="00694D3D">
                  <w:pPr>
                    <w:pStyle w:val="TableBodyText"/>
                    <w:ind w:left="346" w:hanging="340"/>
                  </w:pPr>
                  <w:r w:rsidRPr="00261480">
                    <w:t xml:space="preserve"> 4 912</w:t>
                  </w:r>
                </w:p>
              </w:tc>
            </w:tr>
            <w:tr w:rsidR="00694D3D" w:rsidTr="0083330D">
              <w:tc>
                <w:tcPr>
                  <w:tcW w:w="1156" w:type="pct"/>
                  <w:shd w:val="clear" w:color="auto" w:fill="auto"/>
                </w:tcPr>
                <w:p w:rsidR="00694D3D" w:rsidRPr="00C5755B" w:rsidRDefault="00694D3D" w:rsidP="007D422B">
                  <w:pPr>
                    <w:pStyle w:val="TableBodyText"/>
                    <w:ind w:left="476" w:hanging="340"/>
                    <w:jc w:val="left"/>
                  </w:pPr>
                  <w:r>
                    <w:t>Medium</w:t>
                  </w:r>
                </w:p>
              </w:tc>
              <w:tc>
                <w:tcPr>
                  <w:tcW w:w="500" w:type="pct"/>
                  <w:shd w:val="clear" w:color="auto" w:fill="auto"/>
                </w:tcPr>
                <w:p w:rsidR="00694D3D" w:rsidRPr="00261480" w:rsidRDefault="00694D3D" w:rsidP="00694D3D">
                  <w:pPr>
                    <w:pStyle w:val="TableBodyText"/>
                    <w:ind w:left="346" w:hanging="340"/>
                  </w:pPr>
                  <w:r w:rsidRPr="00261480">
                    <w:t xml:space="preserve"> 4 964</w:t>
                  </w:r>
                </w:p>
              </w:tc>
              <w:tc>
                <w:tcPr>
                  <w:tcW w:w="418" w:type="pct"/>
                  <w:shd w:val="clear" w:color="auto" w:fill="auto"/>
                </w:tcPr>
                <w:p w:rsidR="00694D3D" w:rsidRPr="00261480" w:rsidRDefault="00694D3D" w:rsidP="00694D3D">
                  <w:pPr>
                    <w:pStyle w:val="TableBodyText"/>
                    <w:ind w:left="346" w:hanging="340"/>
                  </w:pPr>
                  <w:r w:rsidRPr="00261480">
                    <w:t xml:space="preserve"> 4 945</w:t>
                  </w:r>
                </w:p>
              </w:tc>
              <w:tc>
                <w:tcPr>
                  <w:tcW w:w="417" w:type="pct"/>
                  <w:shd w:val="clear" w:color="auto" w:fill="auto"/>
                </w:tcPr>
                <w:p w:rsidR="00694D3D" w:rsidRPr="00261480" w:rsidRDefault="00694D3D" w:rsidP="00694D3D">
                  <w:pPr>
                    <w:pStyle w:val="TableBodyText"/>
                    <w:ind w:left="346" w:hanging="340"/>
                  </w:pPr>
                  <w:r w:rsidRPr="00261480">
                    <w:t xml:space="preserve"> 4 645</w:t>
                  </w:r>
                </w:p>
              </w:tc>
              <w:tc>
                <w:tcPr>
                  <w:tcW w:w="418" w:type="pct"/>
                  <w:shd w:val="clear" w:color="auto" w:fill="auto"/>
                </w:tcPr>
                <w:p w:rsidR="00694D3D" w:rsidRPr="00261480" w:rsidRDefault="00694D3D" w:rsidP="00694D3D">
                  <w:pPr>
                    <w:pStyle w:val="TableBodyText"/>
                    <w:ind w:left="346" w:hanging="340"/>
                  </w:pPr>
                  <w:r w:rsidRPr="00261480">
                    <w:t xml:space="preserve"> 5 399</w:t>
                  </w:r>
                </w:p>
              </w:tc>
              <w:tc>
                <w:tcPr>
                  <w:tcW w:w="418" w:type="pct"/>
                  <w:shd w:val="clear" w:color="auto" w:fill="auto"/>
                </w:tcPr>
                <w:p w:rsidR="00694D3D" w:rsidRPr="00261480" w:rsidRDefault="00694D3D" w:rsidP="00694D3D">
                  <w:pPr>
                    <w:pStyle w:val="TableBodyText"/>
                    <w:ind w:left="346" w:hanging="340"/>
                  </w:pPr>
                  <w:r w:rsidRPr="00261480">
                    <w:t xml:space="preserve"> 5 208</w:t>
                  </w:r>
                </w:p>
              </w:tc>
              <w:tc>
                <w:tcPr>
                  <w:tcW w:w="417" w:type="pct"/>
                  <w:shd w:val="clear" w:color="auto" w:fill="auto"/>
                </w:tcPr>
                <w:p w:rsidR="00694D3D" w:rsidRPr="00261480" w:rsidRDefault="00694D3D" w:rsidP="00694D3D">
                  <w:pPr>
                    <w:pStyle w:val="TableBodyText"/>
                    <w:ind w:left="346" w:hanging="340"/>
                  </w:pPr>
                  <w:r w:rsidRPr="00261480">
                    <w:t xml:space="preserve"> 6 406</w:t>
                  </w:r>
                </w:p>
              </w:tc>
              <w:tc>
                <w:tcPr>
                  <w:tcW w:w="418" w:type="pct"/>
                  <w:shd w:val="clear" w:color="auto" w:fill="auto"/>
                </w:tcPr>
                <w:p w:rsidR="00694D3D" w:rsidRPr="00261480" w:rsidRDefault="00694D3D" w:rsidP="00694D3D">
                  <w:pPr>
                    <w:pStyle w:val="TableBodyText"/>
                    <w:ind w:left="346" w:hanging="340"/>
                  </w:pPr>
                  <w:r w:rsidRPr="00261480">
                    <w:t>..</w:t>
                  </w:r>
                </w:p>
              </w:tc>
              <w:tc>
                <w:tcPr>
                  <w:tcW w:w="417" w:type="pct"/>
                  <w:shd w:val="clear" w:color="auto" w:fill="auto"/>
                </w:tcPr>
                <w:p w:rsidR="00694D3D" w:rsidRPr="00261480" w:rsidRDefault="00694D3D" w:rsidP="00694D3D">
                  <w:pPr>
                    <w:pStyle w:val="TableBodyText"/>
                    <w:ind w:left="346" w:hanging="340"/>
                  </w:pPr>
                  <w:r w:rsidRPr="00261480">
                    <w:t>..</w:t>
                  </w:r>
                </w:p>
              </w:tc>
              <w:tc>
                <w:tcPr>
                  <w:tcW w:w="419" w:type="pct"/>
                  <w:shd w:val="clear" w:color="auto" w:fill="auto"/>
                </w:tcPr>
                <w:p w:rsidR="00694D3D" w:rsidRPr="00261480" w:rsidRDefault="00694D3D" w:rsidP="00694D3D">
                  <w:pPr>
                    <w:pStyle w:val="TableBodyText"/>
                    <w:ind w:left="346" w:hanging="340"/>
                  </w:pPr>
                  <w:r w:rsidRPr="00261480">
                    <w:t xml:space="preserve"> 5 025</w:t>
                  </w:r>
                </w:p>
              </w:tc>
            </w:tr>
            <w:tr w:rsidR="003D6BEE" w:rsidTr="0083330D">
              <w:tc>
                <w:tcPr>
                  <w:tcW w:w="1156" w:type="pct"/>
                  <w:shd w:val="clear" w:color="auto" w:fill="auto"/>
                </w:tcPr>
                <w:p w:rsidR="003D6BEE" w:rsidRPr="00C5755B" w:rsidRDefault="003D6BEE" w:rsidP="008D2100">
                  <w:pPr>
                    <w:pStyle w:val="TableBodyText"/>
                    <w:ind w:left="476" w:hanging="340"/>
                    <w:jc w:val="left"/>
                  </w:pPr>
                  <w:r>
                    <w:t>Small acute</w:t>
                  </w:r>
                </w:p>
              </w:tc>
              <w:tc>
                <w:tcPr>
                  <w:tcW w:w="500" w:type="pct"/>
                  <w:shd w:val="clear" w:color="auto" w:fill="auto"/>
                </w:tcPr>
                <w:p w:rsidR="003D6BEE" w:rsidRPr="00261480" w:rsidRDefault="003D6BEE" w:rsidP="008D2100">
                  <w:pPr>
                    <w:pStyle w:val="TableBodyText"/>
                    <w:ind w:left="346" w:hanging="340"/>
                  </w:pPr>
                  <w:r w:rsidRPr="00261480">
                    <w:t xml:space="preserve"> 5 931</w:t>
                  </w:r>
                </w:p>
              </w:tc>
              <w:tc>
                <w:tcPr>
                  <w:tcW w:w="418" w:type="pct"/>
                  <w:shd w:val="clear" w:color="auto" w:fill="auto"/>
                </w:tcPr>
                <w:p w:rsidR="003D6BEE" w:rsidRPr="00261480" w:rsidRDefault="003D6BEE" w:rsidP="008D2100">
                  <w:pPr>
                    <w:pStyle w:val="TableBodyText"/>
                    <w:ind w:left="346" w:hanging="340"/>
                  </w:pPr>
                  <w:r w:rsidRPr="00261480">
                    <w:t xml:space="preserve"> 5 947</w:t>
                  </w:r>
                </w:p>
              </w:tc>
              <w:tc>
                <w:tcPr>
                  <w:tcW w:w="417" w:type="pct"/>
                  <w:shd w:val="clear" w:color="auto" w:fill="auto"/>
                </w:tcPr>
                <w:p w:rsidR="003D6BEE" w:rsidRPr="00261480" w:rsidRDefault="003D6BEE" w:rsidP="008D2100">
                  <w:pPr>
                    <w:pStyle w:val="TableBodyText"/>
                    <w:ind w:left="346" w:hanging="340"/>
                  </w:pPr>
                  <w:r w:rsidRPr="00261480">
                    <w:t xml:space="preserve"> 5 065</w:t>
                  </w:r>
                </w:p>
              </w:tc>
              <w:tc>
                <w:tcPr>
                  <w:tcW w:w="418" w:type="pct"/>
                  <w:shd w:val="clear" w:color="auto" w:fill="auto"/>
                </w:tcPr>
                <w:p w:rsidR="003D6BEE" w:rsidRPr="00261480" w:rsidRDefault="003D6BEE" w:rsidP="008D2100">
                  <w:pPr>
                    <w:pStyle w:val="TableBodyText"/>
                    <w:ind w:left="346" w:hanging="340"/>
                  </w:pPr>
                  <w:r w:rsidRPr="00261480">
                    <w:t xml:space="preserve"> 8 259</w:t>
                  </w:r>
                </w:p>
              </w:tc>
              <w:tc>
                <w:tcPr>
                  <w:tcW w:w="418" w:type="pct"/>
                  <w:shd w:val="clear" w:color="auto" w:fill="auto"/>
                </w:tcPr>
                <w:p w:rsidR="003D6BEE" w:rsidRPr="00261480" w:rsidRDefault="003D6BEE" w:rsidP="008D2100">
                  <w:pPr>
                    <w:pStyle w:val="TableBodyText"/>
                    <w:ind w:left="346" w:hanging="340"/>
                  </w:pPr>
                  <w:r w:rsidRPr="00261480">
                    <w:t xml:space="preserve"> 4 884</w:t>
                  </w:r>
                </w:p>
              </w:tc>
              <w:tc>
                <w:tcPr>
                  <w:tcW w:w="417" w:type="pct"/>
                  <w:shd w:val="clear" w:color="auto" w:fill="auto"/>
                </w:tcPr>
                <w:p w:rsidR="003D6BEE" w:rsidRPr="00261480" w:rsidRDefault="003D6BEE" w:rsidP="008D2100">
                  <w:pPr>
                    <w:pStyle w:val="TableBodyText"/>
                    <w:ind w:left="346" w:hanging="340"/>
                  </w:pPr>
                  <w:r w:rsidRPr="00261480">
                    <w:t xml:space="preserve"> 7 514</w:t>
                  </w:r>
                </w:p>
              </w:tc>
              <w:tc>
                <w:tcPr>
                  <w:tcW w:w="418" w:type="pct"/>
                  <w:shd w:val="clear" w:color="auto" w:fill="auto"/>
                </w:tcPr>
                <w:p w:rsidR="003D6BEE" w:rsidRPr="00261480" w:rsidRDefault="003D6BEE" w:rsidP="008D2100">
                  <w:pPr>
                    <w:pStyle w:val="TableBodyText"/>
                    <w:ind w:left="346" w:hanging="340"/>
                  </w:pPr>
                  <w:r w:rsidRPr="00261480">
                    <w:t>..</w:t>
                  </w:r>
                </w:p>
              </w:tc>
              <w:tc>
                <w:tcPr>
                  <w:tcW w:w="417" w:type="pct"/>
                  <w:shd w:val="clear" w:color="auto" w:fill="auto"/>
                </w:tcPr>
                <w:p w:rsidR="003D6BEE" w:rsidRPr="00261480" w:rsidRDefault="003D6BEE" w:rsidP="008D2100">
                  <w:pPr>
                    <w:pStyle w:val="TableBodyText"/>
                    <w:ind w:left="346" w:hanging="340"/>
                  </w:pPr>
                  <w:r w:rsidRPr="00261480">
                    <w:t xml:space="preserve"> 6 424</w:t>
                  </w:r>
                </w:p>
              </w:tc>
              <w:tc>
                <w:tcPr>
                  <w:tcW w:w="419" w:type="pct"/>
                  <w:shd w:val="clear" w:color="auto" w:fill="auto"/>
                </w:tcPr>
                <w:p w:rsidR="003D6BEE" w:rsidRPr="00261480" w:rsidRDefault="003D6BEE" w:rsidP="008D2100">
                  <w:pPr>
                    <w:pStyle w:val="TableBodyText"/>
                    <w:ind w:left="346" w:hanging="340"/>
                  </w:pPr>
                  <w:r w:rsidRPr="00261480">
                    <w:t xml:space="preserve"> 6 171</w:t>
                  </w:r>
                </w:p>
              </w:tc>
            </w:tr>
            <w:tr w:rsidR="003D6BEE" w:rsidTr="0083330D">
              <w:tc>
                <w:tcPr>
                  <w:tcW w:w="1156" w:type="pct"/>
                  <w:tcBorders>
                    <w:bottom w:val="single" w:sz="6" w:space="0" w:color="BFBFBF"/>
                  </w:tcBorders>
                  <w:shd w:val="clear" w:color="auto" w:fill="auto"/>
                </w:tcPr>
                <w:p w:rsidR="003D6BEE" w:rsidRPr="002F1192" w:rsidRDefault="003D6BEE" w:rsidP="008D2100">
                  <w:pPr>
                    <w:pStyle w:val="TableBodyText"/>
                    <w:jc w:val="left"/>
                    <w:rPr>
                      <w:b/>
                    </w:rPr>
                  </w:pPr>
                  <w:r w:rsidRPr="002F1192">
                    <w:rPr>
                      <w:b/>
                    </w:rPr>
                    <w:t>All hospitals</w:t>
                  </w:r>
                  <w:r w:rsidRPr="002F1192">
                    <w:rPr>
                      <w:rStyle w:val="NoteLabel"/>
                    </w:rPr>
                    <w:t>d</w:t>
                  </w:r>
                </w:p>
              </w:tc>
              <w:tc>
                <w:tcPr>
                  <w:tcW w:w="500" w:type="pct"/>
                  <w:tcBorders>
                    <w:bottom w:val="single" w:sz="6" w:space="0" w:color="BFBFBF"/>
                  </w:tcBorders>
                  <w:shd w:val="clear" w:color="auto" w:fill="auto"/>
                </w:tcPr>
                <w:p w:rsidR="003D6BEE" w:rsidRPr="00CC44C8" w:rsidRDefault="003D6BEE" w:rsidP="008D2100">
                  <w:pPr>
                    <w:pStyle w:val="TableBodyText"/>
                    <w:ind w:left="346" w:hanging="340"/>
                    <w:rPr>
                      <w:b/>
                    </w:rPr>
                  </w:pPr>
                  <w:r w:rsidRPr="00CC44C8">
                    <w:rPr>
                      <w:b/>
                    </w:rPr>
                    <w:t xml:space="preserve"> 5 280</w:t>
                  </w:r>
                </w:p>
              </w:tc>
              <w:tc>
                <w:tcPr>
                  <w:tcW w:w="418" w:type="pct"/>
                  <w:tcBorders>
                    <w:bottom w:val="single" w:sz="6" w:space="0" w:color="BFBFBF"/>
                  </w:tcBorders>
                  <w:shd w:val="clear" w:color="auto" w:fill="auto"/>
                </w:tcPr>
                <w:p w:rsidR="003D6BEE" w:rsidRPr="00CC44C8" w:rsidRDefault="003D6BEE" w:rsidP="008D2100">
                  <w:pPr>
                    <w:pStyle w:val="TableBodyText"/>
                    <w:ind w:left="346" w:hanging="340"/>
                    <w:rPr>
                      <w:b/>
                    </w:rPr>
                  </w:pPr>
                  <w:r w:rsidRPr="00CC44C8">
                    <w:rPr>
                      <w:b/>
                    </w:rPr>
                    <w:t xml:space="preserve"> 4 693</w:t>
                  </w:r>
                </w:p>
              </w:tc>
              <w:tc>
                <w:tcPr>
                  <w:tcW w:w="417" w:type="pct"/>
                  <w:tcBorders>
                    <w:bottom w:val="single" w:sz="6" w:space="0" w:color="BFBFBF"/>
                  </w:tcBorders>
                  <w:shd w:val="clear" w:color="auto" w:fill="auto"/>
                </w:tcPr>
                <w:p w:rsidR="003D6BEE" w:rsidRPr="00CC44C8" w:rsidRDefault="003D6BEE" w:rsidP="008D2100">
                  <w:pPr>
                    <w:pStyle w:val="TableBodyText"/>
                    <w:ind w:left="346" w:hanging="340"/>
                    <w:rPr>
                      <w:b/>
                    </w:rPr>
                  </w:pPr>
                  <w:r w:rsidRPr="00CC44C8">
                    <w:rPr>
                      <w:b/>
                    </w:rPr>
                    <w:t xml:space="preserve"> 5 246</w:t>
                  </w:r>
                </w:p>
              </w:tc>
              <w:tc>
                <w:tcPr>
                  <w:tcW w:w="418" w:type="pct"/>
                  <w:tcBorders>
                    <w:bottom w:val="single" w:sz="6" w:space="0" w:color="BFBFBF"/>
                  </w:tcBorders>
                  <w:shd w:val="clear" w:color="auto" w:fill="auto"/>
                </w:tcPr>
                <w:p w:rsidR="003D6BEE" w:rsidRPr="00CC44C8" w:rsidRDefault="003D6BEE" w:rsidP="008D2100">
                  <w:pPr>
                    <w:pStyle w:val="TableBodyText"/>
                    <w:ind w:left="346" w:hanging="340"/>
                    <w:rPr>
                      <w:b/>
                    </w:rPr>
                  </w:pPr>
                  <w:r w:rsidRPr="00CC44C8">
                    <w:rPr>
                      <w:b/>
                    </w:rPr>
                    <w:t xml:space="preserve"> 5 733</w:t>
                  </w:r>
                </w:p>
              </w:tc>
              <w:tc>
                <w:tcPr>
                  <w:tcW w:w="418" w:type="pct"/>
                  <w:tcBorders>
                    <w:bottom w:val="single" w:sz="6" w:space="0" w:color="BFBFBF"/>
                  </w:tcBorders>
                  <w:shd w:val="clear" w:color="auto" w:fill="auto"/>
                </w:tcPr>
                <w:p w:rsidR="003D6BEE" w:rsidRPr="00CC44C8" w:rsidRDefault="003D6BEE" w:rsidP="008D2100">
                  <w:pPr>
                    <w:pStyle w:val="TableBodyText"/>
                    <w:ind w:left="346" w:hanging="340"/>
                    <w:rPr>
                      <w:b/>
                    </w:rPr>
                  </w:pPr>
                  <w:r w:rsidRPr="00CC44C8">
                    <w:rPr>
                      <w:b/>
                    </w:rPr>
                    <w:t xml:space="preserve"> 5 251</w:t>
                  </w:r>
                </w:p>
              </w:tc>
              <w:tc>
                <w:tcPr>
                  <w:tcW w:w="417" w:type="pct"/>
                  <w:tcBorders>
                    <w:bottom w:val="single" w:sz="6" w:space="0" w:color="BFBFBF"/>
                  </w:tcBorders>
                  <w:shd w:val="clear" w:color="auto" w:fill="auto"/>
                </w:tcPr>
                <w:p w:rsidR="003D6BEE" w:rsidRPr="00CC44C8" w:rsidRDefault="003D6BEE" w:rsidP="008D2100">
                  <w:pPr>
                    <w:pStyle w:val="TableBodyText"/>
                    <w:ind w:left="346" w:hanging="340"/>
                    <w:rPr>
                      <w:b/>
                    </w:rPr>
                  </w:pPr>
                  <w:r w:rsidRPr="00CC44C8">
                    <w:rPr>
                      <w:b/>
                    </w:rPr>
                    <w:t xml:space="preserve"> 6 033</w:t>
                  </w:r>
                </w:p>
              </w:tc>
              <w:tc>
                <w:tcPr>
                  <w:tcW w:w="418" w:type="pct"/>
                  <w:tcBorders>
                    <w:bottom w:val="single" w:sz="6" w:space="0" w:color="BFBFBF"/>
                  </w:tcBorders>
                  <w:shd w:val="clear" w:color="auto" w:fill="auto"/>
                </w:tcPr>
                <w:p w:rsidR="003D6BEE" w:rsidRPr="00CC44C8" w:rsidRDefault="003D6BEE" w:rsidP="008D2100">
                  <w:pPr>
                    <w:pStyle w:val="TableBodyText"/>
                    <w:ind w:left="346" w:hanging="340"/>
                    <w:rPr>
                      <w:b/>
                    </w:rPr>
                  </w:pPr>
                  <w:r w:rsidRPr="00CC44C8">
                    <w:rPr>
                      <w:b/>
                    </w:rPr>
                    <w:t xml:space="preserve"> 6 384</w:t>
                  </w:r>
                </w:p>
              </w:tc>
              <w:tc>
                <w:tcPr>
                  <w:tcW w:w="417" w:type="pct"/>
                  <w:tcBorders>
                    <w:bottom w:val="single" w:sz="6" w:space="0" w:color="BFBFBF"/>
                  </w:tcBorders>
                  <w:shd w:val="clear" w:color="auto" w:fill="auto"/>
                </w:tcPr>
                <w:p w:rsidR="003D6BEE" w:rsidRPr="00CC44C8" w:rsidRDefault="003D6BEE" w:rsidP="008D2100">
                  <w:pPr>
                    <w:pStyle w:val="TableBodyText"/>
                    <w:ind w:left="346" w:hanging="340"/>
                    <w:rPr>
                      <w:b/>
                    </w:rPr>
                  </w:pPr>
                  <w:r w:rsidRPr="00CC44C8">
                    <w:rPr>
                      <w:b/>
                    </w:rPr>
                    <w:t xml:space="preserve"> 6 017</w:t>
                  </w:r>
                </w:p>
              </w:tc>
              <w:tc>
                <w:tcPr>
                  <w:tcW w:w="419" w:type="pct"/>
                  <w:tcBorders>
                    <w:bottom w:val="single" w:sz="6" w:space="0" w:color="BFBFBF"/>
                  </w:tcBorders>
                  <w:shd w:val="clear" w:color="auto" w:fill="auto"/>
                </w:tcPr>
                <w:p w:rsidR="003D6BEE" w:rsidRPr="00CC44C8" w:rsidRDefault="003D6BEE" w:rsidP="008D2100">
                  <w:pPr>
                    <w:pStyle w:val="TableBodyText"/>
                    <w:ind w:left="346" w:hanging="340"/>
                    <w:rPr>
                      <w:b/>
                    </w:rPr>
                  </w:pPr>
                  <w:r w:rsidRPr="00CC44C8">
                    <w:rPr>
                      <w:b/>
                    </w:rPr>
                    <w:t xml:space="preserve"> 5 204</w:t>
                  </w:r>
                </w:p>
              </w:tc>
            </w:tr>
          </w:tbl>
          <w:p w:rsidR="004A1661" w:rsidRDefault="004A1661" w:rsidP="007D422B">
            <w:pPr>
              <w:pStyle w:val="Box"/>
            </w:pPr>
          </w:p>
        </w:tc>
      </w:tr>
      <w:tr w:rsidR="004A1661" w:rsidTr="007D422B">
        <w:trPr>
          <w:cantSplit/>
        </w:trPr>
        <w:tc>
          <w:tcPr>
            <w:tcW w:w="8771" w:type="dxa"/>
            <w:tcBorders>
              <w:top w:val="nil"/>
              <w:left w:val="nil"/>
              <w:bottom w:val="nil"/>
              <w:right w:val="nil"/>
            </w:tcBorders>
            <w:shd w:val="clear" w:color="auto" w:fill="auto"/>
          </w:tcPr>
          <w:p w:rsidR="004A1661" w:rsidRDefault="004A1661" w:rsidP="00B81EBB">
            <w:pPr>
              <w:pStyle w:val="Note"/>
              <w:rPr>
                <w:i/>
              </w:rPr>
            </w:pPr>
            <w:r w:rsidRPr="008E77FE">
              <w:rPr>
                <w:rStyle w:val="NoteLabel"/>
              </w:rPr>
              <w:t>a</w:t>
            </w:r>
            <w:r>
              <w:t xml:space="preserve"> </w:t>
            </w:r>
            <w:r w:rsidR="00C85195" w:rsidRPr="00C85195">
              <w:t>Data exclude depreciation and the user cost of capital, spending on non</w:t>
            </w:r>
            <w:r w:rsidR="00B81EBB">
              <w:t>-</w:t>
            </w:r>
            <w:r w:rsidR="00C85195" w:rsidRPr="00C85195">
              <w:t xml:space="preserve">admitted patient care and research costs. </w:t>
            </w:r>
            <w:r w:rsidR="00C85195" w:rsidRPr="00C85195">
              <w:rPr>
                <w:rStyle w:val="NoteLabel"/>
              </w:rPr>
              <w:t>b</w:t>
            </w:r>
            <w:r w:rsidR="00C85195" w:rsidRPr="00C85195">
              <w:t xml:space="preserve"> The data are based on hospital establishments for which expenditure data were provided, including networks of hospitals in some jurisdictions. Some small hospitals with incomplete expenditure data were not included. </w:t>
            </w:r>
            <w:r w:rsidR="00C85195" w:rsidRPr="00C85195">
              <w:rPr>
                <w:rStyle w:val="NoteLabel"/>
              </w:rPr>
              <w:t>c</w:t>
            </w:r>
            <w:r w:rsidR="00C85195" w:rsidRPr="00C85195">
              <w:t xml:space="preserve"> Separations for which the care type was reported as newborn with no qualified days, and records for hospital boarders and posthumous organ procurement have been excluded. </w:t>
            </w:r>
            <w:r w:rsidR="00C85195" w:rsidRPr="00C85195">
              <w:rPr>
                <w:rStyle w:val="NoteLabel"/>
              </w:rPr>
              <w:t>d</w:t>
            </w:r>
            <w:r w:rsidR="00C85195" w:rsidRPr="00C85195">
              <w:t xml:space="preserve"> Includes all hospitals in this cost per casemix adjusted analysis. </w:t>
            </w:r>
            <w:r w:rsidR="00C85195" w:rsidRPr="00696C96">
              <w:t>.. Not applicable</w:t>
            </w:r>
            <w:r w:rsidR="00C85195" w:rsidRPr="00C85195">
              <w:t>.</w:t>
            </w:r>
          </w:p>
        </w:tc>
      </w:tr>
      <w:tr w:rsidR="004A1661" w:rsidTr="007D422B">
        <w:trPr>
          <w:cantSplit/>
        </w:trPr>
        <w:tc>
          <w:tcPr>
            <w:tcW w:w="8771" w:type="dxa"/>
            <w:tcBorders>
              <w:top w:val="nil"/>
              <w:left w:val="nil"/>
              <w:bottom w:val="nil"/>
              <w:right w:val="nil"/>
            </w:tcBorders>
            <w:shd w:val="clear" w:color="auto" w:fill="auto"/>
          </w:tcPr>
          <w:p w:rsidR="004A1661" w:rsidRDefault="004A1661" w:rsidP="004F7D79">
            <w:pPr>
              <w:pStyle w:val="Source"/>
            </w:pPr>
            <w:r>
              <w:rPr>
                <w:i/>
              </w:rPr>
              <w:t>Source</w:t>
            </w:r>
            <w:r w:rsidRPr="00167F06">
              <w:t xml:space="preserve">: </w:t>
            </w:r>
            <w:r w:rsidR="00C85195" w:rsidRPr="00C85195">
              <w:t xml:space="preserve">AIHW (2013), </w:t>
            </w:r>
            <w:r w:rsidR="00C85195" w:rsidRPr="00C85195">
              <w:rPr>
                <w:i/>
              </w:rPr>
              <w:t>Australian Hospital Statistics 2011-12</w:t>
            </w:r>
            <w:r w:rsidR="00C85195" w:rsidRPr="00C85195">
              <w:t>, Health Services Series No. 50, Cat no.</w:t>
            </w:r>
            <w:r w:rsidR="009551A6">
              <w:t> </w:t>
            </w:r>
            <w:r w:rsidR="00C85195" w:rsidRPr="00C85195">
              <w:t>HSE</w:t>
            </w:r>
            <w:r w:rsidR="0022493D">
              <w:t> </w:t>
            </w:r>
            <w:r w:rsidR="00C85195" w:rsidRPr="00C85195">
              <w:t>134; table 11A.</w:t>
            </w:r>
            <w:r w:rsidR="006160B6">
              <w:t>6</w:t>
            </w:r>
            <w:r w:rsidR="004F7D79">
              <w:t>1</w:t>
            </w:r>
            <w:r w:rsidR="00C85195" w:rsidRPr="00C85195">
              <w:t>.</w:t>
            </w:r>
          </w:p>
        </w:tc>
      </w:tr>
      <w:tr w:rsidR="004A1661" w:rsidTr="007D422B">
        <w:trPr>
          <w:cantSplit/>
        </w:trPr>
        <w:tc>
          <w:tcPr>
            <w:tcW w:w="8771" w:type="dxa"/>
            <w:tcBorders>
              <w:top w:val="nil"/>
              <w:left w:val="nil"/>
              <w:bottom w:val="single" w:sz="6" w:space="0" w:color="78A22F"/>
              <w:right w:val="nil"/>
            </w:tcBorders>
            <w:shd w:val="clear" w:color="auto" w:fill="auto"/>
          </w:tcPr>
          <w:p w:rsidR="004A1661" w:rsidRDefault="004A1661" w:rsidP="007D422B">
            <w:pPr>
              <w:pStyle w:val="Box"/>
              <w:spacing w:before="0" w:line="120" w:lineRule="exact"/>
            </w:pPr>
          </w:p>
        </w:tc>
      </w:tr>
      <w:tr w:rsidR="004A1661" w:rsidRPr="000863A5" w:rsidTr="007D422B">
        <w:tc>
          <w:tcPr>
            <w:tcW w:w="8771" w:type="dxa"/>
            <w:tcBorders>
              <w:top w:val="single" w:sz="6" w:space="0" w:color="78A22F"/>
              <w:left w:val="nil"/>
              <w:bottom w:val="nil"/>
              <w:right w:val="nil"/>
            </w:tcBorders>
          </w:tcPr>
          <w:p w:rsidR="004A1661" w:rsidRPr="00626D32" w:rsidRDefault="004A1661" w:rsidP="007D422B">
            <w:pPr>
              <w:pStyle w:val="BoxSpaceBelow"/>
            </w:pPr>
          </w:p>
        </w:tc>
      </w:tr>
    </w:tbl>
    <w:p w:rsidR="00C85195" w:rsidRDefault="00C85195" w:rsidP="00980FDB">
      <w:pPr>
        <w:pStyle w:val="Heading5"/>
      </w:pPr>
      <w:r>
        <w:t>Total cost per casemix-adjusted separation</w:t>
      </w:r>
    </w:p>
    <w:p w:rsidR="004A1661" w:rsidRDefault="00C85195" w:rsidP="00C85195">
      <w:pPr>
        <w:pStyle w:val="BodyText"/>
      </w:pPr>
      <w:r>
        <w:t xml:space="preserve">Total cost includes both the recurrent costs (as discussed above) and the capital costs associated with hospital services. Results for this measure in </w:t>
      </w:r>
      <w:r w:rsidRPr="00696C96">
        <w:t>2011-12</w:t>
      </w:r>
      <w:r w:rsidR="004D0FB7">
        <w:t xml:space="preserve"> are reported in figure </w:t>
      </w:r>
      <w:r>
        <w:t>11.2</w:t>
      </w:r>
      <w:r w:rsidR="000D26EC">
        <w:t>3</w:t>
      </w:r>
      <w:r>
        <w:t xml:space="preserve">. Labour costs accounted for the majority of costs in </w:t>
      </w:r>
      <w:r w:rsidR="00D31014">
        <w:t>all</w:t>
      </w:r>
      <w:r>
        <w:t xml:space="preserve"> jurisdictions. The user cost of capital for land is not included in figure 11.2</w:t>
      </w:r>
      <w:r w:rsidR="000D26EC">
        <w:t>3</w:t>
      </w:r>
      <w:r>
        <w:t xml:space="preserve"> but is reported in table 11A.</w:t>
      </w:r>
      <w:r w:rsidR="006160B6">
        <w:t>6</w:t>
      </w:r>
      <w:r w:rsidR="004F7D79">
        <w:t>2</w:t>
      </w:r>
      <w:r>
        <w:t>.</w:t>
      </w:r>
    </w:p>
    <w:p w:rsidR="00C85195" w:rsidRDefault="00C85195" w:rsidP="007D422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85195" w:rsidTr="007D422B">
        <w:tc>
          <w:tcPr>
            <w:tcW w:w="8771" w:type="dxa"/>
            <w:tcBorders>
              <w:top w:val="single" w:sz="6" w:space="0" w:color="78A22F"/>
              <w:left w:val="nil"/>
              <w:bottom w:val="nil"/>
              <w:right w:val="nil"/>
            </w:tcBorders>
            <w:shd w:val="clear" w:color="auto" w:fill="auto"/>
          </w:tcPr>
          <w:p w:rsidR="00C85195" w:rsidRPr="00176D3F" w:rsidRDefault="00C85195" w:rsidP="00C21C9F">
            <w:pPr>
              <w:pStyle w:val="FigureTitle"/>
            </w:pPr>
            <w:r w:rsidRPr="00784A05">
              <w:rPr>
                <w:b w:val="0"/>
              </w:rPr>
              <w:t xml:space="preserve">Figure </w:t>
            </w:r>
            <w:r w:rsidR="000D26EC">
              <w:rPr>
                <w:b w:val="0"/>
              </w:rPr>
              <w:t>11.</w:t>
            </w:r>
            <w:r w:rsidR="009A53E9">
              <w:rPr>
                <w:b w:val="0"/>
                <w:noProof/>
              </w:rPr>
              <w:t>23</w:t>
            </w:r>
            <w:r>
              <w:tab/>
            </w:r>
            <w:r w:rsidR="004E5D01" w:rsidRPr="004E5D01">
              <w:t>Total cost per casemix-adjusted separation, public hospitals, 201</w:t>
            </w:r>
            <w:r w:rsidR="00C21C9F">
              <w:t>1</w:t>
            </w:r>
            <w:r w:rsidR="004E5D01" w:rsidRPr="004E5D01">
              <w:t>-1</w:t>
            </w:r>
            <w:r w:rsidR="00C21C9F">
              <w:t>2</w:t>
            </w:r>
            <w:r w:rsidR="004E5D01" w:rsidRPr="004E5D01">
              <w:rPr>
                <w:rStyle w:val="NoteLabel"/>
                <w:b/>
              </w:rPr>
              <w:t>a, b, c</w:t>
            </w:r>
          </w:p>
        </w:tc>
      </w:tr>
      <w:tr w:rsidR="00C85195" w:rsidTr="007D422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85195" w:rsidTr="007D422B">
              <w:trPr>
                <w:jc w:val="center"/>
              </w:trPr>
              <w:tc>
                <w:tcPr>
                  <w:tcW w:w="5000" w:type="pct"/>
                  <w:tcBorders>
                    <w:top w:val="nil"/>
                    <w:bottom w:val="nil"/>
                  </w:tcBorders>
                </w:tcPr>
                <w:p w:rsidR="00C85195" w:rsidRDefault="001F000D" w:rsidP="007D422B">
                  <w:pPr>
                    <w:pStyle w:val="Figure"/>
                    <w:spacing w:before="60" w:after="60"/>
                  </w:pPr>
                  <w:r>
                    <w:rPr>
                      <w:noProof/>
                    </w:rPr>
                    <w:drawing>
                      <wp:inline distT="0" distB="0" distL="0" distR="0" wp14:anchorId="61D8A343" wp14:editId="4EFC2DFC">
                        <wp:extent cx="5391150" cy="2705100"/>
                        <wp:effectExtent l="0" t="0" r="0" b="0"/>
                        <wp:docPr id="26" name="Picture 26" descr="Figure 11.23 Total cost per casemix-adjusted separation, public hospital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C85195" w:rsidRDefault="00C85195" w:rsidP="007D422B">
            <w:pPr>
              <w:pStyle w:val="Figure"/>
            </w:pPr>
          </w:p>
        </w:tc>
      </w:tr>
      <w:tr w:rsidR="00C85195" w:rsidRPr="00176D3F" w:rsidTr="007D422B">
        <w:tc>
          <w:tcPr>
            <w:tcW w:w="8771" w:type="dxa"/>
            <w:tcBorders>
              <w:top w:val="nil"/>
              <w:left w:val="nil"/>
              <w:bottom w:val="nil"/>
              <w:right w:val="nil"/>
            </w:tcBorders>
            <w:shd w:val="clear" w:color="auto" w:fill="auto"/>
          </w:tcPr>
          <w:p w:rsidR="00C85195" w:rsidRPr="00176D3F" w:rsidRDefault="00C85195" w:rsidP="004F7D79">
            <w:pPr>
              <w:pStyle w:val="Note"/>
            </w:pPr>
            <w:r>
              <w:rPr>
                <w:rStyle w:val="NoteLabel"/>
              </w:rPr>
              <w:t>a</w:t>
            </w:r>
            <w:r>
              <w:t xml:space="preserve"> </w:t>
            </w:r>
            <w:r w:rsidR="004E5D01" w:rsidRPr="004E5D01">
              <w:t>Labour includes medical and non-medical labour costs. Material includes other non-labour recurrent costs, such as repairs and maintenance (table 11A.</w:t>
            </w:r>
            <w:r w:rsidR="006160B6">
              <w:t>6</w:t>
            </w:r>
            <w:r w:rsidR="004F7D79">
              <w:t>0</w:t>
            </w:r>
            <w:r w:rsidR="004E5D01" w:rsidRPr="004E5D01">
              <w:t xml:space="preserve">). </w:t>
            </w:r>
            <w:r w:rsidR="004E5D01" w:rsidRPr="004E5D01">
              <w:rPr>
                <w:rStyle w:val="NoteLabel"/>
              </w:rPr>
              <w:t>b</w:t>
            </w:r>
            <w:r w:rsidR="004E5D01" w:rsidRPr="004E5D01">
              <w:t xml:space="preserve"> Capital cost includes depreciation and the user cost of capital for buildings and equipment that is associated with the delivery of admitted patient services in the public hospitals as described in the data for recurrent cost per casemix-adjusted separation. Capital cost excludes the user cost of capital associated with land (reported in table 11A.</w:t>
            </w:r>
            <w:r w:rsidR="006160B6">
              <w:t>6</w:t>
            </w:r>
            <w:r w:rsidR="004F7D79">
              <w:t>2</w:t>
            </w:r>
            <w:r w:rsidR="004E5D01" w:rsidRPr="004E5D01">
              <w:t xml:space="preserve">). </w:t>
            </w:r>
            <w:r w:rsidR="004E5D01" w:rsidRPr="00306712">
              <w:rPr>
                <w:rStyle w:val="NoteLabel"/>
              </w:rPr>
              <w:t>c</w:t>
            </w:r>
            <w:r w:rsidR="004E5D01" w:rsidRPr="004E5D01">
              <w:t xml:space="preserve"> Variation across jurisdictions in the collection of capital related data suggests the data are only indicative. The capital cost per casemix adjusted separation is equal to the capital cost adjusted by the inpatient fraction, divided by the number of casemix-adjusted separations.</w:t>
            </w:r>
          </w:p>
        </w:tc>
      </w:tr>
      <w:tr w:rsidR="00C85195" w:rsidRPr="00176D3F" w:rsidTr="007D422B">
        <w:tc>
          <w:tcPr>
            <w:tcW w:w="8771" w:type="dxa"/>
            <w:tcBorders>
              <w:top w:val="nil"/>
              <w:left w:val="nil"/>
              <w:bottom w:val="nil"/>
              <w:right w:val="nil"/>
            </w:tcBorders>
            <w:shd w:val="clear" w:color="auto" w:fill="auto"/>
          </w:tcPr>
          <w:p w:rsidR="00C85195" w:rsidRPr="00176D3F" w:rsidRDefault="00C85195" w:rsidP="004F7D79">
            <w:pPr>
              <w:pStyle w:val="Source"/>
            </w:pPr>
            <w:r w:rsidRPr="00784A05">
              <w:rPr>
                <w:i/>
              </w:rPr>
              <w:t>Data source</w:t>
            </w:r>
            <w:r w:rsidRPr="00176D3F">
              <w:t xml:space="preserve">: </w:t>
            </w:r>
            <w:r w:rsidR="004E5D01" w:rsidRPr="004E5D01">
              <w:t xml:space="preserve">AIHW (2013), </w:t>
            </w:r>
            <w:r w:rsidR="004E5D01" w:rsidRPr="004E5D01">
              <w:rPr>
                <w:i/>
              </w:rPr>
              <w:t>Australian Hospital Statistics 2011-12</w:t>
            </w:r>
            <w:r w:rsidR="004E5D01" w:rsidRPr="004E5D01">
              <w:t>, Health Services Series No. 50, Cat no.</w:t>
            </w:r>
            <w:r w:rsidR="009551A6">
              <w:t> </w:t>
            </w:r>
            <w:r w:rsidR="004E5D01" w:rsidRPr="004E5D01">
              <w:t>HSE 134; State and Territory governments (unpublished); tables 11A.</w:t>
            </w:r>
            <w:r w:rsidR="006160B6">
              <w:t>6</w:t>
            </w:r>
            <w:r w:rsidR="004F7D79">
              <w:t>0</w:t>
            </w:r>
            <w:r w:rsidR="004E5D01" w:rsidRPr="004E5D01">
              <w:t xml:space="preserve"> and 11A.</w:t>
            </w:r>
            <w:r w:rsidR="006160B6">
              <w:t>6</w:t>
            </w:r>
            <w:r w:rsidR="004F7D79">
              <w:t>2</w:t>
            </w:r>
            <w:r w:rsidR="004E5D01" w:rsidRPr="004E5D01">
              <w:t>.</w:t>
            </w:r>
          </w:p>
        </w:tc>
      </w:tr>
      <w:tr w:rsidR="00C85195" w:rsidTr="007D422B">
        <w:tc>
          <w:tcPr>
            <w:tcW w:w="8771" w:type="dxa"/>
            <w:tcBorders>
              <w:top w:val="nil"/>
              <w:left w:val="nil"/>
              <w:bottom w:val="single" w:sz="6" w:space="0" w:color="78A22F"/>
              <w:right w:val="nil"/>
            </w:tcBorders>
            <w:shd w:val="clear" w:color="auto" w:fill="auto"/>
          </w:tcPr>
          <w:p w:rsidR="00C85195" w:rsidRDefault="00C85195" w:rsidP="007D422B">
            <w:pPr>
              <w:pStyle w:val="Figurespace"/>
            </w:pPr>
          </w:p>
        </w:tc>
      </w:tr>
      <w:tr w:rsidR="00C85195" w:rsidRPr="000863A5" w:rsidTr="007D422B">
        <w:tc>
          <w:tcPr>
            <w:tcW w:w="8771" w:type="dxa"/>
            <w:tcBorders>
              <w:top w:val="single" w:sz="6" w:space="0" w:color="78A22F"/>
              <w:left w:val="nil"/>
              <w:bottom w:val="nil"/>
              <w:right w:val="nil"/>
            </w:tcBorders>
          </w:tcPr>
          <w:p w:rsidR="00C85195" w:rsidRPr="00626D32" w:rsidRDefault="00C85195" w:rsidP="007D422B">
            <w:pPr>
              <w:pStyle w:val="BoxSpaceBelow"/>
            </w:pPr>
          </w:p>
        </w:tc>
      </w:tr>
    </w:tbl>
    <w:p w:rsidR="00C85195" w:rsidRDefault="00C85195" w:rsidP="00C85195">
      <w:pPr>
        <w:pStyle w:val="Heading4"/>
      </w:pPr>
      <w:r>
        <w:t>Relative stay index</w:t>
      </w:r>
    </w:p>
    <w:p w:rsidR="00C85195" w:rsidRDefault="00C85195" w:rsidP="00C85195">
      <w:pPr>
        <w:pStyle w:val="BodyText"/>
      </w:pPr>
      <w:r>
        <w:t>‘Relative stay index’ is an indicator of governments’ objective to deliver services efficiently (box 11.12). Data for this indicator are reported in figure 11.2</w:t>
      </w:r>
      <w:r w:rsidR="000D26EC">
        <w:t>4</w:t>
      </w:r>
      <w:r>
        <w:t>. The relative stay index is reported by funding source and by medical, surgical and other AR</w:t>
      </w:r>
      <w:r w:rsidR="004D0FB7">
        <w:t>-</w:t>
      </w:r>
      <w:r>
        <w:t>DRGs in tables 11A.</w:t>
      </w:r>
      <w:r w:rsidR="006160B6">
        <w:t>6</w:t>
      </w:r>
      <w:r w:rsidR="004F7D79">
        <w:t>3</w:t>
      </w:r>
      <w:r w:rsidR="00475EFE">
        <w:t>–</w:t>
      </w:r>
      <w:r>
        <w:t>6</w:t>
      </w:r>
      <w:r w:rsidR="004F7D79">
        <w:t>4</w:t>
      </w:r>
      <w:r>
        <w:t>.</w:t>
      </w:r>
    </w:p>
    <w:p w:rsidR="00B3687A" w:rsidRDefault="00B3687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3687A" w:rsidTr="007D422B">
        <w:tc>
          <w:tcPr>
            <w:tcW w:w="8771" w:type="dxa"/>
            <w:tcBorders>
              <w:top w:val="single" w:sz="6" w:space="0" w:color="78A22F"/>
              <w:left w:val="nil"/>
              <w:bottom w:val="nil"/>
              <w:right w:val="nil"/>
            </w:tcBorders>
            <w:shd w:val="clear" w:color="auto" w:fill="F2F2F2"/>
          </w:tcPr>
          <w:p w:rsidR="00B3687A" w:rsidRDefault="00B3687A">
            <w:pPr>
              <w:pStyle w:val="BoxTitle"/>
            </w:pPr>
            <w:r>
              <w:rPr>
                <w:b w:val="0"/>
              </w:rPr>
              <w:t>Box 11.</w:t>
            </w:r>
            <w:r w:rsidR="009A53E9">
              <w:rPr>
                <w:b w:val="0"/>
                <w:noProof/>
              </w:rPr>
              <w:t>12</w:t>
            </w:r>
            <w:r>
              <w:tab/>
            </w:r>
            <w:r w:rsidRPr="00B3687A">
              <w:t>Relative stay index</w:t>
            </w:r>
          </w:p>
        </w:tc>
      </w:tr>
      <w:tr w:rsidR="00B3687A" w:rsidTr="007D422B">
        <w:trPr>
          <w:cantSplit/>
        </w:trPr>
        <w:tc>
          <w:tcPr>
            <w:tcW w:w="8771" w:type="dxa"/>
            <w:tcBorders>
              <w:top w:val="nil"/>
              <w:left w:val="nil"/>
              <w:bottom w:val="nil"/>
              <w:right w:val="nil"/>
            </w:tcBorders>
            <w:shd w:val="clear" w:color="auto" w:fill="F2F2F2"/>
          </w:tcPr>
          <w:p w:rsidR="00B3687A" w:rsidRDefault="00B3687A" w:rsidP="007D422B">
            <w:pPr>
              <w:pStyle w:val="Box"/>
            </w:pPr>
            <w:r w:rsidRPr="00B3687A">
              <w:t>‘Relative stay index’ is defined as the actual number of acute care patient days divided by the expected number of acute care patient days, adjusted for casemix. Casemix adjustment allows comparisons to take account of variation in types of service provided but not other influences on length of stay, such as the Indigenous status of the patient. Acute care separations only are included. Section 11.8 contains a more detailed definition outlining exclusions from the index.</w:t>
            </w:r>
          </w:p>
          <w:p w:rsidR="00B3687A" w:rsidRDefault="00B3687A" w:rsidP="00B3687A">
            <w:pPr>
              <w:pStyle w:val="Box"/>
            </w:pPr>
            <w:r>
              <w:t>The relative stay index for Australia for all hospitals (public and private) is one. A relative stay index greater than one indicates that average length of patient stay is higher than expected given the jurisdiction’s casemix distribution. A relative stay index of less than one indicates that the number of bed days used was less than expected. A low or decreasing relative stay index is desirable if it is not associated with poorer health outcomes or significant extra costs outside the hospital systems (for example, in home care).</w:t>
            </w:r>
          </w:p>
          <w:p w:rsidR="00B3687A" w:rsidRDefault="00B3687A" w:rsidP="00B3687A">
            <w:pPr>
              <w:pStyle w:val="Box"/>
            </w:pPr>
            <w:r>
              <w:t>States and territories vary in their thresholds for classifying patients as either same day admitted patients or outpatients. These variations affect the relative stay index.</w:t>
            </w:r>
          </w:p>
          <w:p w:rsidR="00B3687A" w:rsidRDefault="00B3687A" w:rsidP="00B3687A">
            <w:pPr>
              <w:pStyle w:val="Box"/>
            </w:pPr>
            <w:r>
              <w:t>Data reported for this measure are:</w:t>
            </w:r>
          </w:p>
          <w:p w:rsidR="00B3687A" w:rsidRDefault="00581675" w:rsidP="00B3687A">
            <w:pPr>
              <w:pStyle w:val="BoxListBullet"/>
            </w:pPr>
            <w:r>
              <w:t>comparable (subject to caveats) within jurisdictions over time but are not comparable across jurisdictions</w:t>
            </w:r>
          </w:p>
          <w:p w:rsidR="00B3687A" w:rsidRDefault="00B3687A" w:rsidP="00B3687A">
            <w:pPr>
              <w:pStyle w:val="BoxListBullet"/>
            </w:pPr>
            <w:r>
              <w:t>complete (subject to caveats) for the current reporting period. All required 201</w:t>
            </w:r>
            <w:r w:rsidR="00C21C9F">
              <w:t>2-</w:t>
            </w:r>
            <w:r>
              <w:t>1</w:t>
            </w:r>
            <w:r w:rsidR="00C21C9F">
              <w:t>3</w:t>
            </w:r>
            <w:r>
              <w:t xml:space="preserve"> data are available for all jurisdictions.</w:t>
            </w:r>
          </w:p>
          <w:p w:rsidR="00B3687A" w:rsidRDefault="00CB26A6" w:rsidP="00CB26A6">
            <w:pPr>
              <w:pStyle w:val="Box"/>
            </w:pPr>
            <w:r w:rsidRPr="00CB26A6">
              <w:t>Data quality</w:t>
            </w:r>
            <w:r>
              <w:t xml:space="preserve"> information for this indicator</w:t>
            </w:r>
            <w:r w:rsidR="008C0550">
              <w:t xml:space="preserve"> is at www.pc.gov.au</w:t>
            </w:r>
            <w:r w:rsidRPr="00CB26A6">
              <w:t>/rogs/2015.</w:t>
            </w:r>
          </w:p>
        </w:tc>
      </w:tr>
      <w:tr w:rsidR="00B3687A" w:rsidTr="007D422B">
        <w:trPr>
          <w:cantSplit/>
        </w:trPr>
        <w:tc>
          <w:tcPr>
            <w:tcW w:w="8771" w:type="dxa"/>
            <w:tcBorders>
              <w:top w:val="nil"/>
              <w:left w:val="nil"/>
              <w:bottom w:val="single" w:sz="6" w:space="0" w:color="78A22F"/>
              <w:right w:val="nil"/>
            </w:tcBorders>
            <w:shd w:val="clear" w:color="auto" w:fill="F2F2F2"/>
          </w:tcPr>
          <w:p w:rsidR="00B3687A" w:rsidRDefault="00B3687A">
            <w:pPr>
              <w:pStyle w:val="Box"/>
              <w:spacing w:before="0" w:line="120" w:lineRule="exact"/>
            </w:pPr>
          </w:p>
        </w:tc>
      </w:tr>
      <w:tr w:rsidR="00B3687A" w:rsidRPr="000863A5" w:rsidTr="007D422B">
        <w:tc>
          <w:tcPr>
            <w:tcW w:w="8771" w:type="dxa"/>
            <w:tcBorders>
              <w:top w:val="single" w:sz="6" w:space="0" w:color="78A22F"/>
              <w:left w:val="nil"/>
              <w:bottom w:val="nil"/>
              <w:right w:val="nil"/>
            </w:tcBorders>
          </w:tcPr>
          <w:p w:rsidR="00B3687A" w:rsidRPr="00626D32" w:rsidRDefault="00B3687A" w:rsidP="007D422B">
            <w:pPr>
              <w:pStyle w:val="BoxSpaceBelow"/>
            </w:pPr>
          </w:p>
        </w:tc>
      </w:tr>
    </w:tbl>
    <w:p w:rsidR="00B3687A" w:rsidRDefault="00B3687A" w:rsidP="00980FDB">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3687A" w:rsidTr="007D422B">
        <w:tc>
          <w:tcPr>
            <w:tcW w:w="8771" w:type="dxa"/>
            <w:tcBorders>
              <w:top w:val="single" w:sz="6" w:space="0" w:color="78A22F"/>
              <w:left w:val="nil"/>
              <w:bottom w:val="nil"/>
              <w:right w:val="nil"/>
            </w:tcBorders>
            <w:shd w:val="clear" w:color="auto" w:fill="auto"/>
          </w:tcPr>
          <w:p w:rsidR="00B3687A" w:rsidRPr="00176D3F" w:rsidRDefault="00B3687A" w:rsidP="00980FDB">
            <w:pPr>
              <w:pStyle w:val="FigureTitle"/>
            </w:pPr>
            <w:r w:rsidRPr="00784A05">
              <w:rPr>
                <w:b w:val="0"/>
              </w:rPr>
              <w:t xml:space="preserve">Figure </w:t>
            </w:r>
            <w:r w:rsidR="000D26EC">
              <w:rPr>
                <w:b w:val="0"/>
              </w:rPr>
              <w:t>11.</w:t>
            </w:r>
            <w:r w:rsidR="009A53E9">
              <w:rPr>
                <w:b w:val="0"/>
                <w:noProof/>
              </w:rPr>
              <w:t>24</w:t>
            </w:r>
            <w:r>
              <w:tab/>
            </w:r>
            <w:r w:rsidRPr="00B3687A">
              <w:t>Relative stay index, public hospitals, 201</w:t>
            </w:r>
            <w:r>
              <w:t>2-13</w:t>
            </w:r>
            <w:r w:rsidRPr="00B3687A">
              <w:rPr>
                <w:rStyle w:val="NoteLabel"/>
                <w:b/>
                <w:szCs w:val="20"/>
              </w:rPr>
              <w:t>a, b</w:t>
            </w:r>
          </w:p>
        </w:tc>
      </w:tr>
      <w:tr w:rsidR="00B3687A" w:rsidTr="007D422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3687A" w:rsidTr="007D422B">
              <w:trPr>
                <w:jc w:val="center"/>
              </w:trPr>
              <w:tc>
                <w:tcPr>
                  <w:tcW w:w="5000" w:type="pct"/>
                  <w:tcBorders>
                    <w:top w:val="nil"/>
                    <w:bottom w:val="nil"/>
                  </w:tcBorders>
                </w:tcPr>
                <w:p w:rsidR="00B3687A" w:rsidRDefault="001F000D" w:rsidP="00980FDB">
                  <w:pPr>
                    <w:pStyle w:val="Figure"/>
                    <w:keepLines/>
                    <w:spacing w:before="60" w:after="60"/>
                  </w:pPr>
                  <w:r>
                    <w:rPr>
                      <w:noProof/>
                    </w:rPr>
                    <w:drawing>
                      <wp:inline distT="0" distB="0" distL="0" distR="0" wp14:anchorId="3B7D04EC" wp14:editId="4632AC8C">
                        <wp:extent cx="5391150" cy="2705100"/>
                        <wp:effectExtent l="0" t="0" r="0" b="0"/>
                        <wp:docPr id="27" name="Picture 27" descr="Figure 11.24 Relative stay index, public hospitals,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B3687A" w:rsidRDefault="00B3687A" w:rsidP="00980FDB">
            <w:pPr>
              <w:pStyle w:val="Figure"/>
              <w:keepLines/>
            </w:pPr>
          </w:p>
        </w:tc>
      </w:tr>
      <w:tr w:rsidR="00B3687A" w:rsidRPr="00176D3F" w:rsidTr="007D422B">
        <w:tc>
          <w:tcPr>
            <w:tcW w:w="8771" w:type="dxa"/>
            <w:tcBorders>
              <w:top w:val="nil"/>
              <w:left w:val="nil"/>
              <w:bottom w:val="nil"/>
              <w:right w:val="nil"/>
            </w:tcBorders>
            <w:shd w:val="clear" w:color="auto" w:fill="auto"/>
          </w:tcPr>
          <w:p w:rsidR="00B3687A" w:rsidRPr="00176D3F" w:rsidRDefault="00B3687A" w:rsidP="0022493D">
            <w:pPr>
              <w:pStyle w:val="Note"/>
              <w:keepNext/>
            </w:pPr>
            <w:r>
              <w:rPr>
                <w:rStyle w:val="NoteLabel"/>
              </w:rPr>
              <w:t>a</w:t>
            </w:r>
            <w:r>
              <w:t xml:space="preserve"> </w:t>
            </w:r>
            <w:r w:rsidRPr="00B3687A">
              <w:t xml:space="preserve">Separations exclude newborns with unqualified days, organ procurement posthumous and hospital boarders. </w:t>
            </w:r>
            <w:r w:rsidRPr="00B3687A">
              <w:rPr>
                <w:rStyle w:val="NoteLabel"/>
              </w:rPr>
              <w:t>b</w:t>
            </w:r>
            <w:r w:rsidRPr="00B3687A">
              <w:t xml:space="preserve"> The relative stay index is based on all hospitals and is estimated using the indirect standardisation method and AR-DRG version 6.0x. The indirectly standardised relative stay index is not strictly comparable </w:t>
            </w:r>
            <w:r w:rsidR="0022493D">
              <w:t>across</w:t>
            </w:r>
            <w:r w:rsidRPr="00B3687A">
              <w:t xml:space="preserve"> jurisdictions but is a comparison of the jurisdiction with the national average based on the casemix of the jurisdiction.</w:t>
            </w:r>
          </w:p>
        </w:tc>
      </w:tr>
      <w:tr w:rsidR="00B3687A" w:rsidRPr="00176D3F" w:rsidTr="007D422B">
        <w:tc>
          <w:tcPr>
            <w:tcW w:w="8771" w:type="dxa"/>
            <w:tcBorders>
              <w:top w:val="nil"/>
              <w:left w:val="nil"/>
              <w:bottom w:val="nil"/>
              <w:right w:val="nil"/>
            </w:tcBorders>
            <w:shd w:val="clear" w:color="auto" w:fill="auto"/>
          </w:tcPr>
          <w:p w:rsidR="00B3687A" w:rsidRPr="00176D3F" w:rsidRDefault="00B3687A" w:rsidP="004F7D79">
            <w:pPr>
              <w:pStyle w:val="Source"/>
              <w:keepNext/>
            </w:pPr>
            <w:r>
              <w:rPr>
                <w:i/>
              </w:rPr>
              <w:t>S</w:t>
            </w:r>
            <w:r w:rsidRPr="00784A05">
              <w:rPr>
                <w:i/>
              </w:rPr>
              <w:t>ource</w:t>
            </w:r>
            <w:r w:rsidRPr="00176D3F">
              <w:t xml:space="preserve">: </w:t>
            </w:r>
            <w:r w:rsidR="00D217E8" w:rsidRPr="00D217E8">
              <w:t xml:space="preserve">AIHW (2014), </w:t>
            </w:r>
            <w:r w:rsidR="00D217E8" w:rsidRPr="00D217E8">
              <w:rPr>
                <w:i/>
              </w:rPr>
              <w:t>Australian Hospital Statistics 2012-13</w:t>
            </w:r>
            <w:r w:rsidR="00D217E8" w:rsidRPr="00D217E8">
              <w:t>, Health Services Series No. 54, Cat no.</w:t>
            </w:r>
            <w:r w:rsidR="009551A6">
              <w:t> </w:t>
            </w:r>
            <w:r w:rsidR="00D217E8" w:rsidRPr="00D217E8">
              <w:t>HSE</w:t>
            </w:r>
            <w:r w:rsidR="0022493D">
              <w:t> </w:t>
            </w:r>
            <w:r w:rsidR="00D217E8" w:rsidRPr="00D217E8">
              <w:t>145</w:t>
            </w:r>
            <w:r w:rsidRPr="00B3687A">
              <w:t>; table 11A.</w:t>
            </w:r>
            <w:r w:rsidR="006160B6">
              <w:t>6</w:t>
            </w:r>
            <w:r w:rsidR="004F7D79">
              <w:t>3</w:t>
            </w:r>
            <w:r w:rsidRPr="00B3687A">
              <w:t>.</w:t>
            </w:r>
          </w:p>
        </w:tc>
      </w:tr>
      <w:tr w:rsidR="00B3687A" w:rsidTr="007D422B">
        <w:tc>
          <w:tcPr>
            <w:tcW w:w="8771" w:type="dxa"/>
            <w:tcBorders>
              <w:top w:val="nil"/>
              <w:left w:val="nil"/>
              <w:bottom w:val="single" w:sz="6" w:space="0" w:color="78A22F"/>
              <w:right w:val="nil"/>
            </w:tcBorders>
            <w:shd w:val="clear" w:color="auto" w:fill="auto"/>
          </w:tcPr>
          <w:p w:rsidR="00B3687A" w:rsidRDefault="00B3687A" w:rsidP="00980FDB">
            <w:pPr>
              <w:pStyle w:val="Figurespace"/>
              <w:keepLines/>
            </w:pPr>
          </w:p>
        </w:tc>
      </w:tr>
      <w:tr w:rsidR="00B3687A" w:rsidRPr="000863A5" w:rsidTr="007D422B">
        <w:tc>
          <w:tcPr>
            <w:tcW w:w="8771" w:type="dxa"/>
            <w:tcBorders>
              <w:top w:val="single" w:sz="6" w:space="0" w:color="78A22F"/>
              <w:left w:val="nil"/>
              <w:bottom w:val="nil"/>
              <w:right w:val="nil"/>
            </w:tcBorders>
          </w:tcPr>
          <w:p w:rsidR="00B3687A" w:rsidRPr="00626D32" w:rsidRDefault="00B3687A" w:rsidP="00980FDB">
            <w:pPr>
              <w:pStyle w:val="BoxSpaceBelow"/>
              <w:keepNext/>
              <w:keepLines/>
            </w:pPr>
          </w:p>
        </w:tc>
      </w:tr>
    </w:tbl>
    <w:p w:rsidR="00B3687A" w:rsidRDefault="00B3687A" w:rsidP="00B3687A">
      <w:pPr>
        <w:pStyle w:val="Heading4"/>
      </w:pPr>
      <w:r>
        <w:t>Recurrent cost per non-admitted occasion of service</w:t>
      </w:r>
    </w:p>
    <w:p w:rsidR="00B3687A" w:rsidRDefault="00B3687A" w:rsidP="00B3687A">
      <w:pPr>
        <w:pStyle w:val="BodyText"/>
      </w:pPr>
      <w:r>
        <w:t>‘Recurrent cost per non-admitted occasion of service’ is an indicator of governments’ objective to deliver services in a cost effective manner (box 11.13).</w:t>
      </w:r>
    </w:p>
    <w:p w:rsidR="00B3687A" w:rsidRDefault="00B3687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3687A" w:rsidTr="007D422B">
        <w:tc>
          <w:tcPr>
            <w:tcW w:w="8771" w:type="dxa"/>
            <w:tcBorders>
              <w:top w:val="single" w:sz="6" w:space="0" w:color="78A22F"/>
              <w:left w:val="nil"/>
              <w:bottom w:val="nil"/>
              <w:right w:val="nil"/>
            </w:tcBorders>
            <w:shd w:val="clear" w:color="auto" w:fill="F2F2F2"/>
          </w:tcPr>
          <w:p w:rsidR="00B3687A" w:rsidRDefault="00B3687A">
            <w:pPr>
              <w:pStyle w:val="BoxTitle"/>
            </w:pPr>
            <w:r>
              <w:rPr>
                <w:b w:val="0"/>
              </w:rPr>
              <w:t>Box 11.</w:t>
            </w:r>
            <w:r w:rsidR="009A53E9">
              <w:rPr>
                <w:b w:val="0"/>
                <w:noProof/>
              </w:rPr>
              <w:t>13</w:t>
            </w:r>
            <w:r>
              <w:tab/>
            </w:r>
            <w:r w:rsidRPr="00B3687A">
              <w:t>Recurrent cost per non-admitted occasion of service</w:t>
            </w:r>
          </w:p>
        </w:tc>
      </w:tr>
      <w:tr w:rsidR="00B3687A" w:rsidTr="007D422B">
        <w:trPr>
          <w:cantSplit/>
        </w:trPr>
        <w:tc>
          <w:tcPr>
            <w:tcW w:w="8771" w:type="dxa"/>
            <w:tcBorders>
              <w:top w:val="nil"/>
              <w:left w:val="nil"/>
              <w:bottom w:val="nil"/>
              <w:right w:val="nil"/>
            </w:tcBorders>
            <w:shd w:val="clear" w:color="auto" w:fill="F2F2F2"/>
          </w:tcPr>
          <w:p w:rsidR="00B3687A" w:rsidRDefault="00B3687A" w:rsidP="00B3687A">
            <w:pPr>
              <w:pStyle w:val="Box"/>
            </w:pPr>
            <w:r>
              <w:t>‘Recurrent cost per non</w:t>
            </w:r>
            <w:r w:rsidR="00B81EBB">
              <w:t>-</w:t>
            </w:r>
            <w:r>
              <w:t>admitted occasion of service’ is defined as the proportion of recurrent expenditure allocated to patients who were not admitted, divided by the total number of non</w:t>
            </w:r>
            <w:r w:rsidR="00B81EBB">
              <w:noBreakHyphen/>
            </w:r>
            <w:r>
              <w:t>admitted patient occasions of service in public hospitals. Occasions of service include examinations, consultations, treatments or other services provided to patients in each functional unit of a hospital. Non</w:t>
            </w:r>
            <w:r w:rsidR="00B81EBB">
              <w:t>-</w:t>
            </w:r>
            <w:r>
              <w:t xml:space="preserve">admitted occasions of service (including emergency department presentations and outpatient services) account for a significant proportion of hospital expenditure. </w:t>
            </w:r>
          </w:p>
          <w:p w:rsidR="00B3687A" w:rsidRDefault="00B3687A" w:rsidP="00B3687A">
            <w:pPr>
              <w:pStyle w:val="Box"/>
            </w:pPr>
            <w:r>
              <w:t>A low or decreasing recurrent cost per non</w:t>
            </w:r>
            <w:r w:rsidR="00B81EBB">
              <w:t>-</w:t>
            </w:r>
            <w:r>
              <w:t>admitted occasion of service can reflect more efficient service delivery in public hospitals. However, this indicator should be viewed in the context of the set of performance indicators as a whole, as decreasing cost could also be associated with decreasing quality and effectiveness. This indicator does not adjust for the complexity of service — for example, a simple urine glucose test is treated equally with a complete biochemical analysis of all body fluids (AIHW 2000).</w:t>
            </w:r>
          </w:p>
          <w:p w:rsidR="00B3687A" w:rsidRDefault="00B3687A" w:rsidP="00B3687A">
            <w:pPr>
              <w:pStyle w:val="Box"/>
            </w:pPr>
            <w:r>
              <w:t>Data reported for this indicator are:</w:t>
            </w:r>
          </w:p>
          <w:p w:rsidR="00B3687A" w:rsidRDefault="00B3687A" w:rsidP="00B3687A">
            <w:pPr>
              <w:pStyle w:val="BoxListBullet"/>
            </w:pPr>
            <w:r>
              <w:t>comparable (subject to caveats) within jurisdictions over time but are not comparable across jurisdictions</w:t>
            </w:r>
          </w:p>
          <w:p w:rsidR="00B3687A" w:rsidRDefault="00B3687A" w:rsidP="00B3687A">
            <w:pPr>
              <w:pStyle w:val="BoxListBullet"/>
            </w:pPr>
            <w:r>
              <w:t>incomplete for the current reporting period. All required data were not available for Victoria, Queensland and the NT.</w:t>
            </w:r>
          </w:p>
          <w:p w:rsidR="00B3687A" w:rsidRDefault="00886C7D" w:rsidP="00886C7D">
            <w:pPr>
              <w:pStyle w:val="Box"/>
            </w:pPr>
            <w:r w:rsidRPr="00886C7D">
              <w:t>Data quality</w:t>
            </w:r>
            <w:r>
              <w:t xml:space="preserve"> information for this indicator</w:t>
            </w:r>
            <w:r w:rsidR="008C0550">
              <w:t xml:space="preserve"> is at www.pc.gov.au</w:t>
            </w:r>
            <w:r w:rsidRPr="00886C7D">
              <w:t>/rogs/2015.</w:t>
            </w:r>
          </w:p>
        </w:tc>
      </w:tr>
      <w:tr w:rsidR="00B3687A" w:rsidTr="007D422B">
        <w:trPr>
          <w:cantSplit/>
        </w:trPr>
        <w:tc>
          <w:tcPr>
            <w:tcW w:w="8771" w:type="dxa"/>
            <w:tcBorders>
              <w:top w:val="nil"/>
              <w:left w:val="nil"/>
              <w:bottom w:val="single" w:sz="6" w:space="0" w:color="78A22F"/>
              <w:right w:val="nil"/>
            </w:tcBorders>
            <w:shd w:val="clear" w:color="auto" w:fill="F2F2F2"/>
          </w:tcPr>
          <w:p w:rsidR="00B3687A" w:rsidRDefault="00B3687A">
            <w:pPr>
              <w:pStyle w:val="Box"/>
              <w:spacing w:before="0" w:line="120" w:lineRule="exact"/>
            </w:pPr>
          </w:p>
        </w:tc>
      </w:tr>
      <w:tr w:rsidR="00B3687A" w:rsidRPr="000863A5" w:rsidTr="007D422B">
        <w:tc>
          <w:tcPr>
            <w:tcW w:w="8771" w:type="dxa"/>
            <w:tcBorders>
              <w:top w:val="single" w:sz="6" w:space="0" w:color="78A22F"/>
              <w:left w:val="nil"/>
              <w:bottom w:val="nil"/>
              <w:right w:val="nil"/>
            </w:tcBorders>
          </w:tcPr>
          <w:p w:rsidR="00B3687A" w:rsidRPr="00626D32" w:rsidRDefault="00B3687A" w:rsidP="007D422B">
            <w:pPr>
              <w:pStyle w:val="BoxSpaceBelow"/>
            </w:pPr>
          </w:p>
        </w:tc>
      </w:tr>
    </w:tbl>
    <w:p w:rsidR="00B3687A" w:rsidRDefault="00B3687A" w:rsidP="00B3687A">
      <w:pPr>
        <w:pStyle w:val="BodyText"/>
      </w:pPr>
      <w:r>
        <w:t>These data are not comparable across jurisdictions. Reporting categories vary across jurisdictions, and further inconsistencies arise as a result of differences in outsourcing practices. In some cases, for example, outsourced occasions of service can be included in expenditure on non</w:t>
      </w:r>
      <w:r w:rsidR="00B81EBB">
        <w:t>-</w:t>
      </w:r>
      <w:r>
        <w:t>admitted services, but not in the count of occasions of service. Jurisdictions able to supply 201</w:t>
      </w:r>
      <w:r w:rsidR="005F067D">
        <w:t>2</w:t>
      </w:r>
      <w:r>
        <w:t>-1</w:t>
      </w:r>
      <w:r w:rsidR="005F067D">
        <w:t>3</w:t>
      </w:r>
      <w:r>
        <w:t xml:space="preserve"> data for this indicator reported the following results for non</w:t>
      </w:r>
      <w:r w:rsidR="00B81EBB">
        <w:t>-</w:t>
      </w:r>
      <w:r>
        <w:t>admitted patient services:</w:t>
      </w:r>
    </w:p>
    <w:p w:rsidR="00B3687A" w:rsidRDefault="00B3687A" w:rsidP="00B3687A">
      <w:pPr>
        <w:pStyle w:val="ListBullet"/>
      </w:pPr>
      <w:r>
        <w:t>In NSW, the emergency department cost per occasion of service was $26</w:t>
      </w:r>
      <w:r w:rsidR="005F067D">
        <w:t>0</w:t>
      </w:r>
      <w:r>
        <w:t xml:space="preserve"> for 2.</w:t>
      </w:r>
      <w:r w:rsidR="005F067D">
        <w:t>5</w:t>
      </w:r>
      <w:r w:rsidR="00475EFE">
        <w:t> </w:t>
      </w:r>
      <w:r>
        <w:t>million occasions, the outpatient cost per occasion of service was $1</w:t>
      </w:r>
      <w:r w:rsidR="005F067D">
        <w:t>17</w:t>
      </w:r>
      <w:r>
        <w:t xml:space="preserve"> for </w:t>
      </w:r>
      <w:r w:rsidR="00631F6C">
        <w:t>16.6</w:t>
      </w:r>
      <w:r w:rsidR="0022493D">
        <w:t> </w:t>
      </w:r>
      <w:r>
        <w:t>million occasions and the overall cost per occasion of service (emergency plus outpatient plus other) was $12</w:t>
      </w:r>
      <w:r w:rsidR="005F067D">
        <w:t>7</w:t>
      </w:r>
      <w:r>
        <w:t xml:space="preserve"> for </w:t>
      </w:r>
      <w:r w:rsidR="00631F6C">
        <w:t>23.1</w:t>
      </w:r>
      <w:r>
        <w:t xml:space="preserve"> million occasions (table 11A.6</w:t>
      </w:r>
      <w:r w:rsidR="00AF6760">
        <w:t>5</w:t>
      </w:r>
      <w:r>
        <w:t>).</w:t>
      </w:r>
    </w:p>
    <w:p w:rsidR="00B3687A" w:rsidRDefault="00B3687A" w:rsidP="00B3687A">
      <w:pPr>
        <w:pStyle w:val="ListBullet"/>
      </w:pPr>
      <w:r>
        <w:t>In WA, the emergency department cost per occasion of service was $5</w:t>
      </w:r>
      <w:r w:rsidR="00631F6C">
        <w:t>68</w:t>
      </w:r>
      <w:r>
        <w:t xml:space="preserve"> for </w:t>
      </w:r>
      <w:r w:rsidR="00631F6C">
        <w:t>991</w:t>
      </w:r>
      <w:r w:rsidR="009B3F36">
        <w:t> </w:t>
      </w:r>
      <w:r w:rsidR="0022493D">
        <w:t>000 </w:t>
      </w:r>
      <w:r>
        <w:t>occasions, the outpatient cost per occasion of service was $28</w:t>
      </w:r>
      <w:r w:rsidR="00631F6C">
        <w:t>9</w:t>
      </w:r>
      <w:r>
        <w:t xml:space="preserve"> for 1.</w:t>
      </w:r>
      <w:r w:rsidR="00631F6C">
        <w:t>8</w:t>
      </w:r>
      <w:r>
        <w:t xml:space="preserve"> million occasions and the overall cost per occasion of service (emergency plus outpatient plus other) was $3</w:t>
      </w:r>
      <w:r w:rsidR="00631F6C">
        <w:t>8</w:t>
      </w:r>
      <w:r>
        <w:t>9 for 2.</w:t>
      </w:r>
      <w:r w:rsidR="00631F6C">
        <w:t>8</w:t>
      </w:r>
      <w:r>
        <w:t xml:space="preserve"> million occasions (table 11A.6</w:t>
      </w:r>
      <w:r w:rsidR="00AF6760">
        <w:t>6</w:t>
      </w:r>
      <w:r>
        <w:t>).</w:t>
      </w:r>
    </w:p>
    <w:p w:rsidR="00B3687A" w:rsidRDefault="00B3687A" w:rsidP="00B3687A">
      <w:pPr>
        <w:pStyle w:val="ListBullet"/>
      </w:pPr>
      <w:r>
        <w:t>In SA, the emergency department cost per occasion of service was $</w:t>
      </w:r>
      <w:r w:rsidR="009B3F36">
        <w:t>549</w:t>
      </w:r>
      <w:r>
        <w:t xml:space="preserve"> for </w:t>
      </w:r>
      <w:r w:rsidR="009B3F36">
        <w:t>553 </w:t>
      </w:r>
      <w:r w:rsidR="0022493D">
        <w:t>000 </w:t>
      </w:r>
      <w:r>
        <w:t>occasions, the outpatient cost per occasion of service was $3</w:t>
      </w:r>
      <w:r w:rsidR="009B3F36">
        <w:t>56</w:t>
      </w:r>
      <w:r>
        <w:t xml:space="preserve"> for 1.</w:t>
      </w:r>
      <w:r w:rsidR="009B3F36">
        <w:t>5</w:t>
      </w:r>
      <w:r>
        <w:t xml:space="preserve"> million occasions and the overall cost per occasion of service (emergency plus outpatient) was $</w:t>
      </w:r>
      <w:r w:rsidR="009B3F36">
        <w:t>408</w:t>
      </w:r>
      <w:r>
        <w:t xml:space="preserve"> for 2.</w:t>
      </w:r>
      <w:r w:rsidR="009B3F36">
        <w:t>1</w:t>
      </w:r>
      <w:r>
        <w:t xml:space="preserve"> million occasions (table 11A.6</w:t>
      </w:r>
      <w:r w:rsidR="00AF6760">
        <w:t>7</w:t>
      </w:r>
      <w:r>
        <w:t>).</w:t>
      </w:r>
    </w:p>
    <w:p w:rsidR="00B3687A" w:rsidRDefault="00B3687A" w:rsidP="00B3687A">
      <w:pPr>
        <w:pStyle w:val="ListBullet"/>
      </w:pPr>
      <w:r>
        <w:t>In Tasmania, the emergency department cost per occas</w:t>
      </w:r>
      <w:r w:rsidR="009B3F36">
        <w:t>ion of service was $</w:t>
      </w:r>
      <w:r w:rsidR="007150D6">
        <w:t>363</w:t>
      </w:r>
      <w:r w:rsidR="009B3F36">
        <w:t xml:space="preserve"> for 12</w:t>
      </w:r>
      <w:r w:rsidR="007150D6">
        <w:t>9</w:t>
      </w:r>
      <w:r w:rsidR="009B3F36">
        <w:t> </w:t>
      </w:r>
      <w:r>
        <w:t>000 occasions. The outpatient cost per occasion of service was $2</w:t>
      </w:r>
      <w:r w:rsidR="007150D6">
        <w:t>72</w:t>
      </w:r>
      <w:r>
        <w:t xml:space="preserve"> for </w:t>
      </w:r>
      <w:r>
        <w:lastRenderedPageBreak/>
        <w:t>4</w:t>
      </w:r>
      <w:r w:rsidR="007150D6">
        <w:t>73 </w:t>
      </w:r>
      <w:r w:rsidR="0022493D">
        <w:t>000 </w:t>
      </w:r>
      <w:r>
        <w:t>occasions. An overall cost per occasion of s</w:t>
      </w:r>
      <w:r w:rsidR="00F91AC7">
        <w:t>ervice was not available (table </w:t>
      </w:r>
      <w:r>
        <w:t>11A.</w:t>
      </w:r>
      <w:r w:rsidR="00AF6760">
        <w:t>68</w:t>
      </w:r>
      <w:r>
        <w:t>).</w:t>
      </w:r>
    </w:p>
    <w:p w:rsidR="00B3687A" w:rsidRDefault="00B3687A" w:rsidP="00B3687A">
      <w:pPr>
        <w:pStyle w:val="ListBullet"/>
      </w:pPr>
      <w:r>
        <w:t>In the ACT, the emergency department cost per occas</w:t>
      </w:r>
      <w:r w:rsidR="007150D6">
        <w:t>ion of service was $832 for 119 </w:t>
      </w:r>
      <w:r>
        <w:t>000 occasions, the outpatient cost per occasion of service was $3</w:t>
      </w:r>
      <w:r w:rsidR="00200849">
        <w:t>58</w:t>
      </w:r>
      <w:r>
        <w:t xml:space="preserve"> for 3</w:t>
      </w:r>
      <w:r w:rsidR="007150D6">
        <w:t>19 </w:t>
      </w:r>
      <w:r w:rsidR="0022493D">
        <w:t>000 </w:t>
      </w:r>
      <w:r>
        <w:t>occasions and the overall cost per occasion of service (emergency plus outpatient) was $</w:t>
      </w:r>
      <w:r w:rsidR="00200849">
        <w:t>357</w:t>
      </w:r>
      <w:r>
        <w:t xml:space="preserve"> for </w:t>
      </w:r>
      <w:r w:rsidR="007150D6">
        <w:t>827 </w:t>
      </w:r>
      <w:r>
        <w:t>000 occasions (table 11A.</w:t>
      </w:r>
      <w:r w:rsidR="00AF6760">
        <w:t>69</w:t>
      </w:r>
      <w:r>
        <w:t>).</w:t>
      </w:r>
    </w:p>
    <w:p w:rsidR="00B3687A" w:rsidRDefault="00B3687A" w:rsidP="00B3687A">
      <w:pPr>
        <w:pStyle w:val="BodyText"/>
      </w:pPr>
      <w:r>
        <w:t>Given the lack of a nationally consistent non-admitted patient classification system, this Report includes national data from the Independent Hospital Pricing Authority’s National Hospital Cost Data Collection (NHCDC). The NHCDC collects data across a sample of hospitals that is expanding over time. The sample for each jurisdiction is not necessarily representative, because hospitals contribute data on a voluntary basis. The NHCDC data are affected by differences in costing and admission practices across jurisdictions and hospitals. Therefore, an estimation process has been carried out to create representative national activity figures from the sample data. In addition, the purpose of the NHCDC is to calculate between</w:t>
      </w:r>
      <w:r w:rsidR="0022493D">
        <w:t>-</w:t>
      </w:r>
      <w:r>
        <w:t xml:space="preserve">DRG cost weights, not to compare the efficiency of hospitals. </w:t>
      </w:r>
    </w:p>
    <w:p w:rsidR="000E1B15" w:rsidRDefault="000E1B15" w:rsidP="0083330D">
      <w:pPr>
        <w:pStyle w:val="BodyText"/>
      </w:pPr>
      <w:r>
        <w:t>The emergency department cost per presentation in 2011-12 was $585 nationally (table 11A.7</w:t>
      </w:r>
      <w:r w:rsidR="00AF6760">
        <w:t>0</w:t>
      </w:r>
      <w:r>
        <w:t xml:space="preserve">). </w:t>
      </w:r>
      <w:r w:rsidR="00AB67E3">
        <w:t>Wage</w:t>
      </w:r>
      <w:r w:rsidR="00DE2D57">
        <w:t>s</w:t>
      </w:r>
      <w:r w:rsidR="00AB67E3">
        <w:t xml:space="preserve"> and salar</w:t>
      </w:r>
      <w:r w:rsidR="00DE2D57">
        <w:t>ies</w:t>
      </w:r>
      <w:r w:rsidR="00AB67E3">
        <w:t xml:space="preserve"> accounted for around two thirds of this average cost </w:t>
      </w:r>
      <w:r w:rsidR="00DE2D57">
        <w:t xml:space="preserve">nationally </w:t>
      </w:r>
      <w:r w:rsidR="00AB67E3">
        <w:t>(</w:t>
      </w:r>
      <w:r>
        <w:t>table 11A.7</w:t>
      </w:r>
      <w:r w:rsidR="00AF6760">
        <w:t>0</w:t>
      </w:r>
      <w:r w:rsidR="00AB67E3">
        <w:t>)</w:t>
      </w:r>
      <w:r>
        <w:t xml:space="preserve">. </w:t>
      </w:r>
      <w:r w:rsidR="00DE2D57">
        <w:t>Emergency department c</w:t>
      </w:r>
      <w:r>
        <w:t>ost</w:t>
      </w:r>
      <w:r w:rsidR="00DE2D57">
        <w:t>s</w:t>
      </w:r>
      <w:r>
        <w:t xml:space="preserve"> per presentation by urgency related grouping are reported in table 11A.7</w:t>
      </w:r>
      <w:r w:rsidR="00AF6760">
        <w:t>1</w:t>
      </w:r>
      <w:r>
        <w:t xml:space="preserve"> for the period 2009-10 to 2011</w:t>
      </w:r>
      <w:r w:rsidR="00DE2D57">
        <w:noBreakHyphen/>
      </w:r>
      <w:r>
        <w:t>12</w:t>
      </w:r>
      <w:r w:rsidR="003B25AE" w:rsidRPr="003B25AE">
        <w:t xml:space="preserve"> </w:t>
      </w:r>
      <w:r w:rsidR="003B25AE">
        <w:t>on a national basis</w:t>
      </w:r>
      <w:r>
        <w:t>. Non-admitted service events had an average cost of $318 in 2011-12 nationally (table 11A.7</w:t>
      </w:r>
      <w:r w:rsidR="00AF6760">
        <w:t>2</w:t>
      </w:r>
      <w:r>
        <w:t>).</w:t>
      </w:r>
    </w:p>
    <w:p w:rsidR="00B3687A" w:rsidRDefault="00B3687A" w:rsidP="00B3687A">
      <w:pPr>
        <w:pStyle w:val="Heading3"/>
      </w:pPr>
      <w:r>
        <w:t>Outcomes</w:t>
      </w:r>
    </w:p>
    <w:p w:rsidR="00B3687A" w:rsidRDefault="00B3687A" w:rsidP="00B3687A">
      <w:pPr>
        <w:pStyle w:val="BodyText"/>
      </w:pPr>
      <w:r>
        <w:t>Outcomes are the impact of services on the status of an individual or group (while outputs are the services delivered) (see chapter 1, section 1.5).</w:t>
      </w:r>
    </w:p>
    <w:p w:rsidR="00B3687A" w:rsidRDefault="00B3687A" w:rsidP="00B3687A">
      <w:pPr>
        <w:pStyle w:val="Heading4"/>
      </w:pPr>
      <w:r>
        <w:t>Patient satisfaction</w:t>
      </w:r>
    </w:p>
    <w:p w:rsidR="00B3687A" w:rsidRDefault="00B3687A" w:rsidP="00B3687A">
      <w:pPr>
        <w:pStyle w:val="BodyText"/>
      </w:pPr>
      <w:r>
        <w:t>‘Patient satisfaction’ provides a proxy measure of governments’ objective to deliver services that are high quality and responsive to individual patient needs (box 11.14). Patient satisfaction surveys are different from other sources of hospital quality data, because they provide information on hospital quality from the patient’s perspective. Surveys can be useful for obtaining information on patient views of both cli</w:t>
      </w:r>
      <w:r w:rsidR="00F91AC7">
        <w:t>nical and non</w:t>
      </w:r>
      <w:r w:rsidR="00F91AC7">
        <w:noBreakHyphen/>
      </w:r>
      <w:r>
        <w:t>clinical hospital care (such as whether patients feel they were treated with respect and provided with appropriate information regarding their treatment).</w:t>
      </w:r>
    </w:p>
    <w:p w:rsidR="00E055D1" w:rsidRDefault="00E055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055D1" w:rsidTr="007D422B">
        <w:tc>
          <w:tcPr>
            <w:tcW w:w="8771" w:type="dxa"/>
            <w:tcBorders>
              <w:top w:val="single" w:sz="6" w:space="0" w:color="78A22F"/>
              <w:left w:val="nil"/>
              <w:bottom w:val="nil"/>
              <w:right w:val="nil"/>
            </w:tcBorders>
            <w:shd w:val="clear" w:color="auto" w:fill="F2F2F2"/>
          </w:tcPr>
          <w:p w:rsidR="00E055D1" w:rsidRDefault="00E055D1">
            <w:pPr>
              <w:pStyle w:val="BoxTitle"/>
            </w:pPr>
            <w:r>
              <w:rPr>
                <w:b w:val="0"/>
              </w:rPr>
              <w:t>Box 11.</w:t>
            </w:r>
            <w:r w:rsidR="009A53E9">
              <w:rPr>
                <w:b w:val="0"/>
                <w:noProof/>
              </w:rPr>
              <w:t>14</w:t>
            </w:r>
            <w:r>
              <w:tab/>
            </w:r>
            <w:r w:rsidRPr="00E055D1">
              <w:t>Patient satisfaction</w:t>
            </w:r>
          </w:p>
        </w:tc>
      </w:tr>
      <w:tr w:rsidR="00E055D1" w:rsidTr="007D422B">
        <w:trPr>
          <w:cantSplit/>
        </w:trPr>
        <w:tc>
          <w:tcPr>
            <w:tcW w:w="8771" w:type="dxa"/>
            <w:tcBorders>
              <w:top w:val="nil"/>
              <w:left w:val="nil"/>
              <w:bottom w:val="nil"/>
              <w:right w:val="nil"/>
            </w:tcBorders>
            <w:shd w:val="clear" w:color="auto" w:fill="F2F2F2"/>
          </w:tcPr>
          <w:p w:rsidR="00E055D1" w:rsidRDefault="00E055D1" w:rsidP="00E055D1">
            <w:pPr>
              <w:pStyle w:val="Box"/>
            </w:pPr>
            <w:r>
              <w:t xml:space="preserve">‘Patient satisfaction’ is defined by the following six measures for the purposes of this report: </w:t>
            </w:r>
          </w:p>
          <w:p w:rsidR="00E055D1" w:rsidRDefault="00E055D1" w:rsidP="00E055D1">
            <w:pPr>
              <w:pStyle w:val="BoxListBullet"/>
            </w:pPr>
            <w:r>
              <w:t>Proportion of people who went to an emergency department in the last 12 months reporting</w:t>
            </w:r>
            <w:r w:rsidR="00F91AC7">
              <w:t xml:space="preserve"> that</w:t>
            </w:r>
            <w:r>
              <w:t xml:space="preserve"> the emergency department doctors, specialists or nurses </w:t>
            </w:r>
            <w:r w:rsidR="00F91AC7">
              <w:t>‘</w:t>
            </w:r>
            <w:r>
              <w:t>always</w:t>
            </w:r>
            <w:r w:rsidR="00F91AC7">
              <w:t>’</w:t>
            </w:r>
            <w:r>
              <w:t xml:space="preserve"> or </w:t>
            </w:r>
            <w:r w:rsidR="00F91AC7">
              <w:t>‘</w:t>
            </w:r>
            <w:r>
              <w:t>often</w:t>
            </w:r>
            <w:r w:rsidR="00F91AC7">
              <w:t>’</w:t>
            </w:r>
            <w:r>
              <w:t xml:space="preserve"> listened carefully to them</w:t>
            </w:r>
          </w:p>
          <w:p w:rsidR="00E055D1" w:rsidRDefault="00E055D1" w:rsidP="00E055D1">
            <w:pPr>
              <w:pStyle w:val="BoxListBullet"/>
            </w:pPr>
            <w:r>
              <w:t>Proportion of people who went to an emergency department in the last 12 months reporting</w:t>
            </w:r>
            <w:r w:rsidR="00F91AC7">
              <w:t xml:space="preserve"> that</w:t>
            </w:r>
            <w:r>
              <w:t xml:space="preserve"> the emergency department doctors, specialists or nurses </w:t>
            </w:r>
            <w:r w:rsidR="00F91AC7">
              <w:t>‘</w:t>
            </w:r>
            <w:r>
              <w:t>always</w:t>
            </w:r>
            <w:r w:rsidR="00F91AC7">
              <w:t>’</w:t>
            </w:r>
            <w:r>
              <w:t xml:space="preserve"> or </w:t>
            </w:r>
            <w:r w:rsidR="00F91AC7">
              <w:t>‘</w:t>
            </w:r>
            <w:r>
              <w:t>often</w:t>
            </w:r>
            <w:r w:rsidR="00F91AC7">
              <w:t>’</w:t>
            </w:r>
            <w:r>
              <w:t xml:space="preserve"> showed respect to them</w:t>
            </w:r>
          </w:p>
          <w:p w:rsidR="00E055D1" w:rsidRDefault="00E055D1" w:rsidP="00E055D1">
            <w:pPr>
              <w:pStyle w:val="BoxListBullet"/>
            </w:pPr>
            <w:r>
              <w:t>Proportion of people who went to an emergency department in the last 12 months reporting</w:t>
            </w:r>
            <w:r w:rsidR="00F91AC7">
              <w:t xml:space="preserve"> that</w:t>
            </w:r>
            <w:r>
              <w:t xml:space="preserve"> the emergency department doctors, specialists or nurses </w:t>
            </w:r>
            <w:r w:rsidR="00F91AC7">
              <w:t>‘</w:t>
            </w:r>
            <w:r>
              <w:t>always</w:t>
            </w:r>
            <w:r w:rsidR="00F91AC7">
              <w:t>’</w:t>
            </w:r>
            <w:r>
              <w:t xml:space="preserve"> or </w:t>
            </w:r>
            <w:r w:rsidR="00F91AC7">
              <w:t>‘</w:t>
            </w:r>
            <w:r>
              <w:t>often</w:t>
            </w:r>
            <w:r w:rsidR="00F91AC7">
              <w:t>’</w:t>
            </w:r>
            <w:r>
              <w:t xml:space="preserve"> spent enough time with them</w:t>
            </w:r>
          </w:p>
          <w:p w:rsidR="00E055D1" w:rsidRDefault="00E055D1" w:rsidP="00E055D1">
            <w:pPr>
              <w:pStyle w:val="BoxListBullet"/>
            </w:pPr>
            <w:r>
              <w:t xml:space="preserve">Proportion of people who were admitted to hospital in the last 12 months reporting </w:t>
            </w:r>
            <w:r w:rsidR="00F91AC7">
              <w:t xml:space="preserve">that </w:t>
            </w:r>
            <w:r>
              <w:t xml:space="preserve">the hospital doctors, specialists or nurses </w:t>
            </w:r>
            <w:r w:rsidR="00F91AC7">
              <w:t>‘</w:t>
            </w:r>
            <w:r>
              <w:t>always</w:t>
            </w:r>
            <w:r w:rsidR="00F91AC7">
              <w:t>’</w:t>
            </w:r>
            <w:r>
              <w:t xml:space="preserve"> or </w:t>
            </w:r>
            <w:r w:rsidR="00F91AC7">
              <w:t>‘</w:t>
            </w:r>
            <w:r>
              <w:t>often</w:t>
            </w:r>
            <w:r w:rsidR="00F91AC7">
              <w:t>’</w:t>
            </w:r>
            <w:r>
              <w:t xml:space="preserve"> listened carefully to them</w:t>
            </w:r>
          </w:p>
          <w:p w:rsidR="00E055D1" w:rsidRDefault="00E055D1" w:rsidP="00E055D1">
            <w:pPr>
              <w:pStyle w:val="BoxListBullet"/>
            </w:pPr>
            <w:r>
              <w:t xml:space="preserve">Proportion of people who were admitted to hospital in the last 12 months reporting </w:t>
            </w:r>
            <w:r w:rsidR="00F91AC7">
              <w:t xml:space="preserve">that </w:t>
            </w:r>
            <w:r>
              <w:t xml:space="preserve">the hospital doctors, specialists or nurses </w:t>
            </w:r>
            <w:r w:rsidR="00F91AC7">
              <w:t>‘</w:t>
            </w:r>
            <w:r>
              <w:t>always</w:t>
            </w:r>
            <w:r w:rsidR="00F91AC7">
              <w:t>’</w:t>
            </w:r>
            <w:r>
              <w:t xml:space="preserve"> or </w:t>
            </w:r>
            <w:r w:rsidR="00F91AC7">
              <w:t>‘</w:t>
            </w:r>
            <w:r>
              <w:t>often</w:t>
            </w:r>
            <w:r w:rsidR="00F91AC7">
              <w:t>’</w:t>
            </w:r>
            <w:r>
              <w:t xml:space="preserve"> showed respect to them</w:t>
            </w:r>
          </w:p>
          <w:p w:rsidR="00E055D1" w:rsidRDefault="00E055D1" w:rsidP="00E055D1">
            <w:pPr>
              <w:pStyle w:val="BoxListBullet"/>
            </w:pPr>
            <w:r>
              <w:t xml:space="preserve">Proportion of people who were admitted to hospital in the last 12 months reporting </w:t>
            </w:r>
            <w:r w:rsidR="00F91AC7">
              <w:t xml:space="preserve">that </w:t>
            </w:r>
            <w:r>
              <w:t xml:space="preserve">the hospital doctors, specialists or nurses </w:t>
            </w:r>
            <w:r w:rsidR="00F91AC7">
              <w:t>‘</w:t>
            </w:r>
            <w:r>
              <w:t>always</w:t>
            </w:r>
            <w:r w:rsidR="00F91AC7">
              <w:t>’</w:t>
            </w:r>
            <w:r>
              <w:t xml:space="preserve"> or </w:t>
            </w:r>
            <w:r w:rsidR="00F91AC7">
              <w:t>‘</w:t>
            </w:r>
            <w:r>
              <w:t>often</w:t>
            </w:r>
            <w:r w:rsidR="00F91AC7">
              <w:t>’</w:t>
            </w:r>
            <w:r>
              <w:t xml:space="preserve"> spent enough time with them.</w:t>
            </w:r>
          </w:p>
          <w:p w:rsidR="00E055D1" w:rsidRDefault="00E055D1" w:rsidP="00E055D1">
            <w:pPr>
              <w:pStyle w:val="Box"/>
            </w:pPr>
            <w:r>
              <w:t xml:space="preserve">A high or increasing proportion of patients who were satisfied is desirable, because it suggests the hospital care received was of high quality and better met the expectations and needs of patients. </w:t>
            </w:r>
          </w:p>
          <w:p w:rsidR="00E055D1" w:rsidRDefault="00E055D1" w:rsidP="00E055D1">
            <w:pPr>
              <w:pStyle w:val="Box"/>
            </w:pPr>
            <w:r>
              <w:t>Data reported for this indicator are:</w:t>
            </w:r>
          </w:p>
          <w:p w:rsidR="00E055D1" w:rsidRDefault="00E055D1" w:rsidP="00E055D1">
            <w:pPr>
              <w:pStyle w:val="BoxListBullet"/>
            </w:pPr>
            <w:r>
              <w:t xml:space="preserve">comparable (subject to caveats) across jurisdictions and over time </w:t>
            </w:r>
          </w:p>
          <w:p w:rsidR="00E055D1" w:rsidRDefault="00E055D1" w:rsidP="00E055D1">
            <w:pPr>
              <w:pStyle w:val="BoxListBullet"/>
            </w:pPr>
            <w:r>
              <w:t>complete (subject to caveats) for the current reporting period. All required 201</w:t>
            </w:r>
            <w:r w:rsidR="00C21C9F">
              <w:t>3-</w:t>
            </w:r>
            <w:r>
              <w:t>1</w:t>
            </w:r>
            <w:r w:rsidR="00C21C9F">
              <w:t>4</w:t>
            </w:r>
            <w:r>
              <w:t xml:space="preserve"> data are available for all jurisdictions.</w:t>
            </w:r>
          </w:p>
          <w:p w:rsidR="00E055D1" w:rsidRDefault="00E055D1" w:rsidP="00E055D1">
            <w:pPr>
              <w:pStyle w:val="Box"/>
            </w:pPr>
            <w:r>
              <w:t xml:space="preserve">Descriptive information on patient surveys undertaken by states and territories is also reported. The descriptive information includes the survey time period, method, sample size, response rate and a selection of results where available. Information on how jurisdictions have used patient satisfaction surveys to improve public hospital quality in recent years is also reported. If public hospitals respond to patient views and modify services, service quality can be improved to better meet patients’ needs. As State and Territory based surveys differ in content, timing and scope across jurisdictions, it is not possible to compare their results nationally. </w:t>
            </w:r>
          </w:p>
          <w:p w:rsidR="00E055D1" w:rsidRDefault="00886C7D" w:rsidP="00886C7D">
            <w:pPr>
              <w:pStyle w:val="Box"/>
            </w:pPr>
            <w:r w:rsidRPr="00886C7D">
              <w:t>Data quality</w:t>
            </w:r>
            <w:r>
              <w:t xml:space="preserve"> information for this indicator</w:t>
            </w:r>
            <w:r w:rsidR="008C0550">
              <w:t xml:space="preserve"> is at www.pc.gov.au</w:t>
            </w:r>
            <w:r w:rsidRPr="00886C7D">
              <w:t>/rogs/2015.</w:t>
            </w:r>
          </w:p>
        </w:tc>
      </w:tr>
      <w:tr w:rsidR="00E055D1" w:rsidTr="007D422B">
        <w:trPr>
          <w:cantSplit/>
        </w:trPr>
        <w:tc>
          <w:tcPr>
            <w:tcW w:w="8771" w:type="dxa"/>
            <w:tcBorders>
              <w:top w:val="nil"/>
              <w:left w:val="nil"/>
              <w:bottom w:val="single" w:sz="6" w:space="0" w:color="78A22F"/>
              <w:right w:val="nil"/>
            </w:tcBorders>
            <w:shd w:val="clear" w:color="auto" w:fill="F2F2F2"/>
          </w:tcPr>
          <w:p w:rsidR="00E055D1" w:rsidRDefault="00E055D1">
            <w:pPr>
              <w:pStyle w:val="Box"/>
              <w:spacing w:before="0" w:line="120" w:lineRule="exact"/>
            </w:pPr>
          </w:p>
        </w:tc>
      </w:tr>
      <w:tr w:rsidR="00E055D1" w:rsidRPr="000863A5" w:rsidTr="007D422B">
        <w:tc>
          <w:tcPr>
            <w:tcW w:w="8771" w:type="dxa"/>
            <w:tcBorders>
              <w:top w:val="single" w:sz="6" w:space="0" w:color="78A22F"/>
              <w:left w:val="nil"/>
              <w:bottom w:val="nil"/>
              <w:right w:val="nil"/>
            </w:tcBorders>
          </w:tcPr>
          <w:p w:rsidR="00E055D1" w:rsidRPr="00626D32" w:rsidRDefault="00E055D1" w:rsidP="007D422B">
            <w:pPr>
              <w:pStyle w:val="BoxSpaceBelow"/>
            </w:pPr>
          </w:p>
        </w:tc>
      </w:tr>
    </w:tbl>
    <w:p w:rsidR="00B3687A" w:rsidRDefault="00E055D1" w:rsidP="00B3687A">
      <w:pPr>
        <w:pStyle w:val="BodyText"/>
      </w:pPr>
      <w:r w:rsidRPr="00E055D1">
        <w:t>Patient satisfaction data for emergency department and admitted hospital patients are reported in table 11.9. Relative standard errors and confidence intervals are reported in attachment tables 11A.</w:t>
      </w:r>
      <w:r w:rsidR="00BE1695">
        <w:t>7</w:t>
      </w:r>
      <w:r w:rsidR="00AF6760">
        <w:t>3</w:t>
      </w:r>
      <w:r w:rsidR="00475EFE">
        <w:t>–</w:t>
      </w:r>
      <w:r w:rsidR="00AF6760">
        <w:t>80</w:t>
      </w:r>
      <w:r w:rsidRPr="00E055D1">
        <w:t>. These tables also report patient satisfaction by remoteness.</w:t>
      </w:r>
    </w:p>
    <w:p w:rsidR="00E055D1" w:rsidRDefault="00E055D1" w:rsidP="007D422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E055D1" w:rsidTr="00C544B8">
        <w:tc>
          <w:tcPr>
            <w:tcW w:w="8771" w:type="dxa"/>
            <w:tcBorders>
              <w:top w:val="single" w:sz="6" w:space="0" w:color="78A22F"/>
              <w:left w:val="nil"/>
              <w:bottom w:val="nil"/>
              <w:right w:val="nil"/>
            </w:tcBorders>
            <w:shd w:val="clear" w:color="auto" w:fill="auto"/>
          </w:tcPr>
          <w:p w:rsidR="00E055D1" w:rsidRPr="00784A05" w:rsidRDefault="00E055D1" w:rsidP="001E5151">
            <w:pPr>
              <w:pStyle w:val="TableTitle"/>
            </w:pPr>
            <w:r>
              <w:rPr>
                <w:b w:val="0"/>
              </w:rPr>
              <w:t>Table 11.</w:t>
            </w:r>
            <w:r w:rsidR="009A53E9">
              <w:rPr>
                <w:b w:val="0"/>
                <w:noProof/>
              </w:rPr>
              <w:t>9</w:t>
            </w:r>
            <w:r>
              <w:tab/>
            </w:r>
            <w:r w:rsidR="009F0FB6" w:rsidRPr="009F0FB6">
              <w:t>Patient satisfaction, hospitals, 201</w:t>
            </w:r>
            <w:r w:rsidR="009F0FB6">
              <w:t>3</w:t>
            </w:r>
            <w:r w:rsidR="009F0FB6" w:rsidRPr="009F0FB6">
              <w:t>-1</w:t>
            </w:r>
            <w:r w:rsidR="009F0FB6">
              <w:t>4</w:t>
            </w:r>
          </w:p>
        </w:tc>
      </w:tr>
      <w:tr w:rsidR="00E055D1" w:rsidTr="00C544B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04"/>
              <w:gridCol w:w="707"/>
              <w:gridCol w:w="709"/>
              <w:gridCol w:w="708"/>
              <w:gridCol w:w="708"/>
              <w:gridCol w:w="710"/>
              <w:gridCol w:w="708"/>
              <w:gridCol w:w="710"/>
              <w:gridCol w:w="708"/>
              <w:gridCol w:w="715"/>
            </w:tblGrid>
            <w:tr w:rsidR="00530226" w:rsidTr="00530226">
              <w:tc>
                <w:tcPr>
                  <w:tcW w:w="1240" w:type="pct"/>
                  <w:tcBorders>
                    <w:top w:val="single" w:sz="6" w:space="0" w:color="BFBFBF"/>
                    <w:bottom w:val="single" w:sz="6" w:space="0" w:color="BFBFBF"/>
                  </w:tcBorders>
                  <w:shd w:val="clear" w:color="auto" w:fill="auto"/>
                  <w:tcMar>
                    <w:top w:w="28" w:type="dxa"/>
                  </w:tcMar>
                </w:tcPr>
                <w:p w:rsidR="007D422B" w:rsidRDefault="007D422B" w:rsidP="007D422B">
                  <w:pPr>
                    <w:pStyle w:val="TableColumnHeading"/>
                    <w:jc w:val="left"/>
                  </w:pPr>
                </w:p>
              </w:tc>
              <w:tc>
                <w:tcPr>
                  <w:tcW w:w="417" w:type="pct"/>
                  <w:tcBorders>
                    <w:top w:val="single" w:sz="6" w:space="0" w:color="BFBFBF"/>
                    <w:bottom w:val="single" w:sz="6" w:space="0" w:color="BFBFBF"/>
                  </w:tcBorders>
                </w:tcPr>
                <w:p w:rsidR="007D422B" w:rsidRDefault="007D422B" w:rsidP="007D422B">
                  <w:pPr>
                    <w:pStyle w:val="TableColumnHeading"/>
                  </w:pPr>
                  <w:r>
                    <w:t>NSW</w:t>
                  </w:r>
                </w:p>
              </w:tc>
              <w:tc>
                <w:tcPr>
                  <w:tcW w:w="418" w:type="pct"/>
                  <w:tcBorders>
                    <w:top w:val="single" w:sz="6" w:space="0" w:color="BFBFBF"/>
                    <w:bottom w:val="single" w:sz="6" w:space="0" w:color="BFBFBF"/>
                  </w:tcBorders>
                </w:tcPr>
                <w:p w:rsidR="007D422B" w:rsidRDefault="007D422B" w:rsidP="007D422B">
                  <w:pPr>
                    <w:pStyle w:val="TableColumnHeading"/>
                  </w:pPr>
                  <w:r>
                    <w:t>Vic</w:t>
                  </w:r>
                </w:p>
              </w:tc>
              <w:tc>
                <w:tcPr>
                  <w:tcW w:w="417" w:type="pct"/>
                  <w:tcBorders>
                    <w:top w:val="single" w:sz="6" w:space="0" w:color="BFBFBF"/>
                    <w:bottom w:val="single" w:sz="6" w:space="0" w:color="BFBFBF"/>
                  </w:tcBorders>
                </w:tcPr>
                <w:p w:rsidR="007D422B" w:rsidRDefault="007D422B" w:rsidP="007D422B">
                  <w:pPr>
                    <w:pStyle w:val="TableColumnHeading"/>
                  </w:pPr>
                  <w:r>
                    <w:t>Qld</w:t>
                  </w:r>
                </w:p>
              </w:tc>
              <w:tc>
                <w:tcPr>
                  <w:tcW w:w="417" w:type="pct"/>
                  <w:tcBorders>
                    <w:top w:val="single" w:sz="6" w:space="0" w:color="BFBFBF"/>
                    <w:bottom w:val="single" w:sz="6" w:space="0" w:color="BFBFBF"/>
                  </w:tcBorders>
                </w:tcPr>
                <w:p w:rsidR="007D422B" w:rsidRDefault="007D422B" w:rsidP="007D422B">
                  <w:pPr>
                    <w:pStyle w:val="TableColumnHeading"/>
                  </w:pPr>
                  <w:r>
                    <w:t>WA</w:t>
                  </w:r>
                </w:p>
              </w:tc>
              <w:tc>
                <w:tcPr>
                  <w:tcW w:w="418" w:type="pct"/>
                  <w:tcBorders>
                    <w:top w:val="single" w:sz="6" w:space="0" w:color="BFBFBF"/>
                    <w:bottom w:val="single" w:sz="6" w:space="0" w:color="BFBFBF"/>
                  </w:tcBorders>
                </w:tcPr>
                <w:p w:rsidR="007D422B" w:rsidRDefault="007D422B" w:rsidP="007D422B">
                  <w:pPr>
                    <w:pStyle w:val="TableColumnHeading"/>
                  </w:pPr>
                  <w:r>
                    <w:t>SA</w:t>
                  </w:r>
                </w:p>
              </w:tc>
              <w:tc>
                <w:tcPr>
                  <w:tcW w:w="417" w:type="pct"/>
                  <w:tcBorders>
                    <w:top w:val="single" w:sz="6" w:space="0" w:color="BFBFBF"/>
                    <w:bottom w:val="single" w:sz="6" w:space="0" w:color="BFBFBF"/>
                  </w:tcBorders>
                </w:tcPr>
                <w:p w:rsidR="007D422B" w:rsidRDefault="007D422B" w:rsidP="007D422B">
                  <w:pPr>
                    <w:pStyle w:val="TableColumnHeading"/>
                  </w:pPr>
                  <w:r>
                    <w:t>Tas</w:t>
                  </w:r>
                </w:p>
              </w:tc>
              <w:tc>
                <w:tcPr>
                  <w:tcW w:w="418" w:type="pct"/>
                  <w:tcBorders>
                    <w:top w:val="single" w:sz="6" w:space="0" w:color="BFBFBF"/>
                    <w:bottom w:val="single" w:sz="6" w:space="0" w:color="BFBFBF"/>
                  </w:tcBorders>
                </w:tcPr>
                <w:p w:rsidR="007D422B" w:rsidRDefault="007D422B" w:rsidP="007D422B">
                  <w:pPr>
                    <w:pStyle w:val="TableColumnHeading"/>
                  </w:pPr>
                  <w:r>
                    <w:t>ACT</w:t>
                  </w:r>
                </w:p>
              </w:tc>
              <w:tc>
                <w:tcPr>
                  <w:tcW w:w="417" w:type="pct"/>
                  <w:tcBorders>
                    <w:top w:val="single" w:sz="6" w:space="0" w:color="BFBFBF"/>
                    <w:bottom w:val="single" w:sz="6" w:space="0" w:color="BFBFBF"/>
                  </w:tcBorders>
                  <w:shd w:val="clear" w:color="auto" w:fill="auto"/>
                  <w:tcMar>
                    <w:top w:w="28" w:type="dxa"/>
                  </w:tcMar>
                </w:tcPr>
                <w:p w:rsidR="007D422B" w:rsidRDefault="007D422B" w:rsidP="007D422B">
                  <w:pPr>
                    <w:pStyle w:val="TableColumnHeading"/>
                  </w:pPr>
                  <w:r>
                    <w:t>NT</w:t>
                  </w:r>
                </w:p>
              </w:tc>
              <w:tc>
                <w:tcPr>
                  <w:tcW w:w="421" w:type="pct"/>
                  <w:tcBorders>
                    <w:top w:val="single" w:sz="6" w:space="0" w:color="BFBFBF"/>
                    <w:bottom w:val="single" w:sz="6" w:space="0" w:color="BFBFBF"/>
                  </w:tcBorders>
                  <w:shd w:val="clear" w:color="auto" w:fill="auto"/>
                  <w:tcMar>
                    <w:top w:w="28" w:type="dxa"/>
                  </w:tcMar>
                </w:tcPr>
                <w:p w:rsidR="007D422B" w:rsidRDefault="007D422B" w:rsidP="007D422B">
                  <w:pPr>
                    <w:pStyle w:val="TableColumnHeading"/>
                    <w:ind w:right="28"/>
                  </w:pPr>
                  <w:r>
                    <w:t>Aust</w:t>
                  </w:r>
                </w:p>
              </w:tc>
            </w:tr>
            <w:tr w:rsidR="00530226" w:rsidTr="00530226">
              <w:tc>
                <w:tcPr>
                  <w:tcW w:w="5000" w:type="pct"/>
                  <w:gridSpan w:val="10"/>
                  <w:tcBorders>
                    <w:top w:val="single" w:sz="6" w:space="0" w:color="BFBFBF"/>
                  </w:tcBorders>
                </w:tcPr>
                <w:p w:rsidR="00530226" w:rsidRDefault="00373D64" w:rsidP="00373D64">
                  <w:pPr>
                    <w:pStyle w:val="TableUnitsRow"/>
                    <w:ind w:right="28"/>
                    <w:jc w:val="left"/>
                  </w:pPr>
                  <w:r>
                    <w:t>Emergency department patients</w:t>
                  </w:r>
                </w:p>
              </w:tc>
            </w:tr>
            <w:tr w:rsidR="00530226" w:rsidTr="00530226">
              <w:tc>
                <w:tcPr>
                  <w:tcW w:w="5000" w:type="pct"/>
                  <w:gridSpan w:val="10"/>
                </w:tcPr>
                <w:p w:rsidR="00530226" w:rsidRDefault="00373D64" w:rsidP="00C544B8">
                  <w:pPr>
                    <w:pStyle w:val="TableBodyText"/>
                    <w:ind w:left="120" w:right="28"/>
                    <w:jc w:val="left"/>
                  </w:pPr>
                  <w:r w:rsidRPr="00373D64">
                    <w:t xml:space="preserve">Proportion of people who went to an emergency department in the last 12 months reporting the </w:t>
                  </w:r>
                  <w:r w:rsidR="00C544B8">
                    <w:t>emergency department</w:t>
                  </w:r>
                  <w:r w:rsidRPr="00373D64">
                    <w:t xml:space="preserve"> doctors, specialists or nurses always or often listened carefully to them</w:t>
                  </w:r>
                </w:p>
              </w:tc>
            </w:tr>
            <w:tr w:rsidR="00F6049B" w:rsidTr="004F7D79">
              <w:tc>
                <w:tcPr>
                  <w:tcW w:w="1240" w:type="pct"/>
                </w:tcPr>
                <w:p w:rsidR="00F6049B" w:rsidRDefault="00F6049B" w:rsidP="00373D64">
                  <w:pPr>
                    <w:pStyle w:val="TableBodyText"/>
                    <w:ind w:left="262"/>
                    <w:jc w:val="left"/>
                  </w:pPr>
                  <w:r>
                    <w:t>Doctors or specialists</w:t>
                  </w:r>
                </w:p>
              </w:tc>
              <w:tc>
                <w:tcPr>
                  <w:tcW w:w="417" w:type="pct"/>
                  <w:vAlign w:val="bottom"/>
                </w:tcPr>
                <w:p w:rsidR="00F6049B" w:rsidRPr="00F6049B" w:rsidRDefault="00F6049B" w:rsidP="00F6049B">
                  <w:pPr>
                    <w:pStyle w:val="TableBodyText"/>
                  </w:pPr>
                  <w:r w:rsidRPr="00F6049B">
                    <w:t xml:space="preserve">  86.6</w:t>
                  </w:r>
                </w:p>
              </w:tc>
              <w:tc>
                <w:tcPr>
                  <w:tcW w:w="418" w:type="pct"/>
                  <w:vAlign w:val="bottom"/>
                </w:tcPr>
                <w:p w:rsidR="00F6049B" w:rsidRPr="00F6049B" w:rsidRDefault="00F6049B" w:rsidP="00F6049B">
                  <w:pPr>
                    <w:pStyle w:val="TableBodyText"/>
                  </w:pPr>
                  <w:r w:rsidRPr="00F6049B">
                    <w:t xml:space="preserve">  84.9</w:t>
                  </w:r>
                </w:p>
              </w:tc>
              <w:tc>
                <w:tcPr>
                  <w:tcW w:w="417" w:type="pct"/>
                  <w:vAlign w:val="bottom"/>
                </w:tcPr>
                <w:p w:rsidR="00F6049B" w:rsidRPr="00F6049B" w:rsidRDefault="00F6049B" w:rsidP="00F6049B">
                  <w:pPr>
                    <w:pStyle w:val="TableBodyText"/>
                  </w:pPr>
                  <w:r w:rsidRPr="00F6049B">
                    <w:t xml:space="preserve">  84.4</w:t>
                  </w:r>
                </w:p>
              </w:tc>
              <w:tc>
                <w:tcPr>
                  <w:tcW w:w="417" w:type="pct"/>
                  <w:vAlign w:val="bottom"/>
                </w:tcPr>
                <w:p w:rsidR="00F6049B" w:rsidRPr="00F6049B" w:rsidRDefault="00F6049B" w:rsidP="00F6049B">
                  <w:pPr>
                    <w:pStyle w:val="TableBodyText"/>
                  </w:pPr>
                  <w:r w:rsidRPr="00F6049B">
                    <w:t xml:space="preserve">  86.7</w:t>
                  </w:r>
                </w:p>
              </w:tc>
              <w:tc>
                <w:tcPr>
                  <w:tcW w:w="418" w:type="pct"/>
                  <w:vAlign w:val="bottom"/>
                </w:tcPr>
                <w:p w:rsidR="00F6049B" w:rsidRPr="00F6049B" w:rsidRDefault="00F6049B" w:rsidP="00F6049B">
                  <w:pPr>
                    <w:pStyle w:val="TableBodyText"/>
                  </w:pPr>
                  <w:r w:rsidRPr="00F6049B">
                    <w:t xml:space="preserve">  86.8</w:t>
                  </w:r>
                </w:p>
              </w:tc>
              <w:tc>
                <w:tcPr>
                  <w:tcW w:w="417" w:type="pct"/>
                  <w:vAlign w:val="bottom"/>
                </w:tcPr>
                <w:p w:rsidR="00F6049B" w:rsidRPr="00F6049B" w:rsidRDefault="00F6049B" w:rsidP="00F6049B">
                  <w:pPr>
                    <w:pStyle w:val="TableBodyText"/>
                  </w:pPr>
                  <w:r w:rsidRPr="00F6049B">
                    <w:t xml:space="preserve">  76.9</w:t>
                  </w:r>
                </w:p>
              </w:tc>
              <w:tc>
                <w:tcPr>
                  <w:tcW w:w="418" w:type="pct"/>
                  <w:vAlign w:val="bottom"/>
                </w:tcPr>
                <w:p w:rsidR="00F6049B" w:rsidRPr="00F6049B" w:rsidRDefault="00F6049B" w:rsidP="00F6049B">
                  <w:pPr>
                    <w:pStyle w:val="TableBodyText"/>
                  </w:pPr>
                  <w:r w:rsidRPr="00F6049B">
                    <w:t xml:space="preserve">  75.2</w:t>
                  </w:r>
                </w:p>
              </w:tc>
              <w:tc>
                <w:tcPr>
                  <w:tcW w:w="417" w:type="pct"/>
                  <w:vAlign w:val="bottom"/>
                </w:tcPr>
                <w:p w:rsidR="00F6049B" w:rsidRPr="00F6049B" w:rsidRDefault="00F6049B" w:rsidP="00F6049B">
                  <w:pPr>
                    <w:pStyle w:val="TableBodyText"/>
                  </w:pPr>
                  <w:r w:rsidRPr="00F6049B">
                    <w:t xml:space="preserve">  90.6</w:t>
                  </w:r>
                </w:p>
              </w:tc>
              <w:tc>
                <w:tcPr>
                  <w:tcW w:w="421" w:type="pct"/>
                  <w:vAlign w:val="bottom"/>
                </w:tcPr>
                <w:p w:rsidR="00F6049B" w:rsidRPr="00F6049B" w:rsidRDefault="00F6049B" w:rsidP="00F6049B">
                  <w:pPr>
                    <w:pStyle w:val="TableBodyText"/>
                  </w:pPr>
                  <w:r w:rsidRPr="00F6049B">
                    <w:t xml:space="preserve">  85.4</w:t>
                  </w:r>
                </w:p>
              </w:tc>
            </w:tr>
            <w:tr w:rsidR="00F6049B" w:rsidTr="004F7D79">
              <w:tc>
                <w:tcPr>
                  <w:tcW w:w="1240" w:type="pct"/>
                </w:tcPr>
                <w:p w:rsidR="00F6049B" w:rsidRDefault="00F6049B" w:rsidP="00373D64">
                  <w:pPr>
                    <w:pStyle w:val="TableBodyText"/>
                    <w:ind w:left="262"/>
                    <w:jc w:val="left"/>
                  </w:pPr>
                  <w:r>
                    <w:t>Nurses</w:t>
                  </w:r>
                </w:p>
              </w:tc>
              <w:tc>
                <w:tcPr>
                  <w:tcW w:w="417" w:type="pct"/>
                  <w:vAlign w:val="bottom"/>
                </w:tcPr>
                <w:p w:rsidR="00F6049B" w:rsidRPr="00F6049B" w:rsidRDefault="00F6049B" w:rsidP="00F6049B">
                  <w:pPr>
                    <w:pStyle w:val="TableBodyText"/>
                  </w:pPr>
                  <w:r w:rsidRPr="00F6049B">
                    <w:t xml:space="preserve">  90.2</w:t>
                  </w:r>
                </w:p>
              </w:tc>
              <w:tc>
                <w:tcPr>
                  <w:tcW w:w="418" w:type="pct"/>
                  <w:vAlign w:val="bottom"/>
                </w:tcPr>
                <w:p w:rsidR="00F6049B" w:rsidRPr="00F6049B" w:rsidRDefault="00F6049B" w:rsidP="00F6049B">
                  <w:pPr>
                    <w:pStyle w:val="TableBodyText"/>
                  </w:pPr>
                  <w:r w:rsidRPr="00F6049B">
                    <w:t xml:space="preserve">  89.7</w:t>
                  </w:r>
                </w:p>
              </w:tc>
              <w:tc>
                <w:tcPr>
                  <w:tcW w:w="417" w:type="pct"/>
                  <w:vAlign w:val="bottom"/>
                </w:tcPr>
                <w:p w:rsidR="00F6049B" w:rsidRPr="00F6049B" w:rsidRDefault="00F6049B" w:rsidP="00F6049B">
                  <w:pPr>
                    <w:pStyle w:val="TableBodyText"/>
                  </w:pPr>
                  <w:r w:rsidRPr="00F6049B">
                    <w:t xml:space="preserve">  90.4</w:t>
                  </w:r>
                </w:p>
              </w:tc>
              <w:tc>
                <w:tcPr>
                  <w:tcW w:w="417" w:type="pct"/>
                  <w:vAlign w:val="bottom"/>
                </w:tcPr>
                <w:p w:rsidR="00F6049B" w:rsidRPr="00F6049B" w:rsidRDefault="00F6049B" w:rsidP="00F6049B">
                  <w:pPr>
                    <w:pStyle w:val="TableBodyText"/>
                  </w:pPr>
                  <w:r w:rsidRPr="00F6049B">
                    <w:t xml:space="preserve">  87.0</w:t>
                  </w:r>
                </w:p>
              </w:tc>
              <w:tc>
                <w:tcPr>
                  <w:tcW w:w="418" w:type="pct"/>
                  <w:vAlign w:val="bottom"/>
                </w:tcPr>
                <w:p w:rsidR="00F6049B" w:rsidRPr="00F6049B" w:rsidRDefault="00F6049B" w:rsidP="00F6049B">
                  <w:pPr>
                    <w:pStyle w:val="TableBodyText"/>
                  </w:pPr>
                  <w:r w:rsidRPr="00F6049B">
                    <w:t xml:space="preserve">  90.3</w:t>
                  </w:r>
                </w:p>
              </w:tc>
              <w:tc>
                <w:tcPr>
                  <w:tcW w:w="417" w:type="pct"/>
                  <w:vAlign w:val="bottom"/>
                </w:tcPr>
                <w:p w:rsidR="00F6049B" w:rsidRPr="00F6049B" w:rsidRDefault="00F6049B" w:rsidP="00F6049B">
                  <w:pPr>
                    <w:pStyle w:val="TableBodyText"/>
                  </w:pPr>
                  <w:r w:rsidRPr="00F6049B">
                    <w:t xml:space="preserve">  85.3</w:t>
                  </w:r>
                </w:p>
              </w:tc>
              <w:tc>
                <w:tcPr>
                  <w:tcW w:w="418" w:type="pct"/>
                  <w:vAlign w:val="bottom"/>
                </w:tcPr>
                <w:p w:rsidR="00F6049B" w:rsidRPr="00F6049B" w:rsidRDefault="00F6049B" w:rsidP="00F6049B">
                  <w:pPr>
                    <w:pStyle w:val="TableBodyText"/>
                  </w:pPr>
                  <w:r w:rsidRPr="00F6049B">
                    <w:t xml:space="preserve">  81.7</w:t>
                  </w:r>
                </w:p>
              </w:tc>
              <w:tc>
                <w:tcPr>
                  <w:tcW w:w="417" w:type="pct"/>
                  <w:vAlign w:val="bottom"/>
                </w:tcPr>
                <w:p w:rsidR="00F6049B" w:rsidRPr="00F6049B" w:rsidRDefault="00F6049B" w:rsidP="00F6049B">
                  <w:pPr>
                    <w:pStyle w:val="TableBodyText"/>
                  </w:pPr>
                  <w:r w:rsidRPr="00F6049B">
                    <w:t xml:space="preserve">  90.6</w:t>
                  </w:r>
                </w:p>
              </w:tc>
              <w:tc>
                <w:tcPr>
                  <w:tcW w:w="421" w:type="pct"/>
                  <w:vAlign w:val="bottom"/>
                </w:tcPr>
                <w:p w:rsidR="00F6049B" w:rsidRPr="00F6049B" w:rsidRDefault="00F6049B" w:rsidP="00F6049B">
                  <w:pPr>
                    <w:pStyle w:val="TableBodyText"/>
                  </w:pPr>
                  <w:r w:rsidRPr="00F6049B">
                    <w:t xml:space="preserve">  89.1</w:t>
                  </w:r>
                </w:p>
              </w:tc>
            </w:tr>
            <w:tr w:rsidR="00F6049B" w:rsidTr="00530226">
              <w:tc>
                <w:tcPr>
                  <w:tcW w:w="5000" w:type="pct"/>
                  <w:gridSpan w:val="10"/>
                </w:tcPr>
                <w:p w:rsidR="00F6049B" w:rsidRDefault="00F6049B" w:rsidP="00C544B8">
                  <w:pPr>
                    <w:pStyle w:val="TableBodyText"/>
                    <w:ind w:left="120" w:right="28"/>
                    <w:jc w:val="left"/>
                  </w:pPr>
                  <w:r w:rsidRPr="00373D64">
                    <w:t xml:space="preserve">Proportion of people who went to an emergency department in the last 12 months reporting the </w:t>
                  </w:r>
                  <w:r w:rsidR="00C544B8">
                    <w:t>emergency department</w:t>
                  </w:r>
                  <w:r w:rsidRPr="00373D64">
                    <w:t xml:space="preserve"> doctors, specialists or nurses always or often showed respect to them</w:t>
                  </w:r>
                </w:p>
              </w:tc>
            </w:tr>
            <w:tr w:rsidR="00F6049B" w:rsidTr="004F7D79">
              <w:tc>
                <w:tcPr>
                  <w:tcW w:w="1240" w:type="pct"/>
                </w:tcPr>
                <w:p w:rsidR="00F6049B" w:rsidRDefault="00F6049B" w:rsidP="00081A22">
                  <w:pPr>
                    <w:pStyle w:val="TableBodyText"/>
                    <w:ind w:left="262"/>
                    <w:jc w:val="left"/>
                  </w:pPr>
                  <w:r>
                    <w:t>Doctors or specialists</w:t>
                  </w:r>
                </w:p>
              </w:tc>
              <w:tc>
                <w:tcPr>
                  <w:tcW w:w="417" w:type="pct"/>
                  <w:vAlign w:val="bottom"/>
                </w:tcPr>
                <w:p w:rsidR="00F6049B" w:rsidRPr="00F6049B" w:rsidRDefault="00F6049B" w:rsidP="00F6049B">
                  <w:pPr>
                    <w:pStyle w:val="TableBodyText"/>
                  </w:pPr>
                  <w:r w:rsidRPr="00F6049B">
                    <w:t xml:space="preserve">  87.2</w:t>
                  </w:r>
                </w:p>
              </w:tc>
              <w:tc>
                <w:tcPr>
                  <w:tcW w:w="418" w:type="pct"/>
                  <w:vAlign w:val="bottom"/>
                </w:tcPr>
                <w:p w:rsidR="00F6049B" w:rsidRPr="00F6049B" w:rsidRDefault="00F6049B" w:rsidP="00F6049B">
                  <w:pPr>
                    <w:pStyle w:val="TableBodyText"/>
                  </w:pPr>
                  <w:r w:rsidRPr="00F6049B">
                    <w:t xml:space="preserve">  86.2</w:t>
                  </w:r>
                </w:p>
              </w:tc>
              <w:tc>
                <w:tcPr>
                  <w:tcW w:w="417" w:type="pct"/>
                  <w:vAlign w:val="bottom"/>
                </w:tcPr>
                <w:p w:rsidR="00F6049B" w:rsidRPr="00F6049B" w:rsidRDefault="00F6049B" w:rsidP="00F6049B">
                  <w:pPr>
                    <w:pStyle w:val="TableBodyText"/>
                  </w:pPr>
                  <w:r w:rsidRPr="00F6049B">
                    <w:t xml:space="preserve">  86.1</w:t>
                  </w:r>
                </w:p>
              </w:tc>
              <w:tc>
                <w:tcPr>
                  <w:tcW w:w="417" w:type="pct"/>
                  <w:vAlign w:val="bottom"/>
                </w:tcPr>
                <w:p w:rsidR="00F6049B" w:rsidRPr="00F6049B" w:rsidRDefault="00F6049B" w:rsidP="00F6049B">
                  <w:pPr>
                    <w:pStyle w:val="TableBodyText"/>
                  </w:pPr>
                  <w:r w:rsidRPr="00F6049B">
                    <w:t xml:space="preserve">  87.4</w:t>
                  </w:r>
                </w:p>
              </w:tc>
              <w:tc>
                <w:tcPr>
                  <w:tcW w:w="418" w:type="pct"/>
                  <w:vAlign w:val="bottom"/>
                </w:tcPr>
                <w:p w:rsidR="00F6049B" w:rsidRPr="00F6049B" w:rsidRDefault="00F6049B" w:rsidP="00F6049B">
                  <w:pPr>
                    <w:pStyle w:val="TableBodyText"/>
                  </w:pPr>
                  <w:r w:rsidRPr="00F6049B">
                    <w:t xml:space="preserve">  86.3</w:t>
                  </w:r>
                </w:p>
              </w:tc>
              <w:tc>
                <w:tcPr>
                  <w:tcW w:w="417" w:type="pct"/>
                  <w:vAlign w:val="bottom"/>
                </w:tcPr>
                <w:p w:rsidR="00F6049B" w:rsidRPr="00F6049B" w:rsidRDefault="00F6049B" w:rsidP="00F6049B">
                  <w:pPr>
                    <w:pStyle w:val="TableBodyText"/>
                  </w:pPr>
                  <w:r w:rsidRPr="00F6049B">
                    <w:t xml:space="preserve">  85.5</w:t>
                  </w:r>
                </w:p>
              </w:tc>
              <w:tc>
                <w:tcPr>
                  <w:tcW w:w="418" w:type="pct"/>
                  <w:vAlign w:val="bottom"/>
                </w:tcPr>
                <w:p w:rsidR="00F6049B" w:rsidRPr="00F6049B" w:rsidRDefault="00F6049B" w:rsidP="00F6049B">
                  <w:pPr>
                    <w:pStyle w:val="TableBodyText"/>
                  </w:pPr>
                  <w:r w:rsidRPr="00F6049B">
                    <w:t xml:space="preserve">  77.3</w:t>
                  </w:r>
                </w:p>
              </w:tc>
              <w:tc>
                <w:tcPr>
                  <w:tcW w:w="417" w:type="pct"/>
                  <w:vAlign w:val="bottom"/>
                </w:tcPr>
                <w:p w:rsidR="00F6049B" w:rsidRPr="00F6049B" w:rsidRDefault="00F6049B" w:rsidP="00F6049B">
                  <w:pPr>
                    <w:pStyle w:val="TableBodyText"/>
                  </w:pPr>
                  <w:r w:rsidRPr="00F6049B">
                    <w:t xml:space="preserve">  87.2</w:t>
                  </w:r>
                </w:p>
              </w:tc>
              <w:tc>
                <w:tcPr>
                  <w:tcW w:w="421" w:type="pct"/>
                  <w:vAlign w:val="bottom"/>
                </w:tcPr>
                <w:p w:rsidR="00F6049B" w:rsidRPr="00F6049B" w:rsidRDefault="00F6049B" w:rsidP="00F6049B">
                  <w:pPr>
                    <w:pStyle w:val="TableBodyText"/>
                  </w:pPr>
                  <w:r w:rsidRPr="00F6049B">
                    <w:t xml:space="preserve">  86.5</w:t>
                  </w:r>
                </w:p>
              </w:tc>
            </w:tr>
            <w:tr w:rsidR="00F6049B" w:rsidTr="004F7D79">
              <w:tc>
                <w:tcPr>
                  <w:tcW w:w="1240" w:type="pct"/>
                </w:tcPr>
                <w:p w:rsidR="00F6049B" w:rsidRDefault="00F6049B" w:rsidP="00081A22">
                  <w:pPr>
                    <w:pStyle w:val="TableBodyText"/>
                    <w:ind w:left="262"/>
                    <w:jc w:val="left"/>
                  </w:pPr>
                  <w:r>
                    <w:t>Nurses</w:t>
                  </w:r>
                </w:p>
              </w:tc>
              <w:tc>
                <w:tcPr>
                  <w:tcW w:w="417" w:type="pct"/>
                  <w:vAlign w:val="bottom"/>
                </w:tcPr>
                <w:p w:rsidR="00F6049B" w:rsidRPr="00F6049B" w:rsidRDefault="00F6049B" w:rsidP="00F6049B">
                  <w:pPr>
                    <w:pStyle w:val="TableBodyText"/>
                  </w:pPr>
                  <w:r w:rsidRPr="00F6049B">
                    <w:t xml:space="preserve">  90.7</w:t>
                  </w:r>
                </w:p>
              </w:tc>
              <w:tc>
                <w:tcPr>
                  <w:tcW w:w="418" w:type="pct"/>
                  <w:vAlign w:val="bottom"/>
                </w:tcPr>
                <w:p w:rsidR="00F6049B" w:rsidRPr="00F6049B" w:rsidRDefault="00F6049B" w:rsidP="00F6049B">
                  <w:pPr>
                    <w:pStyle w:val="TableBodyText"/>
                  </w:pPr>
                  <w:r w:rsidRPr="00F6049B">
                    <w:t xml:space="preserve">  90.1</w:t>
                  </w:r>
                </w:p>
              </w:tc>
              <w:tc>
                <w:tcPr>
                  <w:tcW w:w="417" w:type="pct"/>
                  <w:vAlign w:val="bottom"/>
                </w:tcPr>
                <w:p w:rsidR="00F6049B" w:rsidRPr="00F6049B" w:rsidRDefault="00F6049B" w:rsidP="00F6049B">
                  <w:pPr>
                    <w:pStyle w:val="TableBodyText"/>
                  </w:pPr>
                  <w:r w:rsidRPr="00F6049B">
                    <w:t xml:space="preserve">  91.7</w:t>
                  </w:r>
                </w:p>
              </w:tc>
              <w:tc>
                <w:tcPr>
                  <w:tcW w:w="417" w:type="pct"/>
                  <w:vAlign w:val="bottom"/>
                </w:tcPr>
                <w:p w:rsidR="00F6049B" w:rsidRPr="00F6049B" w:rsidRDefault="00F6049B" w:rsidP="00F6049B">
                  <w:pPr>
                    <w:pStyle w:val="TableBodyText"/>
                  </w:pPr>
                  <w:r w:rsidRPr="00F6049B">
                    <w:t xml:space="preserve">  88.7</w:t>
                  </w:r>
                </w:p>
              </w:tc>
              <w:tc>
                <w:tcPr>
                  <w:tcW w:w="418" w:type="pct"/>
                  <w:vAlign w:val="bottom"/>
                </w:tcPr>
                <w:p w:rsidR="00F6049B" w:rsidRPr="00F6049B" w:rsidRDefault="00F6049B" w:rsidP="00F6049B">
                  <w:pPr>
                    <w:pStyle w:val="TableBodyText"/>
                  </w:pPr>
                  <w:r w:rsidRPr="00F6049B">
                    <w:t xml:space="preserve">  90.4</w:t>
                  </w:r>
                </w:p>
              </w:tc>
              <w:tc>
                <w:tcPr>
                  <w:tcW w:w="417" w:type="pct"/>
                  <w:vAlign w:val="bottom"/>
                </w:tcPr>
                <w:p w:rsidR="00F6049B" w:rsidRPr="00F6049B" w:rsidRDefault="00F6049B" w:rsidP="00F6049B">
                  <w:pPr>
                    <w:pStyle w:val="TableBodyText"/>
                  </w:pPr>
                  <w:r w:rsidRPr="00F6049B">
                    <w:t xml:space="preserve">  87.6</w:t>
                  </w:r>
                </w:p>
              </w:tc>
              <w:tc>
                <w:tcPr>
                  <w:tcW w:w="418" w:type="pct"/>
                  <w:vAlign w:val="bottom"/>
                </w:tcPr>
                <w:p w:rsidR="00F6049B" w:rsidRPr="00F6049B" w:rsidRDefault="00F6049B" w:rsidP="00F6049B">
                  <w:pPr>
                    <w:pStyle w:val="TableBodyText"/>
                  </w:pPr>
                  <w:r w:rsidRPr="00F6049B">
                    <w:t xml:space="preserve">  85.1</w:t>
                  </w:r>
                </w:p>
              </w:tc>
              <w:tc>
                <w:tcPr>
                  <w:tcW w:w="417" w:type="pct"/>
                  <w:vAlign w:val="bottom"/>
                </w:tcPr>
                <w:p w:rsidR="00F6049B" w:rsidRPr="00F6049B" w:rsidRDefault="00F6049B" w:rsidP="00F6049B">
                  <w:pPr>
                    <w:pStyle w:val="TableBodyText"/>
                  </w:pPr>
                  <w:r w:rsidRPr="00F6049B">
                    <w:t xml:space="preserve">  92.0</w:t>
                  </w:r>
                </w:p>
              </w:tc>
              <w:tc>
                <w:tcPr>
                  <w:tcW w:w="421" w:type="pct"/>
                  <w:vAlign w:val="bottom"/>
                </w:tcPr>
                <w:p w:rsidR="00F6049B" w:rsidRPr="00F6049B" w:rsidRDefault="00F6049B" w:rsidP="00F6049B">
                  <w:pPr>
                    <w:pStyle w:val="TableBodyText"/>
                  </w:pPr>
                  <w:r w:rsidRPr="00F6049B">
                    <w:t xml:space="preserve">  90.2</w:t>
                  </w:r>
                </w:p>
              </w:tc>
            </w:tr>
            <w:tr w:rsidR="00F6049B" w:rsidTr="00373D64">
              <w:tc>
                <w:tcPr>
                  <w:tcW w:w="5000" w:type="pct"/>
                  <w:gridSpan w:val="10"/>
                </w:tcPr>
                <w:p w:rsidR="00F6049B" w:rsidRDefault="00F6049B" w:rsidP="00C544B8">
                  <w:pPr>
                    <w:pStyle w:val="TableBodyText"/>
                    <w:ind w:left="120" w:right="28"/>
                    <w:jc w:val="left"/>
                  </w:pPr>
                  <w:r w:rsidRPr="00373D64">
                    <w:t xml:space="preserve">Proportion of people who went to an emergency department in the last 12 months reporting the </w:t>
                  </w:r>
                  <w:r w:rsidR="00C544B8">
                    <w:t>emergency department</w:t>
                  </w:r>
                  <w:r w:rsidRPr="00373D64">
                    <w:t xml:space="preserve"> doctors, specialists or nurses always or often spent enough time with them</w:t>
                  </w:r>
                </w:p>
              </w:tc>
            </w:tr>
            <w:tr w:rsidR="00F6049B" w:rsidTr="004F7D79">
              <w:tc>
                <w:tcPr>
                  <w:tcW w:w="1240" w:type="pct"/>
                </w:tcPr>
                <w:p w:rsidR="00F6049B" w:rsidRDefault="00F6049B" w:rsidP="00081A22">
                  <w:pPr>
                    <w:pStyle w:val="TableBodyText"/>
                    <w:ind w:left="262"/>
                    <w:jc w:val="left"/>
                  </w:pPr>
                  <w:r>
                    <w:t>Doctors or specialists</w:t>
                  </w:r>
                </w:p>
              </w:tc>
              <w:tc>
                <w:tcPr>
                  <w:tcW w:w="417" w:type="pct"/>
                  <w:vAlign w:val="bottom"/>
                </w:tcPr>
                <w:p w:rsidR="00F6049B" w:rsidRPr="00F6049B" w:rsidRDefault="00F6049B" w:rsidP="00F6049B">
                  <w:pPr>
                    <w:pStyle w:val="TableBodyText"/>
                  </w:pPr>
                  <w:r w:rsidRPr="00F6049B">
                    <w:t xml:space="preserve">  81.5</w:t>
                  </w:r>
                </w:p>
              </w:tc>
              <w:tc>
                <w:tcPr>
                  <w:tcW w:w="418" w:type="pct"/>
                  <w:vAlign w:val="bottom"/>
                </w:tcPr>
                <w:p w:rsidR="00F6049B" w:rsidRPr="00F6049B" w:rsidRDefault="00F6049B" w:rsidP="00F6049B">
                  <w:pPr>
                    <w:pStyle w:val="TableBodyText"/>
                  </w:pPr>
                  <w:r w:rsidRPr="00F6049B">
                    <w:t xml:space="preserve">  80.4</w:t>
                  </w:r>
                </w:p>
              </w:tc>
              <w:tc>
                <w:tcPr>
                  <w:tcW w:w="417" w:type="pct"/>
                  <w:vAlign w:val="bottom"/>
                </w:tcPr>
                <w:p w:rsidR="00F6049B" w:rsidRPr="00F6049B" w:rsidRDefault="00F6049B" w:rsidP="00F6049B">
                  <w:pPr>
                    <w:pStyle w:val="TableBodyText"/>
                  </w:pPr>
                  <w:r w:rsidRPr="00F6049B">
                    <w:t xml:space="preserve">  81.3</w:t>
                  </w:r>
                </w:p>
              </w:tc>
              <w:tc>
                <w:tcPr>
                  <w:tcW w:w="417" w:type="pct"/>
                  <w:vAlign w:val="bottom"/>
                </w:tcPr>
                <w:p w:rsidR="00F6049B" w:rsidRPr="00F6049B" w:rsidRDefault="00F6049B" w:rsidP="00F6049B">
                  <w:pPr>
                    <w:pStyle w:val="TableBodyText"/>
                  </w:pPr>
                  <w:r w:rsidRPr="00F6049B">
                    <w:t xml:space="preserve">  81.3</w:t>
                  </w:r>
                </w:p>
              </w:tc>
              <w:tc>
                <w:tcPr>
                  <w:tcW w:w="418" w:type="pct"/>
                  <w:vAlign w:val="bottom"/>
                </w:tcPr>
                <w:p w:rsidR="00F6049B" w:rsidRPr="00F6049B" w:rsidRDefault="00F6049B" w:rsidP="00F6049B">
                  <w:pPr>
                    <w:pStyle w:val="TableBodyText"/>
                  </w:pPr>
                  <w:r w:rsidRPr="00F6049B">
                    <w:t xml:space="preserve">  81.7</w:t>
                  </w:r>
                </w:p>
              </w:tc>
              <w:tc>
                <w:tcPr>
                  <w:tcW w:w="417" w:type="pct"/>
                  <w:vAlign w:val="bottom"/>
                </w:tcPr>
                <w:p w:rsidR="00F6049B" w:rsidRPr="00F6049B" w:rsidRDefault="00F6049B" w:rsidP="00F6049B">
                  <w:pPr>
                    <w:pStyle w:val="TableBodyText"/>
                  </w:pPr>
                  <w:r w:rsidRPr="00F6049B">
                    <w:t xml:space="preserve">  77.9</w:t>
                  </w:r>
                </w:p>
              </w:tc>
              <w:tc>
                <w:tcPr>
                  <w:tcW w:w="418" w:type="pct"/>
                  <w:vAlign w:val="bottom"/>
                </w:tcPr>
                <w:p w:rsidR="00F6049B" w:rsidRPr="00F6049B" w:rsidRDefault="00F6049B" w:rsidP="00F6049B">
                  <w:pPr>
                    <w:pStyle w:val="TableBodyText"/>
                  </w:pPr>
                  <w:r w:rsidRPr="00F6049B">
                    <w:t xml:space="preserve">  75.3</w:t>
                  </w:r>
                </w:p>
              </w:tc>
              <w:tc>
                <w:tcPr>
                  <w:tcW w:w="417" w:type="pct"/>
                  <w:vAlign w:val="bottom"/>
                </w:tcPr>
                <w:p w:rsidR="00F6049B" w:rsidRPr="00F6049B" w:rsidRDefault="00F6049B" w:rsidP="00F6049B">
                  <w:pPr>
                    <w:pStyle w:val="TableBodyText"/>
                  </w:pPr>
                  <w:r w:rsidRPr="00F6049B">
                    <w:t xml:space="preserve">  85.0</w:t>
                  </w:r>
                </w:p>
              </w:tc>
              <w:tc>
                <w:tcPr>
                  <w:tcW w:w="421" w:type="pct"/>
                  <w:vAlign w:val="bottom"/>
                </w:tcPr>
                <w:p w:rsidR="00F6049B" w:rsidRPr="00F6049B" w:rsidRDefault="00F6049B" w:rsidP="00F6049B">
                  <w:pPr>
                    <w:pStyle w:val="TableBodyText"/>
                  </w:pPr>
                  <w:r w:rsidRPr="00F6049B">
                    <w:t xml:space="preserve">  81.0</w:t>
                  </w:r>
                </w:p>
              </w:tc>
            </w:tr>
            <w:tr w:rsidR="00F6049B" w:rsidTr="004F7D79">
              <w:tc>
                <w:tcPr>
                  <w:tcW w:w="1240" w:type="pct"/>
                </w:tcPr>
                <w:p w:rsidR="00F6049B" w:rsidRDefault="00F6049B" w:rsidP="00081A22">
                  <w:pPr>
                    <w:pStyle w:val="TableBodyText"/>
                    <w:ind w:left="262"/>
                    <w:jc w:val="left"/>
                  </w:pPr>
                  <w:r>
                    <w:t>Nurses</w:t>
                  </w:r>
                </w:p>
              </w:tc>
              <w:tc>
                <w:tcPr>
                  <w:tcW w:w="417" w:type="pct"/>
                  <w:vAlign w:val="bottom"/>
                </w:tcPr>
                <w:p w:rsidR="00F6049B" w:rsidRPr="00F6049B" w:rsidRDefault="00F6049B" w:rsidP="00F6049B">
                  <w:pPr>
                    <w:pStyle w:val="TableBodyText"/>
                  </w:pPr>
                  <w:r w:rsidRPr="00F6049B">
                    <w:t xml:space="preserve">  85.9</w:t>
                  </w:r>
                </w:p>
              </w:tc>
              <w:tc>
                <w:tcPr>
                  <w:tcW w:w="418" w:type="pct"/>
                  <w:vAlign w:val="bottom"/>
                </w:tcPr>
                <w:p w:rsidR="00F6049B" w:rsidRPr="00F6049B" w:rsidRDefault="00F6049B" w:rsidP="00F6049B">
                  <w:pPr>
                    <w:pStyle w:val="TableBodyText"/>
                  </w:pPr>
                  <w:r w:rsidRPr="00F6049B">
                    <w:t xml:space="preserve">  86.0</w:t>
                  </w:r>
                </w:p>
              </w:tc>
              <w:tc>
                <w:tcPr>
                  <w:tcW w:w="417" w:type="pct"/>
                  <w:vAlign w:val="bottom"/>
                </w:tcPr>
                <w:p w:rsidR="00F6049B" w:rsidRPr="00F6049B" w:rsidRDefault="00F6049B" w:rsidP="00F6049B">
                  <w:pPr>
                    <w:pStyle w:val="TableBodyText"/>
                  </w:pPr>
                  <w:r w:rsidRPr="00F6049B">
                    <w:t xml:space="preserve">  86.7</w:t>
                  </w:r>
                </w:p>
              </w:tc>
              <w:tc>
                <w:tcPr>
                  <w:tcW w:w="417" w:type="pct"/>
                  <w:vAlign w:val="bottom"/>
                </w:tcPr>
                <w:p w:rsidR="00F6049B" w:rsidRPr="00F6049B" w:rsidRDefault="00F6049B" w:rsidP="00F6049B">
                  <w:pPr>
                    <w:pStyle w:val="TableBodyText"/>
                  </w:pPr>
                  <w:r w:rsidRPr="00F6049B">
                    <w:t xml:space="preserve">  85.5</w:t>
                  </w:r>
                </w:p>
              </w:tc>
              <w:tc>
                <w:tcPr>
                  <w:tcW w:w="418" w:type="pct"/>
                  <w:vAlign w:val="bottom"/>
                </w:tcPr>
                <w:p w:rsidR="00F6049B" w:rsidRPr="00F6049B" w:rsidRDefault="00F6049B" w:rsidP="00F6049B">
                  <w:pPr>
                    <w:pStyle w:val="TableBodyText"/>
                  </w:pPr>
                  <w:r w:rsidRPr="00F6049B">
                    <w:t xml:space="preserve">  84.9</w:t>
                  </w:r>
                </w:p>
              </w:tc>
              <w:tc>
                <w:tcPr>
                  <w:tcW w:w="417" w:type="pct"/>
                  <w:vAlign w:val="bottom"/>
                </w:tcPr>
                <w:p w:rsidR="00F6049B" w:rsidRPr="00F6049B" w:rsidRDefault="00F6049B" w:rsidP="00F6049B">
                  <w:pPr>
                    <w:pStyle w:val="TableBodyText"/>
                  </w:pPr>
                  <w:r w:rsidRPr="00F6049B">
                    <w:t xml:space="preserve">  79.7</w:t>
                  </w:r>
                </w:p>
              </w:tc>
              <w:tc>
                <w:tcPr>
                  <w:tcW w:w="418" w:type="pct"/>
                  <w:vAlign w:val="bottom"/>
                </w:tcPr>
                <w:p w:rsidR="00F6049B" w:rsidRPr="00F6049B" w:rsidRDefault="00F6049B" w:rsidP="00F6049B">
                  <w:pPr>
                    <w:pStyle w:val="TableBodyText"/>
                  </w:pPr>
                  <w:r w:rsidRPr="00F6049B">
                    <w:t xml:space="preserve">  82.5</w:t>
                  </w:r>
                </w:p>
              </w:tc>
              <w:tc>
                <w:tcPr>
                  <w:tcW w:w="417" w:type="pct"/>
                  <w:vAlign w:val="bottom"/>
                </w:tcPr>
                <w:p w:rsidR="00F6049B" w:rsidRPr="00F6049B" w:rsidRDefault="00F6049B" w:rsidP="00F6049B">
                  <w:pPr>
                    <w:pStyle w:val="TableBodyText"/>
                  </w:pPr>
                  <w:r w:rsidRPr="00F6049B">
                    <w:t xml:space="preserve">  94.2</w:t>
                  </w:r>
                </w:p>
              </w:tc>
              <w:tc>
                <w:tcPr>
                  <w:tcW w:w="421" w:type="pct"/>
                  <w:vAlign w:val="bottom"/>
                </w:tcPr>
                <w:p w:rsidR="00F6049B" w:rsidRPr="00F6049B" w:rsidRDefault="00F6049B" w:rsidP="00F6049B">
                  <w:pPr>
                    <w:pStyle w:val="TableBodyText"/>
                  </w:pPr>
                  <w:r w:rsidRPr="00F6049B">
                    <w:t xml:space="preserve">  85.8</w:t>
                  </w:r>
                </w:p>
              </w:tc>
            </w:tr>
            <w:tr w:rsidR="00F6049B" w:rsidTr="00373D64">
              <w:tc>
                <w:tcPr>
                  <w:tcW w:w="5000" w:type="pct"/>
                  <w:gridSpan w:val="10"/>
                </w:tcPr>
                <w:p w:rsidR="00F6049B" w:rsidRDefault="00F6049B" w:rsidP="00373D64">
                  <w:pPr>
                    <w:pStyle w:val="TableBodyText"/>
                    <w:ind w:right="28"/>
                    <w:jc w:val="left"/>
                  </w:pPr>
                  <w:r w:rsidRPr="00373D64">
                    <w:t>Admitted hospital patients</w:t>
                  </w:r>
                </w:p>
              </w:tc>
            </w:tr>
            <w:tr w:rsidR="00F6049B" w:rsidTr="00373D64">
              <w:tc>
                <w:tcPr>
                  <w:tcW w:w="5000" w:type="pct"/>
                  <w:gridSpan w:val="10"/>
                </w:tcPr>
                <w:p w:rsidR="00F6049B" w:rsidRDefault="00F6049B" w:rsidP="00373D64">
                  <w:pPr>
                    <w:pStyle w:val="TableBodyText"/>
                    <w:ind w:left="120" w:right="28"/>
                    <w:jc w:val="left"/>
                  </w:pPr>
                  <w:r w:rsidRPr="00373D64">
                    <w:t>Proportion of people who were admitted to hospital in the last 12 months reporting the hospital doctors, specialists or nurses always or often listened carefully to them</w:t>
                  </w:r>
                </w:p>
              </w:tc>
            </w:tr>
            <w:tr w:rsidR="00DB2061" w:rsidTr="004F7D79">
              <w:tc>
                <w:tcPr>
                  <w:tcW w:w="1240" w:type="pct"/>
                </w:tcPr>
                <w:p w:rsidR="00DB2061" w:rsidRDefault="00DB2061" w:rsidP="00081A22">
                  <w:pPr>
                    <w:pStyle w:val="TableBodyText"/>
                    <w:ind w:left="262"/>
                    <w:jc w:val="left"/>
                  </w:pPr>
                  <w:r>
                    <w:t>Doctors or specialists</w:t>
                  </w:r>
                </w:p>
              </w:tc>
              <w:tc>
                <w:tcPr>
                  <w:tcW w:w="417" w:type="pct"/>
                  <w:vAlign w:val="bottom"/>
                </w:tcPr>
                <w:p w:rsidR="00DB2061" w:rsidRPr="00DB2061" w:rsidRDefault="00DB2061" w:rsidP="00DB2061">
                  <w:pPr>
                    <w:pStyle w:val="TableBodyText"/>
                  </w:pPr>
                  <w:r w:rsidRPr="00DB2061">
                    <w:t xml:space="preserve">  91.3</w:t>
                  </w:r>
                </w:p>
              </w:tc>
              <w:tc>
                <w:tcPr>
                  <w:tcW w:w="418" w:type="pct"/>
                  <w:vAlign w:val="bottom"/>
                </w:tcPr>
                <w:p w:rsidR="00DB2061" w:rsidRPr="00DB2061" w:rsidRDefault="00DB2061" w:rsidP="00DB2061">
                  <w:pPr>
                    <w:pStyle w:val="TableBodyText"/>
                  </w:pPr>
                  <w:r w:rsidRPr="00DB2061">
                    <w:t xml:space="preserve">  90.5</w:t>
                  </w:r>
                </w:p>
              </w:tc>
              <w:tc>
                <w:tcPr>
                  <w:tcW w:w="417" w:type="pct"/>
                  <w:vAlign w:val="bottom"/>
                </w:tcPr>
                <w:p w:rsidR="00DB2061" w:rsidRPr="00DB2061" w:rsidRDefault="00DB2061" w:rsidP="00DB2061">
                  <w:pPr>
                    <w:pStyle w:val="TableBodyText"/>
                  </w:pPr>
                  <w:r w:rsidRPr="00DB2061">
                    <w:t xml:space="preserve">  88.4</w:t>
                  </w:r>
                </w:p>
              </w:tc>
              <w:tc>
                <w:tcPr>
                  <w:tcW w:w="417" w:type="pct"/>
                  <w:vAlign w:val="bottom"/>
                </w:tcPr>
                <w:p w:rsidR="00DB2061" w:rsidRPr="00DB2061" w:rsidRDefault="00DB2061" w:rsidP="00DB2061">
                  <w:pPr>
                    <w:pStyle w:val="TableBodyText"/>
                  </w:pPr>
                  <w:r w:rsidRPr="00DB2061">
                    <w:t xml:space="preserve">  90.0</w:t>
                  </w:r>
                </w:p>
              </w:tc>
              <w:tc>
                <w:tcPr>
                  <w:tcW w:w="418" w:type="pct"/>
                  <w:vAlign w:val="bottom"/>
                </w:tcPr>
                <w:p w:rsidR="00DB2061" w:rsidRPr="00DB2061" w:rsidRDefault="00DB2061" w:rsidP="00DB2061">
                  <w:pPr>
                    <w:pStyle w:val="TableBodyText"/>
                  </w:pPr>
                  <w:r w:rsidRPr="00DB2061">
                    <w:t xml:space="preserve">  93.6</w:t>
                  </w:r>
                </w:p>
              </w:tc>
              <w:tc>
                <w:tcPr>
                  <w:tcW w:w="417" w:type="pct"/>
                  <w:vAlign w:val="bottom"/>
                </w:tcPr>
                <w:p w:rsidR="00DB2061" w:rsidRPr="00DB2061" w:rsidRDefault="00DB2061" w:rsidP="00DB2061">
                  <w:pPr>
                    <w:pStyle w:val="TableBodyText"/>
                  </w:pPr>
                  <w:r w:rsidRPr="00DB2061">
                    <w:t xml:space="preserve">  88.5</w:t>
                  </w:r>
                </w:p>
              </w:tc>
              <w:tc>
                <w:tcPr>
                  <w:tcW w:w="418" w:type="pct"/>
                  <w:vAlign w:val="bottom"/>
                </w:tcPr>
                <w:p w:rsidR="00DB2061" w:rsidRPr="00DB2061" w:rsidRDefault="00DB2061" w:rsidP="00DB2061">
                  <w:pPr>
                    <w:pStyle w:val="TableBodyText"/>
                  </w:pPr>
                  <w:r w:rsidRPr="00DB2061">
                    <w:t xml:space="preserve">  83.9</w:t>
                  </w:r>
                </w:p>
              </w:tc>
              <w:tc>
                <w:tcPr>
                  <w:tcW w:w="417" w:type="pct"/>
                  <w:vAlign w:val="bottom"/>
                </w:tcPr>
                <w:p w:rsidR="00DB2061" w:rsidRPr="00DB2061" w:rsidRDefault="00DB2061" w:rsidP="00DB2061">
                  <w:pPr>
                    <w:pStyle w:val="TableBodyText"/>
                  </w:pPr>
                  <w:r w:rsidRPr="00DB2061">
                    <w:t xml:space="preserve">  91.0</w:t>
                  </w:r>
                </w:p>
              </w:tc>
              <w:tc>
                <w:tcPr>
                  <w:tcW w:w="421" w:type="pct"/>
                  <w:vAlign w:val="bottom"/>
                </w:tcPr>
                <w:p w:rsidR="00DB2061" w:rsidRPr="00DB2061" w:rsidRDefault="00DB2061" w:rsidP="00DB2061">
                  <w:pPr>
                    <w:pStyle w:val="TableBodyText"/>
                  </w:pPr>
                  <w:r w:rsidRPr="00DB2061">
                    <w:t xml:space="preserve">  90.6</w:t>
                  </w:r>
                </w:p>
              </w:tc>
            </w:tr>
            <w:tr w:rsidR="00DB2061" w:rsidTr="004F7D79">
              <w:tc>
                <w:tcPr>
                  <w:tcW w:w="1240" w:type="pct"/>
                </w:tcPr>
                <w:p w:rsidR="00DB2061" w:rsidRDefault="00DB2061" w:rsidP="00081A22">
                  <w:pPr>
                    <w:pStyle w:val="TableBodyText"/>
                    <w:ind w:left="262"/>
                    <w:jc w:val="left"/>
                  </w:pPr>
                  <w:r>
                    <w:t>Nurses</w:t>
                  </w:r>
                </w:p>
              </w:tc>
              <w:tc>
                <w:tcPr>
                  <w:tcW w:w="417" w:type="pct"/>
                  <w:vAlign w:val="bottom"/>
                </w:tcPr>
                <w:p w:rsidR="00DB2061" w:rsidRPr="00DB2061" w:rsidRDefault="00DB2061" w:rsidP="00DB2061">
                  <w:pPr>
                    <w:pStyle w:val="TableBodyText"/>
                  </w:pPr>
                  <w:r w:rsidRPr="00DB2061">
                    <w:t xml:space="preserve">  92.3</w:t>
                  </w:r>
                </w:p>
              </w:tc>
              <w:tc>
                <w:tcPr>
                  <w:tcW w:w="418" w:type="pct"/>
                  <w:vAlign w:val="bottom"/>
                </w:tcPr>
                <w:p w:rsidR="00DB2061" w:rsidRPr="00DB2061" w:rsidRDefault="00DB2061" w:rsidP="00DB2061">
                  <w:pPr>
                    <w:pStyle w:val="TableBodyText"/>
                  </w:pPr>
                  <w:r w:rsidRPr="00DB2061">
                    <w:t xml:space="preserve">  92.5</w:t>
                  </w:r>
                </w:p>
              </w:tc>
              <w:tc>
                <w:tcPr>
                  <w:tcW w:w="417" w:type="pct"/>
                  <w:vAlign w:val="bottom"/>
                </w:tcPr>
                <w:p w:rsidR="00DB2061" w:rsidRPr="00DB2061" w:rsidRDefault="00DB2061" w:rsidP="00DB2061">
                  <w:pPr>
                    <w:pStyle w:val="TableBodyText"/>
                  </w:pPr>
                  <w:r w:rsidRPr="00DB2061">
                    <w:t xml:space="preserve">  90.1</w:t>
                  </w:r>
                </w:p>
              </w:tc>
              <w:tc>
                <w:tcPr>
                  <w:tcW w:w="417" w:type="pct"/>
                  <w:vAlign w:val="bottom"/>
                </w:tcPr>
                <w:p w:rsidR="00DB2061" w:rsidRPr="00DB2061" w:rsidRDefault="00DB2061" w:rsidP="00DB2061">
                  <w:pPr>
                    <w:pStyle w:val="TableBodyText"/>
                  </w:pPr>
                  <w:r w:rsidRPr="00DB2061">
                    <w:t xml:space="preserve">  91.3</w:t>
                  </w:r>
                </w:p>
              </w:tc>
              <w:tc>
                <w:tcPr>
                  <w:tcW w:w="418" w:type="pct"/>
                  <w:vAlign w:val="bottom"/>
                </w:tcPr>
                <w:p w:rsidR="00DB2061" w:rsidRPr="00DB2061" w:rsidRDefault="00DB2061" w:rsidP="00DB2061">
                  <w:pPr>
                    <w:pStyle w:val="TableBodyText"/>
                  </w:pPr>
                  <w:r w:rsidRPr="00DB2061">
                    <w:t xml:space="preserve">  91.4</w:t>
                  </w:r>
                </w:p>
              </w:tc>
              <w:tc>
                <w:tcPr>
                  <w:tcW w:w="417" w:type="pct"/>
                  <w:vAlign w:val="bottom"/>
                </w:tcPr>
                <w:p w:rsidR="00DB2061" w:rsidRPr="00DB2061" w:rsidRDefault="00DB2061" w:rsidP="00DB2061">
                  <w:pPr>
                    <w:pStyle w:val="TableBodyText"/>
                  </w:pPr>
                  <w:r w:rsidRPr="00DB2061">
                    <w:t xml:space="preserve">  88.5</w:t>
                  </w:r>
                </w:p>
              </w:tc>
              <w:tc>
                <w:tcPr>
                  <w:tcW w:w="418" w:type="pct"/>
                  <w:vAlign w:val="bottom"/>
                </w:tcPr>
                <w:p w:rsidR="00DB2061" w:rsidRPr="00DB2061" w:rsidRDefault="00DB2061" w:rsidP="00DB2061">
                  <w:pPr>
                    <w:pStyle w:val="TableBodyText"/>
                  </w:pPr>
                  <w:r w:rsidRPr="00DB2061">
                    <w:t xml:space="preserve">  83.9</w:t>
                  </w:r>
                </w:p>
              </w:tc>
              <w:tc>
                <w:tcPr>
                  <w:tcW w:w="417" w:type="pct"/>
                  <w:vAlign w:val="bottom"/>
                </w:tcPr>
                <w:p w:rsidR="00DB2061" w:rsidRPr="00DB2061" w:rsidRDefault="00DB2061" w:rsidP="00DB2061">
                  <w:pPr>
                    <w:pStyle w:val="TableBodyText"/>
                  </w:pPr>
                  <w:r w:rsidRPr="00DB2061">
                    <w:t xml:space="preserve">  91.3</w:t>
                  </w:r>
                </w:p>
              </w:tc>
              <w:tc>
                <w:tcPr>
                  <w:tcW w:w="421" w:type="pct"/>
                  <w:vAlign w:val="bottom"/>
                </w:tcPr>
                <w:p w:rsidR="00DB2061" w:rsidRPr="00DB2061" w:rsidRDefault="00DB2061" w:rsidP="00DB2061">
                  <w:pPr>
                    <w:pStyle w:val="TableBodyText"/>
                  </w:pPr>
                  <w:r w:rsidRPr="00DB2061">
                    <w:t xml:space="preserve">  91.5</w:t>
                  </w:r>
                </w:p>
              </w:tc>
            </w:tr>
            <w:tr w:rsidR="00DB2061" w:rsidTr="00373D64">
              <w:tc>
                <w:tcPr>
                  <w:tcW w:w="5000" w:type="pct"/>
                  <w:gridSpan w:val="10"/>
                </w:tcPr>
                <w:p w:rsidR="00DB2061" w:rsidRDefault="00DB2061" w:rsidP="00373D64">
                  <w:pPr>
                    <w:pStyle w:val="TableBodyText"/>
                    <w:ind w:left="120" w:right="28"/>
                    <w:jc w:val="left"/>
                  </w:pPr>
                  <w:r w:rsidRPr="00373D64">
                    <w:t>Proportion of people who were admitted to hospital in the last 12 months reporting the hospital doctors, specialists or nurses always or often showed respect to them</w:t>
                  </w:r>
                </w:p>
              </w:tc>
            </w:tr>
            <w:tr w:rsidR="00DB2061" w:rsidTr="004F7D79">
              <w:tc>
                <w:tcPr>
                  <w:tcW w:w="1240" w:type="pct"/>
                </w:tcPr>
                <w:p w:rsidR="00DB2061" w:rsidRDefault="00DB2061" w:rsidP="00081A22">
                  <w:pPr>
                    <w:pStyle w:val="TableBodyText"/>
                    <w:ind w:left="262"/>
                    <w:jc w:val="left"/>
                  </w:pPr>
                  <w:r>
                    <w:t>Doctors or specialists</w:t>
                  </w:r>
                </w:p>
              </w:tc>
              <w:tc>
                <w:tcPr>
                  <w:tcW w:w="417" w:type="pct"/>
                  <w:vAlign w:val="bottom"/>
                </w:tcPr>
                <w:p w:rsidR="00DB2061" w:rsidRPr="00DB2061" w:rsidRDefault="00DB2061" w:rsidP="00DB2061">
                  <w:pPr>
                    <w:pStyle w:val="TableBodyText"/>
                  </w:pPr>
                  <w:r w:rsidRPr="00DB2061">
                    <w:t xml:space="preserve">  92.7</w:t>
                  </w:r>
                </w:p>
              </w:tc>
              <w:tc>
                <w:tcPr>
                  <w:tcW w:w="418" w:type="pct"/>
                  <w:vAlign w:val="bottom"/>
                </w:tcPr>
                <w:p w:rsidR="00DB2061" w:rsidRPr="00DB2061" w:rsidRDefault="00DB2061" w:rsidP="00DB2061">
                  <w:pPr>
                    <w:pStyle w:val="TableBodyText"/>
                  </w:pPr>
                  <w:r w:rsidRPr="00DB2061">
                    <w:t xml:space="preserve">  93.0</w:t>
                  </w:r>
                </w:p>
              </w:tc>
              <w:tc>
                <w:tcPr>
                  <w:tcW w:w="417" w:type="pct"/>
                  <w:vAlign w:val="bottom"/>
                </w:tcPr>
                <w:p w:rsidR="00DB2061" w:rsidRPr="00DB2061" w:rsidRDefault="00DB2061" w:rsidP="00DB2061">
                  <w:pPr>
                    <w:pStyle w:val="TableBodyText"/>
                  </w:pPr>
                  <w:r w:rsidRPr="00DB2061">
                    <w:t xml:space="preserve">  90.3</w:t>
                  </w:r>
                </w:p>
              </w:tc>
              <w:tc>
                <w:tcPr>
                  <w:tcW w:w="417" w:type="pct"/>
                  <w:vAlign w:val="bottom"/>
                </w:tcPr>
                <w:p w:rsidR="00DB2061" w:rsidRPr="00DB2061" w:rsidRDefault="00DB2061" w:rsidP="00DB2061">
                  <w:pPr>
                    <w:pStyle w:val="TableBodyText"/>
                  </w:pPr>
                  <w:r w:rsidRPr="00DB2061">
                    <w:t xml:space="preserve">  91.2</w:t>
                  </w:r>
                </w:p>
              </w:tc>
              <w:tc>
                <w:tcPr>
                  <w:tcW w:w="418" w:type="pct"/>
                  <w:vAlign w:val="bottom"/>
                </w:tcPr>
                <w:p w:rsidR="00DB2061" w:rsidRPr="00DB2061" w:rsidRDefault="00DB2061" w:rsidP="00DB2061">
                  <w:pPr>
                    <w:pStyle w:val="TableBodyText"/>
                  </w:pPr>
                  <w:r w:rsidRPr="00DB2061">
                    <w:t xml:space="preserve">  96.0</w:t>
                  </w:r>
                </w:p>
              </w:tc>
              <w:tc>
                <w:tcPr>
                  <w:tcW w:w="417" w:type="pct"/>
                  <w:vAlign w:val="bottom"/>
                </w:tcPr>
                <w:p w:rsidR="00DB2061" w:rsidRPr="00DB2061" w:rsidRDefault="00DB2061" w:rsidP="00DB2061">
                  <w:pPr>
                    <w:pStyle w:val="TableBodyText"/>
                  </w:pPr>
                  <w:r w:rsidRPr="00DB2061">
                    <w:t xml:space="preserve">  89.5</w:t>
                  </w:r>
                </w:p>
              </w:tc>
              <w:tc>
                <w:tcPr>
                  <w:tcW w:w="418" w:type="pct"/>
                  <w:vAlign w:val="bottom"/>
                </w:tcPr>
                <w:p w:rsidR="00DB2061" w:rsidRPr="00DB2061" w:rsidRDefault="00DB2061" w:rsidP="00DB2061">
                  <w:pPr>
                    <w:pStyle w:val="TableBodyText"/>
                  </w:pPr>
                  <w:r w:rsidRPr="00DB2061">
                    <w:t xml:space="preserve">  84.8</w:t>
                  </w:r>
                </w:p>
              </w:tc>
              <w:tc>
                <w:tcPr>
                  <w:tcW w:w="417" w:type="pct"/>
                  <w:vAlign w:val="bottom"/>
                </w:tcPr>
                <w:p w:rsidR="00DB2061" w:rsidRPr="00DB2061" w:rsidRDefault="00DB2061" w:rsidP="00DB2061">
                  <w:pPr>
                    <w:pStyle w:val="TableBodyText"/>
                  </w:pPr>
                  <w:r w:rsidRPr="00DB2061">
                    <w:t xml:space="preserve">  91.8</w:t>
                  </w:r>
                </w:p>
              </w:tc>
              <w:tc>
                <w:tcPr>
                  <w:tcW w:w="421" w:type="pct"/>
                  <w:vAlign w:val="bottom"/>
                </w:tcPr>
                <w:p w:rsidR="00DB2061" w:rsidRPr="00DB2061" w:rsidRDefault="00DB2061" w:rsidP="00DB2061">
                  <w:pPr>
                    <w:pStyle w:val="TableBodyText"/>
                  </w:pPr>
                  <w:r w:rsidRPr="00DB2061">
                    <w:t xml:space="preserve">  92.4</w:t>
                  </w:r>
                </w:p>
              </w:tc>
            </w:tr>
            <w:tr w:rsidR="00DB2061" w:rsidTr="004F7D79">
              <w:tc>
                <w:tcPr>
                  <w:tcW w:w="1240" w:type="pct"/>
                </w:tcPr>
                <w:p w:rsidR="00DB2061" w:rsidRDefault="00DB2061" w:rsidP="00081A22">
                  <w:pPr>
                    <w:pStyle w:val="TableBodyText"/>
                    <w:ind w:left="262"/>
                    <w:jc w:val="left"/>
                  </w:pPr>
                  <w:r>
                    <w:t>Nurses</w:t>
                  </w:r>
                </w:p>
              </w:tc>
              <w:tc>
                <w:tcPr>
                  <w:tcW w:w="417" w:type="pct"/>
                  <w:vAlign w:val="bottom"/>
                </w:tcPr>
                <w:p w:rsidR="00DB2061" w:rsidRPr="00DB2061" w:rsidRDefault="00DB2061" w:rsidP="00DB2061">
                  <w:pPr>
                    <w:pStyle w:val="TableBodyText"/>
                  </w:pPr>
                  <w:r w:rsidRPr="00DB2061">
                    <w:t xml:space="preserve">  94.0</w:t>
                  </w:r>
                </w:p>
              </w:tc>
              <w:tc>
                <w:tcPr>
                  <w:tcW w:w="418" w:type="pct"/>
                  <w:vAlign w:val="bottom"/>
                </w:tcPr>
                <w:p w:rsidR="00DB2061" w:rsidRPr="00DB2061" w:rsidRDefault="00DB2061" w:rsidP="00DB2061">
                  <w:pPr>
                    <w:pStyle w:val="TableBodyText"/>
                  </w:pPr>
                  <w:r w:rsidRPr="00DB2061">
                    <w:t xml:space="preserve">  93.3</w:t>
                  </w:r>
                </w:p>
              </w:tc>
              <w:tc>
                <w:tcPr>
                  <w:tcW w:w="417" w:type="pct"/>
                  <w:vAlign w:val="bottom"/>
                </w:tcPr>
                <w:p w:rsidR="00DB2061" w:rsidRPr="00DB2061" w:rsidRDefault="00DB2061" w:rsidP="00DB2061">
                  <w:pPr>
                    <w:pStyle w:val="TableBodyText"/>
                  </w:pPr>
                  <w:r w:rsidRPr="00DB2061">
                    <w:t xml:space="preserve">  91.4</w:t>
                  </w:r>
                </w:p>
              </w:tc>
              <w:tc>
                <w:tcPr>
                  <w:tcW w:w="417" w:type="pct"/>
                  <w:vAlign w:val="bottom"/>
                </w:tcPr>
                <w:p w:rsidR="00DB2061" w:rsidRPr="00DB2061" w:rsidRDefault="00DB2061" w:rsidP="00DB2061">
                  <w:pPr>
                    <w:pStyle w:val="TableBodyText"/>
                  </w:pPr>
                  <w:r w:rsidRPr="00DB2061">
                    <w:t xml:space="preserve">  91.5</w:t>
                  </w:r>
                </w:p>
              </w:tc>
              <w:tc>
                <w:tcPr>
                  <w:tcW w:w="418" w:type="pct"/>
                  <w:vAlign w:val="center"/>
                </w:tcPr>
                <w:p w:rsidR="00DB2061" w:rsidRPr="00DB2061" w:rsidRDefault="00DB2061" w:rsidP="00DB2061">
                  <w:pPr>
                    <w:pStyle w:val="TableBodyText"/>
                  </w:pPr>
                  <w:r w:rsidRPr="00DB2061">
                    <w:t>92.9</w:t>
                  </w:r>
                </w:p>
              </w:tc>
              <w:tc>
                <w:tcPr>
                  <w:tcW w:w="417" w:type="pct"/>
                  <w:vAlign w:val="bottom"/>
                </w:tcPr>
                <w:p w:rsidR="00DB2061" w:rsidRPr="00DB2061" w:rsidRDefault="00DB2061" w:rsidP="00DB2061">
                  <w:pPr>
                    <w:pStyle w:val="TableBodyText"/>
                  </w:pPr>
                  <w:r w:rsidRPr="00DB2061">
                    <w:t xml:space="preserve">  90.9</w:t>
                  </w:r>
                </w:p>
              </w:tc>
              <w:tc>
                <w:tcPr>
                  <w:tcW w:w="418" w:type="pct"/>
                  <w:vAlign w:val="bottom"/>
                </w:tcPr>
                <w:p w:rsidR="00DB2061" w:rsidRPr="00DB2061" w:rsidRDefault="00DB2061" w:rsidP="00DB2061">
                  <w:pPr>
                    <w:pStyle w:val="TableBodyText"/>
                  </w:pPr>
                  <w:r w:rsidRPr="00DB2061">
                    <w:t xml:space="preserve">  83.9</w:t>
                  </w:r>
                </w:p>
              </w:tc>
              <w:tc>
                <w:tcPr>
                  <w:tcW w:w="417" w:type="pct"/>
                  <w:vAlign w:val="bottom"/>
                </w:tcPr>
                <w:p w:rsidR="00DB2061" w:rsidRPr="00DB2061" w:rsidRDefault="00DB2061" w:rsidP="00DB2061">
                  <w:pPr>
                    <w:pStyle w:val="TableBodyText"/>
                  </w:pPr>
                  <w:r w:rsidRPr="00DB2061">
                    <w:t xml:space="preserve">  94.2</w:t>
                  </w:r>
                </w:p>
              </w:tc>
              <w:tc>
                <w:tcPr>
                  <w:tcW w:w="421" w:type="pct"/>
                  <w:vAlign w:val="bottom"/>
                </w:tcPr>
                <w:p w:rsidR="00DB2061" w:rsidRPr="00DB2061" w:rsidRDefault="00DB2061" w:rsidP="00DB2061">
                  <w:pPr>
                    <w:pStyle w:val="TableBodyText"/>
                  </w:pPr>
                  <w:r w:rsidRPr="00DB2061">
                    <w:t xml:space="preserve">  92.6</w:t>
                  </w:r>
                </w:p>
              </w:tc>
            </w:tr>
            <w:tr w:rsidR="00DB2061" w:rsidTr="00373D64">
              <w:tc>
                <w:tcPr>
                  <w:tcW w:w="5000" w:type="pct"/>
                  <w:gridSpan w:val="10"/>
                </w:tcPr>
                <w:p w:rsidR="00DB2061" w:rsidRDefault="00DB2061" w:rsidP="00373D64">
                  <w:pPr>
                    <w:pStyle w:val="TableBodyText"/>
                    <w:ind w:left="120" w:right="28"/>
                    <w:jc w:val="left"/>
                  </w:pPr>
                  <w:r w:rsidRPr="00373D64">
                    <w:t>Proportion of people who were admitted to hospital in the last 12 months reporting the hospital doctors, specialists or nurses always or often spent enough time with them</w:t>
                  </w:r>
                </w:p>
              </w:tc>
            </w:tr>
            <w:tr w:rsidR="00DB2061" w:rsidTr="004F7D79">
              <w:tc>
                <w:tcPr>
                  <w:tcW w:w="1240" w:type="pct"/>
                </w:tcPr>
                <w:p w:rsidR="00DB2061" w:rsidRDefault="00DB2061" w:rsidP="00081A22">
                  <w:pPr>
                    <w:pStyle w:val="TableBodyText"/>
                    <w:ind w:left="262"/>
                    <w:jc w:val="left"/>
                  </w:pPr>
                  <w:r>
                    <w:t>Doctors or specialists</w:t>
                  </w:r>
                </w:p>
              </w:tc>
              <w:tc>
                <w:tcPr>
                  <w:tcW w:w="417" w:type="pct"/>
                  <w:vAlign w:val="bottom"/>
                </w:tcPr>
                <w:p w:rsidR="00DB2061" w:rsidRPr="00DB2061" w:rsidRDefault="00DB2061" w:rsidP="00DB2061">
                  <w:pPr>
                    <w:pStyle w:val="TableBodyText"/>
                  </w:pPr>
                  <w:r w:rsidRPr="00DB2061">
                    <w:t xml:space="preserve">  87.7</w:t>
                  </w:r>
                </w:p>
              </w:tc>
              <w:tc>
                <w:tcPr>
                  <w:tcW w:w="418" w:type="pct"/>
                  <w:vAlign w:val="bottom"/>
                </w:tcPr>
                <w:p w:rsidR="00DB2061" w:rsidRPr="00DB2061" w:rsidRDefault="00DB2061" w:rsidP="00DB2061">
                  <w:pPr>
                    <w:pStyle w:val="TableBodyText"/>
                  </w:pPr>
                  <w:r w:rsidRPr="00DB2061">
                    <w:t xml:space="preserve">  88.4</w:t>
                  </w:r>
                </w:p>
              </w:tc>
              <w:tc>
                <w:tcPr>
                  <w:tcW w:w="417" w:type="pct"/>
                  <w:vAlign w:val="bottom"/>
                </w:tcPr>
                <w:p w:rsidR="00DB2061" w:rsidRPr="00DB2061" w:rsidRDefault="00DB2061" w:rsidP="00DB2061">
                  <w:pPr>
                    <w:pStyle w:val="TableBodyText"/>
                  </w:pPr>
                  <w:r w:rsidRPr="00DB2061">
                    <w:t xml:space="preserve">  86.1</w:t>
                  </w:r>
                </w:p>
              </w:tc>
              <w:tc>
                <w:tcPr>
                  <w:tcW w:w="417" w:type="pct"/>
                  <w:vAlign w:val="bottom"/>
                </w:tcPr>
                <w:p w:rsidR="00DB2061" w:rsidRPr="00DB2061" w:rsidRDefault="00DB2061" w:rsidP="00DB2061">
                  <w:pPr>
                    <w:pStyle w:val="TableBodyText"/>
                  </w:pPr>
                  <w:r w:rsidRPr="00DB2061">
                    <w:t xml:space="preserve">  86.9</w:t>
                  </w:r>
                </w:p>
              </w:tc>
              <w:tc>
                <w:tcPr>
                  <w:tcW w:w="418" w:type="pct"/>
                  <w:vAlign w:val="bottom"/>
                </w:tcPr>
                <w:p w:rsidR="00DB2061" w:rsidRPr="00DB2061" w:rsidRDefault="00DB2061" w:rsidP="00DB2061">
                  <w:pPr>
                    <w:pStyle w:val="TableBodyText"/>
                  </w:pPr>
                  <w:r w:rsidRPr="00DB2061">
                    <w:t xml:space="preserve">  92.3</w:t>
                  </w:r>
                </w:p>
              </w:tc>
              <w:tc>
                <w:tcPr>
                  <w:tcW w:w="417" w:type="pct"/>
                  <w:vAlign w:val="bottom"/>
                </w:tcPr>
                <w:p w:rsidR="00DB2061" w:rsidRPr="00DB2061" w:rsidRDefault="00DB2061" w:rsidP="00DB2061">
                  <w:pPr>
                    <w:pStyle w:val="TableBodyText"/>
                  </w:pPr>
                  <w:r w:rsidRPr="00DB2061">
                    <w:t xml:space="preserve">  84.7</w:t>
                  </w:r>
                </w:p>
              </w:tc>
              <w:tc>
                <w:tcPr>
                  <w:tcW w:w="418" w:type="pct"/>
                  <w:vAlign w:val="bottom"/>
                </w:tcPr>
                <w:p w:rsidR="00DB2061" w:rsidRPr="00DB2061" w:rsidRDefault="00DB2061" w:rsidP="00DB2061">
                  <w:pPr>
                    <w:pStyle w:val="TableBodyText"/>
                  </w:pPr>
                  <w:r w:rsidRPr="00DB2061">
                    <w:t xml:space="preserve">  79.1</w:t>
                  </w:r>
                </w:p>
              </w:tc>
              <w:tc>
                <w:tcPr>
                  <w:tcW w:w="417" w:type="pct"/>
                  <w:vAlign w:val="bottom"/>
                </w:tcPr>
                <w:p w:rsidR="00DB2061" w:rsidRPr="00DB2061" w:rsidRDefault="00DB2061" w:rsidP="00DB2061">
                  <w:pPr>
                    <w:pStyle w:val="TableBodyText"/>
                  </w:pPr>
                  <w:r w:rsidRPr="00DB2061">
                    <w:t xml:space="preserve">  92.3</w:t>
                  </w:r>
                </w:p>
              </w:tc>
              <w:tc>
                <w:tcPr>
                  <w:tcW w:w="421" w:type="pct"/>
                  <w:vAlign w:val="bottom"/>
                </w:tcPr>
                <w:p w:rsidR="00DB2061" w:rsidRPr="00DB2061" w:rsidRDefault="00DB2061" w:rsidP="00DB2061">
                  <w:pPr>
                    <w:pStyle w:val="TableBodyText"/>
                  </w:pPr>
                  <w:r w:rsidRPr="00DB2061">
                    <w:t xml:space="preserve">  87.7</w:t>
                  </w:r>
                </w:p>
              </w:tc>
            </w:tr>
            <w:tr w:rsidR="00DB2061" w:rsidTr="004F7D79">
              <w:tc>
                <w:tcPr>
                  <w:tcW w:w="1240" w:type="pct"/>
                  <w:tcBorders>
                    <w:bottom w:val="single" w:sz="6" w:space="0" w:color="BFBFBF"/>
                  </w:tcBorders>
                  <w:shd w:val="clear" w:color="auto" w:fill="auto"/>
                </w:tcPr>
                <w:p w:rsidR="00DB2061" w:rsidRDefault="00DB2061" w:rsidP="00081A22">
                  <w:pPr>
                    <w:pStyle w:val="TableBodyText"/>
                    <w:ind w:left="262"/>
                    <w:jc w:val="left"/>
                  </w:pPr>
                  <w:r>
                    <w:t>Nurses</w:t>
                  </w:r>
                </w:p>
              </w:tc>
              <w:tc>
                <w:tcPr>
                  <w:tcW w:w="417" w:type="pct"/>
                  <w:tcBorders>
                    <w:bottom w:val="single" w:sz="6" w:space="0" w:color="BFBFBF"/>
                  </w:tcBorders>
                  <w:vAlign w:val="bottom"/>
                </w:tcPr>
                <w:p w:rsidR="00DB2061" w:rsidRPr="00DB2061" w:rsidRDefault="00DB2061" w:rsidP="00DB2061">
                  <w:pPr>
                    <w:pStyle w:val="TableBodyText"/>
                  </w:pPr>
                  <w:r w:rsidRPr="00DB2061">
                    <w:t xml:space="preserve">  88.6</w:t>
                  </w:r>
                </w:p>
              </w:tc>
              <w:tc>
                <w:tcPr>
                  <w:tcW w:w="418" w:type="pct"/>
                  <w:tcBorders>
                    <w:bottom w:val="single" w:sz="6" w:space="0" w:color="BFBFBF"/>
                  </w:tcBorders>
                  <w:vAlign w:val="bottom"/>
                </w:tcPr>
                <w:p w:rsidR="00DB2061" w:rsidRPr="00DB2061" w:rsidRDefault="00DB2061" w:rsidP="00DB2061">
                  <w:pPr>
                    <w:pStyle w:val="TableBodyText"/>
                  </w:pPr>
                  <w:r w:rsidRPr="00DB2061">
                    <w:t xml:space="preserve">  91.2</w:t>
                  </w:r>
                </w:p>
              </w:tc>
              <w:tc>
                <w:tcPr>
                  <w:tcW w:w="417" w:type="pct"/>
                  <w:tcBorders>
                    <w:bottom w:val="single" w:sz="6" w:space="0" w:color="BFBFBF"/>
                  </w:tcBorders>
                  <w:vAlign w:val="bottom"/>
                </w:tcPr>
                <w:p w:rsidR="00DB2061" w:rsidRPr="00DB2061" w:rsidRDefault="00DB2061" w:rsidP="00DB2061">
                  <w:pPr>
                    <w:pStyle w:val="TableBodyText"/>
                  </w:pPr>
                  <w:r w:rsidRPr="00DB2061">
                    <w:t xml:space="preserve">  87.2</w:t>
                  </w:r>
                </w:p>
              </w:tc>
              <w:tc>
                <w:tcPr>
                  <w:tcW w:w="417" w:type="pct"/>
                  <w:tcBorders>
                    <w:bottom w:val="single" w:sz="6" w:space="0" w:color="BFBFBF"/>
                  </w:tcBorders>
                  <w:vAlign w:val="bottom"/>
                </w:tcPr>
                <w:p w:rsidR="00DB2061" w:rsidRPr="00DB2061" w:rsidRDefault="00DB2061" w:rsidP="00DB2061">
                  <w:pPr>
                    <w:pStyle w:val="TableBodyText"/>
                  </w:pPr>
                  <w:r w:rsidRPr="00DB2061">
                    <w:t xml:space="preserve">  88.4</w:t>
                  </w:r>
                </w:p>
              </w:tc>
              <w:tc>
                <w:tcPr>
                  <w:tcW w:w="418" w:type="pct"/>
                  <w:tcBorders>
                    <w:bottom w:val="single" w:sz="6" w:space="0" w:color="BFBFBF"/>
                  </w:tcBorders>
                  <w:vAlign w:val="bottom"/>
                </w:tcPr>
                <w:p w:rsidR="00DB2061" w:rsidRPr="00DB2061" w:rsidRDefault="00DB2061" w:rsidP="00DB2061">
                  <w:pPr>
                    <w:pStyle w:val="TableBodyText"/>
                  </w:pPr>
                  <w:r w:rsidRPr="00DB2061">
                    <w:t xml:space="preserve">  88.9</w:t>
                  </w:r>
                </w:p>
              </w:tc>
              <w:tc>
                <w:tcPr>
                  <w:tcW w:w="417" w:type="pct"/>
                  <w:tcBorders>
                    <w:bottom w:val="single" w:sz="6" w:space="0" w:color="BFBFBF"/>
                  </w:tcBorders>
                  <w:vAlign w:val="bottom"/>
                </w:tcPr>
                <w:p w:rsidR="00DB2061" w:rsidRPr="00DB2061" w:rsidRDefault="00DB2061" w:rsidP="00DB2061">
                  <w:pPr>
                    <w:pStyle w:val="TableBodyText"/>
                  </w:pPr>
                  <w:r w:rsidRPr="00DB2061">
                    <w:t xml:space="preserve">  86.2</w:t>
                  </w:r>
                </w:p>
              </w:tc>
              <w:tc>
                <w:tcPr>
                  <w:tcW w:w="418" w:type="pct"/>
                  <w:tcBorders>
                    <w:bottom w:val="single" w:sz="6" w:space="0" w:color="BFBFBF"/>
                  </w:tcBorders>
                  <w:vAlign w:val="bottom"/>
                </w:tcPr>
                <w:p w:rsidR="00DB2061" w:rsidRPr="00DB2061" w:rsidRDefault="00DB2061" w:rsidP="00DB2061">
                  <w:pPr>
                    <w:pStyle w:val="TableBodyText"/>
                  </w:pPr>
                  <w:r w:rsidRPr="00DB2061">
                    <w:t xml:space="preserve">  81.9</w:t>
                  </w:r>
                </w:p>
              </w:tc>
              <w:tc>
                <w:tcPr>
                  <w:tcW w:w="417" w:type="pct"/>
                  <w:tcBorders>
                    <w:bottom w:val="single" w:sz="6" w:space="0" w:color="BFBFBF"/>
                  </w:tcBorders>
                  <w:shd w:val="clear" w:color="auto" w:fill="auto"/>
                  <w:vAlign w:val="bottom"/>
                </w:tcPr>
                <w:p w:rsidR="00DB2061" w:rsidRPr="00DB2061" w:rsidRDefault="00DB2061" w:rsidP="00DB2061">
                  <w:pPr>
                    <w:pStyle w:val="TableBodyText"/>
                  </w:pPr>
                  <w:r w:rsidRPr="00DB2061">
                    <w:t xml:space="preserve">  94.2</w:t>
                  </w:r>
                </w:p>
              </w:tc>
              <w:tc>
                <w:tcPr>
                  <w:tcW w:w="421" w:type="pct"/>
                  <w:tcBorders>
                    <w:bottom w:val="single" w:sz="6" w:space="0" w:color="BFBFBF"/>
                  </w:tcBorders>
                  <w:shd w:val="clear" w:color="auto" w:fill="auto"/>
                  <w:vAlign w:val="bottom"/>
                </w:tcPr>
                <w:p w:rsidR="00DB2061" w:rsidRPr="00DB2061" w:rsidRDefault="00DB2061" w:rsidP="00DB2061">
                  <w:pPr>
                    <w:pStyle w:val="TableBodyText"/>
                  </w:pPr>
                  <w:r w:rsidRPr="00DB2061">
                    <w:t xml:space="preserve">  89.0</w:t>
                  </w:r>
                </w:p>
              </w:tc>
            </w:tr>
          </w:tbl>
          <w:p w:rsidR="00E055D1" w:rsidRDefault="00E055D1" w:rsidP="007D422B">
            <w:pPr>
              <w:pStyle w:val="Box"/>
            </w:pPr>
          </w:p>
        </w:tc>
      </w:tr>
      <w:tr w:rsidR="00E055D1" w:rsidTr="00C544B8">
        <w:trPr>
          <w:cantSplit/>
        </w:trPr>
        <w:tc>
          <w:tcPr>
            <w:tcW w:w="8771" w:type="dxa"/>
            <w:tcBorders>
              <w:top w:val="nil"/>
              <w:left w:val="nil"/>
              <w:bottom w:val="nil"/>
              <w:right w:val="nil"/>
            </w:tcBorders>
            <w:shd w:val="clear" w:color="auto" w:fill="auto"/>
          </w:tcPr>
          <w:p w:rsidR="00E055D1" w:rsidRDefault="00E055D1" w:rsidP="00AF6760">
            <w:pPr>
              <w:pStyle w:val="Source"/>
            </w:pPr>
            <w:r>
              <w:rPr>
                <w:i/>
              </w:rPr>
              <w:t>Source</w:t>
            </w:r>
            <w:r w:rsidRPr="00167F06">
              <w:t xml:space="preserve">: </w:t>
            </w:r>
            <w:r w:rsidR="009F0FB6" w:rsidRPr="009F0FB6">
              <w:t xml:space="preserve">ABS (unpublished) </w:t>
            </w:r>
            <w:r w:rsidR="009F0FB6" w:rsidRPr="0060526D">
              <w:rPr>
                <w:i/>
              </w:rPr>
              <w:t>Patient Experience Survey 201</w:t>
            </w:r>
            <w:r w:rsidR="00D217E8" w:rsidRPr="0060526D">
              <w:rPr>
                <w:i/>
              </w:rPr>
              <w:t>3</w:t>
            </w:r>
            <w:r w:rsidR="009F0FB6" w:rsidRPr="0060526D">
              <w:rPr>
                <w:i/>
              </w:rPr>
              <w:t>-1</w:t>
            </w:r>
            <w:r w:rsidR="00D217E8" w:rsidRPr="0060526D">
              <w:rPr>
                <w:i/>
              </w:rPr>
              <w:t>4</w:t>
            </w:r>
            <w:r w:rsidR="009F0FB6" w:rsidRPr="009F0FB6">
              <w:t>, tables 11A.</w:t>
            </w:r>
            <w:r w:rsidR="00BE1695">
              <w:t>7</w:t>
            </w:r>
            <w:r w:rsidR="00AF6760">
              <w:t>3</w:t>
            </w:r>
            <w:r w:rsidR="009F0FB6" w:rsidRPr="009F0FB6">
              <w:t>–</w:t>
            </w:r>
            <w:r w:rsidR="00BE1695">
              <w:t>8</w:t>
            </w:r>
            <w:r w:rsidR="00AF6760">
              <w:t>0</w:t>
            </w:r>
            <w:r w:rsidR="009F0FB6" w:rsidRPr="009F0FB6">
              <w:t>.</w:t>
            </w:r>
          </w:p>
        </w:tc>
      </w:tr>
      <w:tr w:rsidR="00E055D1" w:rsidTr="007D422B">
        <w:trPr>
          <w:cantSplit/>
        </w:trPr>
        <w:tc>
          <w:tcPr>
            <w:tcW w:w="8771" w:type="dxa"/>
            <w:tcBorders>
              <w:top w:val="nil"/>
              <w:left w:val="nil"/>
              <w:bottom w:val="single" w:sz="6" w:space="0" w:color="78A22F"/>
              <w:right w:val="nil"/>
            </w:tcBorders>
            <w:shd w:val="clear" w:color="auto" w:fill="auto"/>
          </w:tcPr>
          <w:p w:rsidR="00E055D1" w:rsidRDefault="00E055D1" w:rsidP="007D422B">
            <w:pPr>
              <w:pStyle w:val="Box"/>
              <w:spacing w:before="0" w:line="120" w:lineRule="exact"/>
            </w:pPr>
          </w:p>
        </w:tc>
      </w:tr>
      <w:tr w:rsidR="00E055D1" w:rsidRPr="000863A5" w:rsidTr="007D422B">
        <w:tc>
          <w:tcPr>
            <w:tcW w:w="8771" w:type="dxa"/>
            <w:tcBorders>
              <w:top w:val="single" w:sz="6" w:space="0" w:color="78A22F"/>
              <w:left w:val="nil"/>
              <w:bottom w:val="nil"/>
              <w:right w:val="nil"/>
            </w:tcBorders>
          </w:tcPr>
          <w:p w:rsidR="00E055D1" w:rsidRPr="00626D32" w:rsidRDefault="00E055D1" w:rsidP="007D422B">
            <w:pPr>
              <w:pStyle w:val="BoxSpaceBelow"/>
            </w:pPr>
          </w:p>
        </w:tc>
      </w:tr>
    </w:tbl>
    <w:p w:rsidR="00E055D1" w:rsidRDefault="00E055D1" w:rsidP="00E055D1">
      <w:pPr>
        <w:pStyle w:val="Heading4"/>
      </w:pPr>
      <w:r>
        <w:t xml:space="preserve">State and </w:t>
      </w:r>
      <w:r w:rsidR="00F91AC7">
        <w:t xml:space="preserve">Territory </w:t>
      </w:r>
      <w:r>
        <w:t>based survey data</w:t>
      </w:r>
    </w:p>
    <w:p w:rsidR="00E055D1" w:rsidRDefault="00E055D1" w:rsidP="00E055D1">
      <w:pPr>
        <w:pStyle w:val="BodyText"/>
      </w:pPr>
      <w:r>
        <w:t>State and Territory survey approaches differed markedly across jurisdictions, so it is not possible to compare results:</w:t>
      </w:r>
    </w:p>
    <w:p w:rsidR="00E055D1" w:rsidRPr="001F1EF5" w:rsidRDefault="00E055D1" w:rsidP="00E055D1">
      <w:pPr>
        <w:pStyle w:val="ListBullet"/>
      </w:pPr>
      <w:r w:rsidRPr="001F1EF5">
        <w:t>All jurisdictions provided details of surveys conducted in 201</w:t>
      </w:r>
      <w:r w:rsidR="001F1EF5" w:rsidRPr="001F1EF5">
        <w:t>3</w:t>
      </w:r>
      <w:r w:rsidRPr="001F1EF5">
        <w:t xml:space="preserve"> and/or 201</w:t>
      </w:r>
      <w:r w:rsidR="001F1EF5" w:rsidRPr="001F1EF5">
        <w:t>4</w:t>
      </w:r>
      <w:r w:rsidRPr="001F1EF5">
        <w:t xml:space="preserve">, with the exception of Tasmania and the NT, which did not update survey details for this Report. </w:t>
      </w:r>
    </w:p>
    <w:p w:rsidR="00E055D1" w:rsidRPr="001F1EF5" w:rsidRDefault="00E055D1" w:rsidP="00E055D1">
      <w:pPr>
        <w:pStyle w:val="ListBullet"/>
      </w:pPr>
      <w:r w:rsidRPr="001F1EF5">
        <w:t xml:space="preserve">The length of time that surveys were conducted varied </w:t>
      </w:r>
      <w:r w:rsidR="00F91AC7">
        <w:t>from a 12 month period to a two </w:t>
      </w:r>
      <w:r w:rsidRPr="001F1EF5">
        <w:t xml:space="preserve">month period. </w:t>
      </w:r>
    </w:p>
    <w:p w:rsidR="00E055D1" w:rsidRPr="001F1EF5" w:rsidRDefault="00E055D1" w:rsidP="00E055D1">
      <w:pPr>
        <w:pStyle w:val="ListBullet"/>
      </w:pPr>
      <w:r w:rsidRPr="001F1EF5">
        <w:t xml:space="preserve">Queensland, WA and SA used Computer Assisted Telephone Interviewing, while other jurisdictions used a combination of mail and internet surveys. </w:t>
      </w:r>
    </w:p>
    <w:p w:rsidR="00E055D1" w:rsidRPr="002163A8" w:rsidRDefault="00E055D1" w:rsidP="00E055D1">
      <w:pPr>
        <w:pStyle w:val="ListBullet"/>
      </w:pPr>
      <w:r w:rsidRPr="002163A8">
        <w:t>Most jurisdictions surveyed admitted and non-admitted patients. One jurisdiction surveyed emergency department</w:t>
      </w:r>
      <w:r w:rsidR="00F91AC7">
        <w:t xml:space="preserve"> patient</w:t>
      </w:r>
      <w:r w:rsidRPr="002163A8">
        <w:t xml:space="preserve">s only. </w:t>
      </w:r>
    </w:p>
    <w:p w:rsidR="00E055D1" w:rsidRPr="001F1EF5" w:rsidRDefault="00E055D1" w:rsidP="00E055D1">
      <w:pPr>
        <w:pStyle w:val="ListBullet"/>
      </w:pPr>
      <w:r w:rsidRPr="001F1EF5">
        <w:t xml:space="preserve">Sample sizes varied from </w:t>
      </w:r>
      <w:r w:rsidR="001F1EF5" w:rsidRPr="001F1EF5">
        <w:t xml:space="preserve">around </w:t>
      </w:r>
      <w:r w:rsidR="00F91AC7" w:rsidRPr="001F1EF5">
        <w:t xml:space="preserve">500 </w:t>
      </w:r>
      <w:r w:rsidRPr="001F1EF5">
        <w:t xml:space="preserve">to around </w:t>
      </w:r>
      <w:r w:rsidR="00F91AC7" w:rsidRPr="001F1EF5">
        <w:t>73</w:t>
      </w:r>
      <w:r w:rsidR="00F91AC7">
        <w:t> </w:t>
      </w:r>
      <w:r w:rsidR="00F91AC7" w:rsidRPr="001F1EF5">
        <w:t>000</w:t>
      </w:r>
      <w:r w:rsidR="00F91AC7">
        <w:t xml:space="preserve"> </w:t>
      </w:r>
      <w:r w:rsidRPr="001F1EF5">
        <w:t xml:space="preserve">patients. </w:t>
      </w:r>
    </w:p>
    <w:p w:rsidR="00E055D1" w:rsidRDefault="00E055D1" w:rsidP="00E055D1">
      <w:pPr>
        <w:pStyle w:val="BodyText"/>
      </w:pPr>
      <w:r>
        <w:lastRenderedPageBreak/>
        <w:t>More information on the survey methods and results are in tables 11A.</w:t>
      </w:r>
      <w:r w:rsidR="00BE1695">
        <w:t>8</w:t>
      </w:r>
      <w:r w:rsidR="00AF6760">
        <w:t>1</w:t>
      </w:r>
      <w:r>
        <w:t>–</w:t>
      </w:r>
      <w:r w:rsidR="00AF6760">
        <w:t>88</w:t>
      </w:r>
      <w:r w:rsidR="00D1090F">
        <w:t>.</w:t>
      </w:r>
      <w:r>
        <w:t xml:space="preserve"> </w:t>
      </w:r>
    </w:p>
    <w:p w:rsidR="00E055D1" w:rsidRDefault="00E055D1" w:rsidP="00E055D1">
      <w:pPr>
        <w:pStyle w:val="BodyText"/>
      </w:pPr>
      <w:r>
        <w:t>All jurisdictions reported that they use survey results in some way to improve services. All jurisdictions provide survey results or feedback to hospitals. Most jurisdictions have a formalised approach to prioritising the areas in need of improvement identified by the surveys and then implementing quality improvements. More information on how survey results are used to improve services are in tables 11A.</w:t>
      </w:r>
      <w:r w:rsidR="00BE1695">
        <w:t>8</w:t>
      </w:r>
      <w:r w:rsidR="00AF6760">
        <w:t>1</w:t>
      </w:r>
      <w:r>
        <w:t>–</w:t>
      </w:r>
      <w:r w:rsidR="00AF6760">
        <w:t>88</w:t>
      </w:r>
      <w:r>
        <w:t>.</w:t>
      </w:r>
    </w:p>
    <w:p w:rsidR="00E055D1" w:rsidRDefault="00E055D1" w:rsidP="00E055D1">
      <w:pPr>
        <w:pStyle w:val="Heading4"/>
      </w:pPr>
      <w:r>
        <w:t>Sentinel events</w:t>
      </w:r>
    </w:p>
    <w:p w:rsidR="00E055D1" w:rsidRDefault="00E055D1" w:rsidP="00E055D1">
      <w:pPr>
        <w:pStyle w:val="BodyText"/>
      </w:pPr>
      <w:r>
        <w:t>‘Sentinel events’ is an indicator of governments’ objective to deliver public hospital services that are safe and of high quality (box 11.15). Sentinel events can indicate hospital system and process deficiencies that compromise quality and safety. Sentinel events are a subset of adverse events that result in death or very serious harm to the patient. Adverse events are reported elsewhere in this chapter as an output indicator.</w:t>
      </w:r>
    </w:p>
    <w:p w:rsidR="00C544B8" w:rsidRDefault="00C544B8" w:rsidP="00C544B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544B8" w:rsidTr="004E023B">
        <w:tc>
          <w:tcPr>
            <w:tcW w:w="8771" w:type="dxa"/>
            <w:tcBorders>
              <w:top w:val="single" w:sz="6" w:space="0" w:color="78A22F"/>
              <w:left w:val="nil"/>
              <w:bottom w:val="nil"/>
              <w:right w:val="nil"/>
            </w:tcBorders>
            <w:shd w:val="clear" w:color="auto" w:fill="F2F2F2"/>
          </w:tcPr>
          <w:p w:rsidR="00C544B8" w:rsidRDefault="00C544B8" w:rsidP="004E023B">
            <w:pPr>
              <w:pStyle w:val="BoxTitle"/>
            </w:pPr>
            <w:r>
              <w:rPr>
                <w:b w:val="0"/>
              </w:rPr>
              <w:t>Box 11.</w:t>
            </w:r>
            <w:r>
              <w:rPr>
                <w:b w:val="0"/>
                <w:noProof/>
              </w:rPr>
              <w:t>15</w:t>
            </w:r>
            <w:r>
              <w:tab/>
            </w:r>
            <w:r w:rsidRPr="00E055D1">
              <w:t>Sentinel events</w:t>
            </w:r>
          </w:p>
        </w:tc>
      </w:tr>
      <w:tr w:rsidR="00C544B8" w:rsidTr="004E023B">
        <w:trPr>
          <w:cantSplit/>
        </w:trPr>
        <w:tc>
          <w:tcPr>
            <w:tcW w:w="8771" w:type="dxa"/>
            <w:tcBorders>
              <w:top w:val="nil"/>
              <w:left w:val="nil"/>
              <w:bottom w:val="nil"/>
              <w:right w:val="nil"/>
            </w:tcBorders>
            <w:shd w:val="clear" w:color="auto" w:fill="F2F2F2"/>
          </w:tcPr>
          <w:p w:rsidR="00C544B8" w:rsidRDefault="00C544B8" w:rsidP="004E023B">
            <w:pPr>
              <w:pStyle w:val="Box"/>
            </w:pPr>
            <w:r>
              <w:t>‘Sentinel events’ is defined as the number of reported adverse events that occur because of hospital system and process deficiencies, and which result in the death of, or serious harm to, a patient. Sentinel events occur relatively infrequently and are independent of a patient’s condition. Sentinel events have the potential to seriously undermine public confidence in the healthcare system.</w:t>
            </w:r>
          </w:p>
          <w:p w:rsidR="00C544B8" w:rsidRDefault="00C544B8" w:rsidP="004E023B">
            <w:pPr>
              <w:pStyle w:val="Box"/>
            </w:pPr>
            <w:r>
              <w:t xml:space="preserve">Australian health ministers have agreed on a national core set of sentinel events for which all public hospitals are required to provide data. The eight nationally agreed core sentinel events are: </w:t>
            </w:r>
          </w:p>
          <w:p w:rsidR="00C544B8" w:rsidRDefault="00C544B8" w:rsidP="004E023B">
            <w:pPr>
              <w:pStyle w:val="BoxListNumber"/>
            </w:pPr>
            <w:r>
              <w:t>Procedures involving the wrong patient or body part resulting in death or major permanent loss of function.</w:t>
            </w:r>
          </w:p>
          <w:p w:rsidR="00C544B8" w:rsidRDefault="00C544B8" w:rsidP="004E023B">
            <w:pPr>
              <w:pStyle w:val="BoxListNumber"/>
            </w:pPr>
            <w:r>
              <w:t>Suicide of a patient in an inpatient unit.</w:t>
            </w:r>
          </w:p>
          <w:p w:rsidR="00C544B8" w:rsidRDefault="00C544B8" w:rsidP="004E023B">
            <w:pPr>
              <w:pStyle w:val="BoxListNumber"/>
            </w:pPr>
            <w:r>
              <w:t>Retained instruments or other material after surgery requiring re-operation or further surgical procedure.</w:t>
            </w:r>
          </w:p>
          <w:p w:rsidR="00C544B8" w:rsidRDefault="00C544B8" w:rsidP="004E023B">
            <w:pPr>
              <w:pStyle w:val="BoxListNumber"/>
            </w:pPr>
            <w:r>
              <w:t>Intravascular gas embolism resulting in death or neurological damage.</w:t>
            </w:r>
          </w:p>
          <w:p w:rsidR="00C544B8" w:rsidRDefault="00C544B8" w:rsidP="004E023B">
            <w:pPr>
              <w:pStyle w:val="BoxListNumber"/>
            </w:pPr>
            <w:r>
              <w:t>Haemolytic blood transfusion reaction resulting from ABO (blood group) incompatibility.</w:t>
            </w:r>
          </w:p>
          <w:p w:rsidR="00C544B8" w:rsidRDefault="00C544B8" w:rsidP="004E023B">
            <w:pPr>
              <w:pStyle w:val="BoxListNumber"/>
            </w:pPr>
            <w:r>
              <w:t>Medication error leading to the death of a patient reasonably believed to be due to incorrect administration of drugs.</w:t>
            </w:r>
          </w:p>
          <w:p w:rsidR="00C544B8" w:rsidRDefault="00C544B8" w:rsidP="004E023B">
            <w:pPr>
              <w:pStyle w:val="BoxListNumber"/>
            </w:pPr>
            <w:r w:rsidRPr="0083330D">
              <w:t>Maternal death associated with pregnancy, birth or the puerperium.</w:t>
            </w:r>
          </w:p>
          <w:p w:rsidR="00C544B8" w:rsidRDefault="00C544B8" w:rsidP="004E023B">
            <w:pPr>
              <w:pStyle w:val="BoxListNumber"/>
            </w:pPr>
            <w:r>
              <w:t>Infant discharged to the wrong family.</w:t>
            </w:r>
          </w:p>
          <w:p w:rsidR="00C544B8" w:rsidRDefault="00C544B8" w:rsidP="004E023B">
            <w:pPr>
              <w:pStyle w:val="Box"/>
            </w:pPr>
            <w:r>
              <w:t xml:space="preserve">A low or decreasing number of sentinel events is desirable. </w:t>
            </w:r>
          </w:p>
          <w:p w:rsidR="00C544B8" w:rsidRPr="00886C7D" w:rsidRDefault="00C544B8" w:rsidP="00D107B6">
            <w:pPr>
              <w:pStyle w:val="Continued"/>
              <w:rPr>
                <w:b/>
              </w:rPr>
            </w:pPr>
            <w:r w:rsidRPr="00D107B6">
              <w:t>(Continued next page)</w:t>
            </w:r>
          </w:p>
        </w:tc>
      </w:tr>
      <w:tr w:rsidR="00C544B8" w:rsidTr="004E023B">
        <w:trPr>
          <w:cantSplit/>
        </w:trPr>
        <w:tc>
          <w:tcPr>
            <w:tcW w:w="8771" w:type="dxa"/>
            <w:tcBorders>
              <w:top w:val="nil"/>
              <w:left w:val="nil"/>
              <w:bottom w:val="single" w:sz="6" w:space="0" w:color="78A22F"/>
              <w:right w:val="nil"/>
            </w:tcBorders>
            <w:shd w:val="clear" w:color="auto" w:fill="F2F2F2"/>
          </w:tcPr>
          <w:p w:rsidR="00C544B8" w:rsidRDefault="00C544B8" w:rsidP="004E023B">
            <w:pPr>
              <w:pStyle w:val="Box"/>
              <w:spacing w:before="0" w:line="120" w:lineRule="exact"/>
            </w:pPr>
          </w:p>
        </w:tc>
      </w:tr>
      <w:tr w:rsidR="00C544B8" w:rsidRPr="000863A5" w:rsidTr="004E023B">
        <w:tc>
          <w:tcPr>
            <w:tcW w:w="8771" w:type="dxa"/>
            <w:tcBorders>
              <w:top w:val="single" w:sz="6" w:space="0" w:color="78A22F"/>
              <w:left w:val="nil"/>
              <w:bottom w:val="nil"/>
              <w:right w:val="nil"/>
            </w:tcBorders>
          </w:tcPr>
          <w:p w:rsidR="00C544B8" w:rsidRPr="00626D32" w:rsidRDefault="00C544B8" w:rsidP="004E023B">
            <w:pPr>
              <w:pStyle w:val="BoxSpaceBelow"/>
            </w:pPr>
          </w:p>
        </w:tc>
      </w:tr>
    </w:tbl>
    <w:p w:rsidR="00E055D1" w:rsidRDefault="00E055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055D1" w:rsidTr="007D422B">
        <w:tc>
          <w:tcPr>
            <w:tcW w:w="8771" w:type="dxa"/>
            <w:tcBorders>
              <w:top w:val="single" w:sz="6" w:space="0" w:color="78A22F"/>
              <w:left w:val="nil"/>
              <w:bottom w:val="nil"/>
              <w:right w:val="nil"/>
            </w:tcBorders>
            <w:shd w:val="clear" w:color="auto" w:fill="F2F2F2"/>
          </w:tcPr>
          <w:p w:rsidR="00E055D1" w:rsidRDefault="00E055D1" w:rsidP="00C544B8">
            <w:pPr>
              <w:pStyle w:val="BoxTitle"/>
            </w:pPr>
            <w:r>
              <w:rPr>
                <w:b w:val="0"/>
              </w:rPr>
              <w:t>Box 11.</w:t>
            </w:r>
            <w:r w:rsidR="00C544B8">
              <w:rPr>
                <w:b w:val="0"/>
              </w:rPr>
              <w:t>15</w:t>
            </w:r>
            <w:r>
              <w:tab/>
            </w:r>
            <w:r w:rsidR="00C544B8" w:rsidRPr="00C544B8">
              <w:rPr>
                <w:sz w:val="18"/>
                <w:szCs w:val="18"/>
              </w:rPr>
              <w:t>(continued)</w:t>
            </w:r>
          </w:p>
        </w:tc>
      </w:tr>
      <w:tr w:rsidR="00E055D1" w:rsidTr="007D422B">
        <w:trPr>
          <w:cantSplit/>
        </w:trPr>
        <w:tc>
          <w:tcPr>
            <w:tcW w:w="8771" w:type="dxa"/>
            <w:tcBorders>
              <w:top w:val="nil"/>
              <w:left w:val="nil"/>
              <w:bottom w:val="nil"/>
              <w:right w:val="nil"/>
            </w:tcBorders>
            <w:shd w:val="clear" w:color="auto" w:fill="F2F2F2"/>
          </w:tcPr>
          <w:p w:rsidR="00E055D1" w:rsidRDefault="00E055D1" w:rsidP="00E055D1">
            <w:pPr>
              <w:pStyle w:val="Box"/>
            </w:pPr>
            <w:r>
              <w:t>Over time, an increase in the number of sentinel events reported might reflect improvements in incident reporting mechanisms and organisational cultural change, rather than an increase in the frequency of such events. However, trends need to be monitored to establish whether this is the underlying reason.</w:t>
            </w:r>
          </w:p>
          <w:p w:rsidR="00E055D1" w:rsidRDefault="00E055D1" w:rsidP="00E055D1">
            <w:pPr>
              <w:pStyle w:val="Box"/>
            </w:pPr>
            <w:r>
              <w:t>Data reported for this indicator are:</w:t>
            </w:r>
          </w:p>
          <w:p w:rsidR="00E055D1" w:rsidRDefault="00E055D1" w:rsidP="00886C7D">
            <w:pPr>
              <w:pStyle w:val="BoxListBullet"/>
            </w:pPr>
            <w:r>
              <w:t>comparable (subject to caveats) within jurisdictions over time but are not comparable across jurisdictions</w:t>
            </w:r>
          </w:p>
          <w:p w:rsidR="00E055D1" w:rsidRDefault="00E055D1" w:rsidP="00886C7D">
            <w:pPr>
              <w:pStyle w:val="BoxListBullet"/>
            </w:pPr>
            <w:r>
              <w:t>complete (subject to caveats) for the current reporting period. All required 201</w:t>
            </w:r>
            <w:r w:rsidR="00C21C9F">
              <w:t>2-</w:t>
            </w:r>
            <w:r>
              <w:t>1</w:t>
            </w:r>
            <w:r w:rsidR="00C21C9F">
              <w:t>3</w:t>
            </w:r>
            <w:r>
              <w:t xml:space="preserve"> data are available for all jurisdictions.</w:t>
            </w:r>
          </w:p>
          <w:p w:rsidR="00E055D1" w:rsidRPr="00886C7D" w:rsidRDefault="002A22DE" w:rsidP="002A22DE">
            <w:pPr>
              <w:pStyle w:val="Box"/>
              <w:rPr>
                <w:b/>
              </w:rPr>
            </w:pPr>
            <w:r w:rsidRPr="002A22DE">
              <w:t>Data quality information for this indicator is under development.</w:t>
            </w:r>
          </w:p>
        </w:tc>
      </w:tr>
      <w:tr w:rsidR="00E055D1" w:rsidTr="007D422B">
        <w:trPr>
          <w:cantSplit/>
        </w:trPr>
        <w:tc>
          <w:tcPr>
            <w:tcW w:w="8771" w:type="dxa"/>
            <w:tcBorders>
              <w:top w:val="nil"/>
              <w:left w:val="nil"/>
              <w:bottom w:val="single" w:sz="6" w:space="0" w:color="78A22F"/>
              <w:right w:val="nil"/>
            </w:tcBorders>
            <w:shd w:val="clear" w:color="auto" w:fill="F2F2F2"/>
          </w:tcPr>
          <w:p w:rsidR="00E055D1" w:rsidRDefault="00E055D1">
            <w:pPr>
              <w:pStyle w:val="Box"/>
              <w:spacing w:before="0" w:line="120" w:lineRule="exact"/>
            </w:pPr>
          </w:p>
        </w:tc>
      </w:tr>
      <w:tr w:rsidR="00E055D1" w:rsidRPr="000863A5" w:rsidTr="007D422B">
        <w:tc>
          <w:tcPr>
            <w:tcW w:w="8771" w:type="dxa"/>
            <w:tcBorders>
              <w:top w:val="single" w:sz="6" w:space="0" w:color="78A22F"/>
              <w:left w:val="nil"/>
              <w:bottom w:val="nil"/>
              <w:right w:val="nil"/>
            </w:tcBorders>
          </w:tcPr>
          <w:p w:rsidR="00E055D1" w:rsidRPr="00626D32" w:rsidRDefault="00E055D1" w:rsidP="007D422B">
            <w:pPr>
              <w:pStyle w:val="BoxSpaceBelow"/>
            </w:pPr>
          </w:p>
        </w:tc>
      </w:tr>
    </w:tbl>
    <w:p w:rsidR="003759EF" w:rsidRDefault="003759EF" w:rsidP="003759EF">
      <w:pPr>
        <w:pStyle w:val="BodyText"/>
      </w:pPr>
      <w:r>
        <w:t>Sentinel event programs have been implemented by all State and Territory governments. The purpose of these programs is to facilitate a safe environment for patients by reducing the frequency of these events. The programs are not punitive, and are designed to facilitate self reporting of errors so that the underlying causes of the events can be examined, and action taken to reduce the risk of these events re</w:t>
      </w:r>
      <w:r w:rsidR="0059330E">
        <w:t>-</w:t>
      </w:r>
      <w:r>
        <w:t xml:space="preserve">occurring. </w:t>
      </w:r>
    </w:p>
    <w:p w:rsidR="003759EF" w:rsidRDefault="003759EF" w:rsidP="003759EF">
      <w:pPr>
        <w:pStyle w:val="BodyText"/>
      </w:pPr>
      <w:r>
        <w:t>In 2007</w:t>
      </w:r>
      <w:r w:rsidR="0059330E">
        <w:t>,</w:t>
      </w:r>
      <w:r>
        <w:t xml:space="preserve"> the AIHW, in conjunction with the ACSQHC, published a report that included nationa</w:t>
      </w:r>
      <w:r w:rsidR="002C6F81">
        <w:t>l sentinel events data for 2004-</w:t>
      </w:r>
      <w:r>
        <w:t>05 (AIHW and ACSQHC 2007). The report identified that reporting practices differ across jurisdictions and, as a result, the data are not comparable across jurisdictions.</w:t>
      </w:r>
    </w:p>
    <w:p w:rsidR="00973C53" w:rsidRDefault="00973C53" w:rsidP="0083330D">
      <w:pPr>
        <w:pStyle w:val="BodyText"/>
      </w:pPr>
      <w:r>
        <w:t>In this Report edition the sentinel event classification ‘</w:t>
      </w:r>
      <w:r w:rsidRPr="00973C53">
        <w:t>maternal death or serious morbidity associated with labour or delivery</w:t>
      </w:r>
      <w:r>
        <w:t>’ used in previous years has been changed to ‘</w:t>
      </w:r>
      <w:r w:rsidRPr="00973C53">
        <w:t>maternal deaths associated with pregnancy, birth or the puerperium</w:t>
      </w:r>
      <w:r>
        <w:t>’ to improve data comparability across states and territories. WA</w:t>
      </w:r>
      <w:r w:rsidR="0060526D">
        <w:t>, Victoria and the ACT</w:t>
      </w:r>
      <w:r>
        <w:t xml:space="preserve"> reported data using the previous definition for the period </w:t>
      </w:r>
      <w:r w:rsidRPr="00973C53">
        <w:t>2008-09 to 2012-13</w:t>
      </w:r>
      <w:r>
        <w:t>.</w:t>
      </w:r>
    </w:p>
    <w:p w:rsidR="003759EF" w:rsidRDefault="003759EF" w:rsidP="003759EF">
      <w:pPr>
        <w:pStyle w:val="BodyText"/>
      </w:pPr>
      <w:r>
        <w:t>Numbers of sentinel events for 201</w:t>
      </w:r>
      <w:r w:rsidR="002C6F81">
        <w:t>2</w:t>
      </w:r>
      <w:r>
        <w:t>-1</w:t>
      </w:r>
      <w:r w:rsidR="002C6F81">
        <w:t>3</w:t>
      </w:r>
      <w:r>
        <w:t xml:space="preserve"> are reported below. Data for 200</w:t>
      </w:r>
      <w:r w:rsidR="002C6F81">
        <w:t>8</w:t>
      </w:r>
      <w:r>
        <w:t>-0</w:t>
      </w:r>
      <w:r w:rsidR="002C6F81">
        <w:t>9</w:t>
      </w:r>
      <w:r>
        <w:t xml:space="preserve"> to 201</w:t>
      </w:r>
      <w:r w:rsidR="004E4BA3">
        <w:t>2</w:t>
      </w:r>
      <w:r>
        <w:t>-1</w:t>
      </w:r>
      <w:r w:rsidR="004E4BA3">
        <w:t>3</w:t>
      </w:r>
      <w:r>
        <w:t xml:space="preserve"> are reported in tables 11A.</w:t>
      </w:r>
      <w:r w:rsidR="00AF6760">
        <w:t>89</w:t>
      </w:r>
      <w:r w:rsidR="004E4BA3">
        <w:t>–</w:t>
      </w:r>
      <w:r>
        <w:t>9</w:t>
      </w:r>
      <w:r w:rsidR="00AF6760">
        <w:t>6</w:t>
      </w:r>
      <w:r>
        <w:t>. Australian totals are reported in table 11A.9</w:t>
      </w:r>
      <w:r w:rsidR="00AF6760">
        <w:t>7</w:t>
      </w:r>
      <w:r>
        <w:t>. As larger states and territories will tend to have more sentinel events than smaller jurisdictions, the numbers of separations and individual occasions of service are also presented to provide context.</w:t>
      </w:r>
    </w:p>
    <w:p w:rsidR="003759EF" w:rsidRDefault="003759EF" w:rsidP="003759EF">
      <w:pPr>
        <w:pStyle w:val="BodyText"/>
      </w:pPr>
      <w:r>
        <w:t>In NSW public hospitals in 201</w:t>
      </w:r>
      <w:r w:rsidR="002C6F81">
        <w:t>2</w:t>
      </w:r>
      <w:r>
        <w:t>-1</w:t>
      </w:r>
      <w:r w:rsidR="002C6F81">
        <w:t>3</w:t>
      </w:r>
      <w:r>
        <w:t xml:space="preserve">, there was a total </w:t>
      </w:r>
      <w:r w:rsidRPr="00D22CE9">
        <w:t>of 3</w:t>
      </w:r>
      <w:r w:rsidR="00F22632" w:rsidRPr="00D22CE9">
        <w:t>8</w:t>
      </w:r>
      <w:r w:rsidRPr="00D22CE9">
        <w:t xml:space="preserve"> sentinel</w:t>
      </w:r>
      <w:r>
        <w:t xml:space="preserve"> events (table 11A.</w:t>
      </w:r>
      <w:r w:rsidR="00AF6760">
        <w:t>89</w:t>
      </w:r>
      <w:r>
        <w:t>) compared to around 1.7 million separations (table 11A.6) and around 24.0 million individual occasions of service (table 11A.1</w:t>
      </w:r>
      <w:r w:rsidR="00BE1695">
        <w:t>7</w:t>
      </w:r>
      <w:r>
        <w:t>). The sentinel events comprised:</w:t>
      </w:r>
    </w:p>
    <w:p w:rsidR="003759EF" w:rsidRDefault="004E4BA3" w:rsidP="003759EF">
      <w:pPr>
        <w:pStyle w:val="ListBullet"/>
      </w:pPr>
      <w:r>
        <w:t>1</w:t>
      </w:r>
      <w:r w:rsidR="002C6F81">
        <w:t>5</w:t>
      </w:r>
      <w:r w:rsidR="003759EF">
        <w:t xml:space="preserve"> suicides of a patient in an inpatient unit</w:t>
      </w:r>
    </w:p>
    <w:p w:rsidR="003759EF" w:rsidRDefault="003759EF" w:rsidP="003759EF">
      <w:pPr>
        <w:pStyle w:val="ListBullet"/>
      </w:pPr>
      <w:r>
        <w:t>1</w:t>
      </w:r>
      <w:r w:rsidR="002C6F81">
        <w:t>3</w:t>
      </w:r>
      <w:r>
        <w:t xml:space="preserve"> retained instruments or other material after surgery requiring re-operation or further surgical procedure</w:t>
      </w:r>
    </w:p>
    <w:p w:rsidR="0017457C" w:rsidRDefault="0017457C" w:rsidP="0017457C">
      <w:pPr>
        <w:pStyle w:val="ListBullet"/>
      </w:pPr>
      <w:r>
        <w:t xml:space="preserve">2 </w:t>
      </w:r>
      <w:r w:rsidRPr="0017457C">
        <w:t>intravascular gas embolism</w:t>
      </w:r>
      <w:r>
        <w:t>s</w:t>
      </w:r>
      <w:r w:rsidRPr="0017457C">
        <w:t xml:space="preserve"> resulting in death or neurological damage</w:t>
      </w:r>
    </w:p>
    <w:p w:rsidR="003759EF" w:rsidRDefault="0017457C" w:rsidP="003759EF">
      <w:pPr>
        <w:pStyle w:val="ListBullet"/>
      </w:pPr>
      <w:r>
        <w:lastRenderedPageBreak/>
        <w:t>1</w:t>
      </w:r>
      <w:r w:rsidR="003759EF">
        <w:t xml:space="preserve"> haemolytic blood transfusion reaction resulting from ABO (blood group) incompatibility</w:t>
      </w:r>
    </w:p>
    <w:p w:rsidR="003759EF" w:rsidRDefault="0017457C" w:rsidP="003759EF">
      <w:pPr>
        <w:pStyle w:val="ListBullet"/>
      </w:pPr>
      <w:r>
        <w:t>2</w:t>
      </w:r>
      <w:r w:rsidR="003759EF">
        <w:t xml:space="preserve"> medication error</w:t>
      </w:r>
      <w:r w:rsidR="006A0A57">
        <w:t>s</w:t>
      </w:r>
      <w:r w:rsidR="003759EF">
        <w:t xml:space="preserve"> leading to the death of a patient reasonably believed to be due to incorrect administration of drugs</w:t>
      </w:r>
    </w:p>
    <w:p w:rsidR="003759EF" w:rsidRDefault="00B62FDA" w:rsidP="00D22CE9">
      <w:pPr>
        <w:pStyle w:val="ListBullet"/>
      </w:pPr>
      <w:r w:rsidRPr="00B62FDA">
        <w:t>5</w:t>
      </w:r>
      <w:r w:rsidR="003759EF" w:rsidRPr="00B62FDA">
        <w:t xml:space="preserve"> </w:t>
      </w:r>
      <w:r w:rsidR="00973C53" w:rsidRPr="0083330D">
        <w:t xml:space="preserve">maternal </w:t>
      </w:r>
      <w:r w:rsidR="00673C30" w:rsidRPr="0083330D">
        <w:t>deaths associated with pregnancy, birth or the puerperium</w:t>
      </w:r>
      <w:r>
        <w:t>. This figure is for calendar year 2012 rather than financial year 2012-13</w:t>
      </w:r>
      <w:r w:rsidR="00673C30">
        <w:t xml:space="preserve"> </w:t>
      </w:r>
      <w:r w:rsidR="00BE1695">
        <w:t>(table </w:t>
      </w:r>
      <w:r w:rsidR="003759EF">
        <w:t>11A.</w:t>
      </w:r>
      <w:r w:rsidR="00AF6760">
        <w:t>89</w:t>
      </w:r>
      <w:r w:rsidR="003759EF">
        <w:t>).</w:t>
      </w:r>
    </w:p>
    <w:p w:rsidR="003759EF" w:rsidRDefault="003759EF" w:rsidP="00D22CE9">
      <w:pPr>
        <w:pStyle w:val="BodyText"/>
      </w:pPr>
      <w:r>
        <w:t>In Victorian public hospitals in 201</w:t>
      </w:r>
      <w:r w:rsidR="002C6F81">
        <w:t>2</w:t>
      </w:r>
      <w:r>
        <w:t>-1</w:t>
      </w:r>
      <w:r w:rsidR="002C6F81">
        <w:t>3</w:t>
      </w:r>
      <w:r>
        <w:t xml:space="preserve">, there was a total of </w:t>
      </w:r>
      <w:r w:rsidR="002C6F81">
        <w:t>17</w:t>
      </w:r>
      <w:r w:rsidR="004E4BA3">
        <w:t xml:space="preserve"> sentinel events (table </w:t>
      </w:r>
      <w:r>
        <w:t>11A.</w:t>
      </w:r>
      <w:r w:rsidR="00BE1695">
        <w:t>9</w:t>
      </w:r>
      <w:r w:rsidR="00AF6760">
        <w:t>0</w:t>
      </w:r>
      <w:r>
        <w:t>) compared to around 1.</w:t>
      </w:r>
      <w:r w:rsidR="00D339ED">
        <w:t>4</w:t>
      </w:r>
      <w:r>
        <w:t xml:space="preserve"> million separations (table 11A.6) and around 7.</w:t>
      </w:r>
      <w:r w:rsidR="008B102A">
        <w:t>9</w:t>
      </w:r>
      <w:r w:rsidR="004E4BA3">
        <w:t> </w:t>
      </w:r>
      <w:r>
        <w:t>million individual occasions of service (table 11A.1</w:t>
      </w:r>
      <w:r w:rsidR="00BE1695">
        <w:t>7</w:t>
      </w:r>
      <w:r>
        <w:t>). The sentinel events comprised:</w:t>
      </w:r>
    </w:p>
    <w:p w:rsidR="003759EF" w:rsidRDefault="002C6F81" w:rsidP="00D22CE9">
      <w:pPr>
        <w:pStyle w:val="ListBullet"/>
      </w:pPr>
      <w:r>
        <w:t>9</w:t>
      </w:r>
      <w:r w:rsidR="003759EF">
        <w:t xml:space="preserve"> suicides of a patient in an inpatient unit</w:t>
      </w:r>
    </w:p>
    <w:p w:rsidR="003759EF" w:rsidRDefault="002C6F81" w:rsidP="00D22CE9">
      <w:pPr>
        <w:pStyle w:val="ListBullet"/>
      </w:pPr>
      <w:r>
        <w:t>6</w:t>
      </w:r>
      <w:r w:rsidR="003759EF">
        <w:t xml:space="preserve"> retained instruments or other material after surgery requiring re-operation or further surgical procedure</w:t>
      </w:r>
    </w:p>
    <w:p w:rsidR="002C6F81" w:rsidRDefault="002C6F81" w:rsidP="00D22CE9">
      <w:pPr>
        <w:pStyle w:val="ListBullet"/>
      </w:pPr>
      <w:r>
        <w:t>1</w:t>
      </w:r>
      <w:r w:rsidR="003759EF">
        <w:t xml:space="preserve"> medication error leading to the death of a patient reasonably believed to be due to incorrect administration of drugs </w:t>
      </w:r>
    </w:p>
    <w:p w:rsidR="003759EF" w:rsidRPr="00D22CE9" w:rsidRDefault="00BA5842" w:rsidP="00D22CE9">
      <w:pPr>
        <w:pStyle w:val="ListBullet"/>
      </w:pPr>
      <w:r w:rsidRPr="00D22CE9">
        <w:t>1</w:t>
      </w:r>
      <w:r w:rsidR="002C6F81" w:rsidRPr="00D22CE9">
        <w:t xml:space="preserve"> </w:t>
      </w:r>
      <w:r w:rsidR="007625BC" w:rsidRPr="00D22CE9">
        <w:t xml:space="preserve">maternal </w:t>
      </w:r>
      <w:r w:rsidR="00673C30" w:rsidRPr="00D22CE9">
        <w:t>death</w:t>
      </w:r>
      <w:r w:rsidRPr="00D22CE9">
        <w:t xml:space="preserve"> or serious morbidity associated with labour or delivery</w:t>
      </w:r>
      <w:r w:rsidR="002C6F81" w:rsidRPr="00D22CE9">
        <w:t xml:space="preserve"> </w:t>
      </w:r>
      <w:r w:rsidR="00897099" w:rsidRPr="00D22CE9">
        <w:t>(table </w:t>
      </w:r>
      <w:r w:rsidR="003759EF" w:rsidRPr="00D22CE9">
        <w:t>11A.</w:t>
      </w:r>
      <w:r w:rsidR="00BE1695" w:rsidRPr="00D22CE9">
        <w:t>9</w:t>
      </w:r>
      <w:r w:rsidR="00AF6760" w:rsidRPr="00D22CE9">
        <w:t>0</w:t>
      </w:r>
      <w:r w:rsidR="003759EF" w:rsidRPr="00D22CE9">
        <w:t>).</w:t>
      </w:r>
      <w:r w:rsidRPr="00D22CE9">
        <w:rPr>
          <w:rStyle w:val="FootnoteReference"/>
        </w:rPr>
        <w:footnoteReference w:id="1"/>
      </w:r>
    </w:p>
    <w:p w:rsidR="003759EF" w:rsidRDefault="003759EF" w:rsidP="003759EF">
      <w:pPr>
        <w:pStyle w:val="BodyText"/>
      </w:pPr>
      <w:r>
        <w:t>In Queensland public hospitals in 201</w:t>
      </w:r>
      <w:r w:rsidR="002C6F81">
        <w:t>2</w:t>
      </w:r>
      <w:r>
        <w:t>-1</w:t>
      </w:r>
      <w:r w:rsidR="002C6F81">
        <w:t>3</w:t>
      </w:r>
      <w:r>
        <w:t xml:space="preserve">, there was a total of </w:t>
      </w:r>
      <w:r w:rsidR="00F22632" w:rsidRPr="00D1090F">
        <w:t>7</w:t>
      </w:r>
      <w:r w:rsidR="004E4BA3">
        <w:t xml:space="preserve"> sentinel events (table </w:t>
      </w:r>
      <w:r>
        <w:t>11A.</w:t>
      </w:r>
      <w:r w:rsidR="00BE1695">
        <w:t>9</w:t>
      </w:r>
      <w:r w:rsidR="00AF6760">
        <w:t>1</w:t>
      </w:r>
      <w:r>
        <w:t xml:space="preserve">) compared to around 1.0 million separations (table 11A.6) and around </w:t>
      </w:r>
      <w:r w:rsidR="008B102A">
        <w:t>10.8</w:t>
      </w:r>
      <w:r w:rsidR="004E4BA3">
        <w:t> </w:t>
      </w:r>
      <w:r>
        <w:t>million individual occasions of service (table 11A.1</w:t>
      </w:r>
      <w:r w:rsidR="00BE1695">
        <w:t>7</w:t>
      </w:r>
      <w:r>
        <w:t>). The sentinel events comprised:</w:t>
      </w:r>
    </w:p>
    <w:p w:rsidR="003759EF" w:rsidRDefault="002C6F81" w:rsidP="003759EF">
      <w:pPr>
        <w:pStyle w:val="ListBullet"/>
      </w:pPr>
      <w:r>
        <w:t>2</w:t>
      </w:r>
      <w:r w:rsidR="003759EF">
        <w:t xml:space="preserve"> suicide</w:t>
      </w:r>
      <w:r>
        <w:t>s</w:t>
      </w:r>
      <w:r w:rsidR="003759EF">
        <w:t xml:space="preserve"> of a patient in an inpatient unit</w:t>
      </w:r>
    </w:p>
    <w:p w:rsidR="003759EF" w:rsidRDefault="002C6F81" w:rsidP="003759EF">
      <w:pPr>
        <w:pStyle w:val="ListBullet"/>
      </w:pPr>
      <w:r>
        <w:t>4</w:t>
      </w:r>
      <w:r w:rsidR="003759EF">
        <w:t xml:space="preserve"> retained instruments or other material after surgery requiring re-operation or further surgical procedure</w:t>
      </w:r>
    </w:p>
    <w:p w:rsidR="003759EF" w:rsidRDefault="007625BC" w:rsidP="003759EF">
      <w:pPr>
        <w:pStyle w:val="ListBullet"/>
      </w:pPr>
      <w:r w:rsidRPr="0083330D">
        <w:t>1</w:t>
      </w:r>
      <w:r w:rsidR="003759EF" w:rsidRPr="0083330D">
        <w:t xml:space="preserve"> </w:t>
      </w:r>
      <w:r w:rsidRPr="0083330D">
        <w:t xml:space="preserve">maternal </w:t>
      </w:r>
      <w:r w:rsidR="00673C30" w:rsidRPr="0083330D">
        <w:t>death associated with pregnancy, birth or the puerperium</w:t>
      </w:r>
      <w:r w:rsidR="00673C30">
        <w:t xml:space="preserve"> </w:t>
      </w:r>
      <w:r w:rsidR="003759EF">
        <w:t>(</w:t>
      </w:r>
      <w:r w:rsidR="00BE1695">
        <w:t>table </w:t>
      </w:r>
      <w:r w:rsidR="003759EF">
        <w:t>11A</w:t>
      </w:r>
      <w:r w:rsidR="00BE1695">
        <w:t>.9</w:t>
      </w:r>
      <w:r w:rsidR="00AF6760">
        <w:t>1</w:t>
      </w:r>
      <w:r w:rsidR="003759EF">
        <w:t>).</w:t>
      </w:r>
    </w:p>
    <w:p w:rsidR="003759EF" w:rsidRDefault="003759EF" w:rsidP="0059330E">
      <w:pPr>
        <w:pStyle w:val="BodyText"/>
        <w:keepNext/>
      </w:pPr>
      <w:r>
        <w:t>In WA public hospitals in 201</w:t>
      </w:r>
      <w:r w:rsidR="002C6F81">
        <w:t>2</w:t>
      </w:r>
      <w:r>
        <w:t>-1</w:t>
      </w:r>
      <w:r w:rsidR="002C6F81">
        <w:t>3</w:t>
      </w:r>
      <w:r>
        <w:t>, there was a total of 1</w:t>
      </w:r>
      <w:r w:rsidR="002C6F81">
        <w:t>5</w:t>
      </w:r>
      <w:r>
        <w:t xml:space="preserve"> sentinel events (table 11A.</w:t>
      </w:r>
      <w:r w:rsidR="00BE1695">
        <w:t>9</w:t>
      </w:r>
      <w:r w:rsidR="007A6572">
        <w:t>2</w:t>
      </w:r>
      <w:r>
        <w:t xml:space="preserve">) compared to around </w:t>
      </w:r>
      <w:r w:rsidR="00D339ED">
        <w:t>60</w:t>
      </w:r>
      <w:r w:rsidR="00FB439A">
        <w:t>7</w:t>
      </w:r>
      <w:r w:rsidR="00D339ED">
        <w:t> </w:t>
      </w:r>
      <w:r>
        <w:t>000 separations (table 11A.6) and around 5.</w:t>
      </w:r>
      <w:r w:rsidR="008B102A">
        <w:t>8</w:t>
      </w:r>
      <w:r>
        <w:t xml:space="preserve"> million individual occasions of service (table 11A.1</w:t>
      </w:r>
      <w:r w:rsidR="00BE1695">
        <w:t>7</w:t>
      </w:r>
      <w:r>
        <w:t>). The sentinel events comprised:</w:t>
      </w:r>
    </w:p>
    <w:p w:rsidR="003759EF" w:rsidRDefault="002C6F81" w:rsidP="003759EF">
      <w:pPr>
        <w:pStyle w:val="ListBullet"/>
      </w:pPr>
      <w:r>
        <w:t>1</w:t>
      </w:r>
      <w:r w:rsidR="003759EF">
        <w:t xml:space="preserve"> procedure involving the wrong patient or body part resulting in death or major permanent loss of function</w:t>
      </w:r>
    </w:p>
    <w:p w:rsidR="003759EF" w:rsidRDefault="002C6F81" w:rsidP="003759EF">
      <w:pPr>
        <w:pStyle w:val="ListBullet"/>
      </w:pPr>
      <w:r>
        <w:t>7</w:t>
      </w:r>
      <w:r w:rsidR="003759EF">
        <w:t xml:space="preserve"> suicides of a patient in an inpatient unit</w:t>
      </w:r>
    </w:p>
    <w:p w:rsidR="003759EF" w:rsidRDefault="003759EF" w:rsidP="003759EF">
      <w:pPr>
        <w:pStyle w:val="ListBullet"/>
      </w:pPr>
      <w:r>
        <w:t>3 retained instruments or other material after surgery requiring re-operation or further surgical procedure</w:t>
      </w:r>
    </w:p>
    <w:p w:rsidR="002C6F81" w:rsidRPr="002C6F81" w:rsidRDefault="00D339ED" w:rsidP="002C6F81">
      <w:pPr>
        <w:pStyle w:val="ListBullet"/>
      </w:pPr>
      <w:r>
        <w:t>3</w:t>
      </w:r>
      <w:r w:rsidR="002C6F81" w:rsidRPr="002C6F81">
        <w:t xml:space="preserve"> medication error</w:t>
      </w:r>
      <w:r>
        <w:t>s</w:t>
      </w:r>
      <w:r w:rsidR="002C6F81" w:rsidRPr="002C6F81">
        <w:t xml:space="preserve"> leading to the death of a patient reasonably believed to be due to incorrect administration of drugs </w:t>
      </w:r>
    </w:p>
    <w:p w:rsidR="003759EF" w:rsidRDefault="002C6F81" w:rsidP="003759EF">
      <w:pPr>
        <w:pStyle w:val="ListBullet"/>
      </w:pPr>
      <w:r>
        <w:lastRenderedPageBreak/>
        <w:t>1 maternal death</w:t>
      </w:r>
      <w:r w:rsidR="003759EF">
        <w:t xml:space="preserve"> or serious morbidity associated</w:t>
      </w:r>
      <w:r w:rsidR="00BE1695">
        <w:t xml:space="preserve"> with labour or delivery (table </w:t>
      </w:r>
      <w:r w:rsidR="003759EF">
        <w:t>11A.</w:t>
      </w:r>
      <w:r w:rsidR="00BE1695">
        <w:t>9</w:t>
      </w:r>
      <w:r w:rsidR="007A6572">
        <w:t>2</w:t>
      </w:r>
      <w:r w:rsidR="003759EF">
        <w:t>).</w:t>
      </w:r>
      <w:r w:rsidR="00F375F0">
        <w:rPr>
          <w:rStyle w:val="FootnoteReference"/>
        </w:rPr>
        <w:footnoteReference w:id="2"/>
      </w:r>
    </w:p>
    <w:p w:rsidR="003759EF" w:rsidRDefault="003759EF" w:rsidP="003759EF">
      <w:pPr>
        <w:pStyle w:val="BodyText"/>
      </w:pPr>
      <w:r>
        <w:t>In SA public hospitals in 201</w:t>
      </w:r>
      <w:r w:rsidR="002C6F81">
        <w:t>2</w:t>
      </w:r>
      <w:r>
        <w:t>-1</w:t>
      </w:r>
      <w:r w:rsidR="002C6F81">
        <w:t>3</w:t>
      </w:r>
      <w:r>
        <w:t xml:space="preserve">, there was a total </w:t>
      </w:r>
      <w:r w:rsidRPr="00D22CE9">
        <w:t xml:space="preserve">of </w:t>
      </w:r>
      <w:r w:rsidR="000A2769" w:rsidRPr="00D22CE9">
        <w:t>9</w:t>
      </w:r>
      <w:r>
        <w:t xml:space="preserve"> sentinel events (table 11A.</w:t>
      </w:r>
      <w:r w:rsidR="00BE1695">
        <w:t>9</w:t>
      </w:r>
      <w:r w:rsidR="007A6572">
        <w:t>3</w:t>
      </w:r>
      <w:r>
        <w:t>) compared to around 4</w:t>
      </w:r>
      <w:r w:rsidR="00D339ED">
        <w:t>1</w:t>
      </w:r>
      <w:r w:rsidR="00FB439A">
        <w:t>4</w:t>
      </w:r>
      <w:r w:rsidR="00D339ED">
        <w:t> </w:t>
      </w:r>
      <w:r>
        <w:t>000 separations (table 11A.6) and around 2.2 million individual occasions of service (table 11A.1</w:t>
      </w:r>
      <w:r w:rsidR="00BE1695">
        <w:t>7</w:t>
      </w:r>
      <w:r>
        <w:t>). The sentinel events comprised:</w:t>
      </w:r>
    </w:p>
    <w:p w:rsidR="00D339ED" w:rsidRDefault="00D339ED" w:rsidP="00D339ED">
      <w:pPr>
        <w:pStyle w:val="ListBullet"/>
      </w:pPr>
      <w:r>
        <w:t>1 suicide</w:t>
      </w:r>
      <w:r w:rsidRPr="00D339ED">
        <w:t xml:space="preserve"> of a patient in an inpatient unit</w:t>
      </w:r>
    </w:p>
    <w:p w:rsidR="003759EF" w:rsidRDefault="003759EF" w:rsidP="003759EF">
      <w:pPr>
        <w:pStyle w:val="ListBullet"/>
      </w:pPr>
      <w:r>
        <w:t>5 retained instruments or other material after surgery requiring re-operation or further surgical procedure</w:t>
      </w:r>
    </w:p>
    <w:p w:rsidR="00D339ED" w:rsidRPr="00D339ED" w:rsidRDefault="00D339ED" w:rsidP="00D339ED">
      <w:pPr>
        <w:pStyle w:val="ListBullet"/>
      </w:pPr>
      <w:r>
        <w:t>1 haemolytic blood transfusion</w:t>
      </w:r>
      <w:r w:rsidRPr="00D339ED">
        <w:t xml:space="preserve"> reaction resulting from ABO (blood group) incompatibility</w:t>
      </w:r>
    </w:p>
    <w:p w:rsidR="003759EF" w:rsidRDefault="00D339ED" w:rsidP="003759EF">
      <w:pPr>
        <w:pStyle w:val="ListBullet"/>
      </w:pPr>
      <w:r w:rsidRPr="0083330D">
        <w:t>2</w:t>
      </w:r>
      <w:r w:rsidR="003759EF" w:rsidRPr="0083330D">
        <w:t xml:space="preserve"> </w:t>
      </w:r>
      <w:r w:rsidR="007625BC" w:rsidRPr="0083330D">
        <w:t xml:space="preserve">maternal </w:t>
      </w:r>
      <w:r w:rsidR="00673C30" w:rsidRPr="0083330D">
        <w:t>death</w:t>
      </w:r>
      <w:r w:rsidR="007625BC" w:rsidRPr="0083330D">
        <w:t>s</w:t>
      </w:r>
      <w:r w:rsidR="00673C30" w:rsidRPr="0083330D">
        <w:t xml:space="preserve"> associated with pregnancy, birth or the puerperium</w:t>
      </w:r>
      <w:r w:rsidR="00673C30">
        <w:t xml:space="preserve"> </w:t>
      </w:r>
      <w:r w:rsidR="00C55DDB">
        <w:t>(table </w:t>
      </w:r>
      <w:r w:rsidR="003759EF">
        <w:t>11A.</w:t>
      </w:r>
      <w:r w:rsidR="00BE1695">
        <w:t>9</w:t>
      </w:r>
      <w:r w:rsidR="007A6572">
        <w:t>3</w:t>
      </w:r>
      <w:r w:rsidR="003759EF">
        <w:t>)</w:t>
      </w:r>
      <w:r w:rsidR="0059330E">
        <w:t>.</w:t>
      </w:r>
    </w:p>
    <w:p w:rsidR="003759EF" w:rsidRDefault="003759EF" w:rsidP="003759EF">
      <w:pPr>
        <w:pStyle w:val="BodyText"/>
      </w:pPr>
      <w:r>
        <w:t>In Tasmanian public hospitals in 201</w:t>
      </w:r>
      <w:r w:rsidR="002C6F81">
        <w:t>2</w:t>
      </w:r>
      <w:r>
        <w:t>-1</w:t>
      </w:r>
      <w:r w:rsidR="002C6F81">
        <w:t>3</w:t>
      </w:r>
      <w:r>
        <w:t xml:space="preserve">, there </w:t>
      </w:r>
      <w:r w:rsidR="00D339ED">
        <w:t>were no reported</w:t>
      </w:r>
      <w:r>
        <w:t xml:space="preserve"> sentinel event</w:t>
      </w:r>
      <w:r w:rsidR="00D339ED">
        <w:t>s (table </w:t>
      </w:r>
      <w:r>
        <w:t>11A.9</w:t>
      </w:r>
      <w:r w:rsidR="007A6572">
        <w:t>4</w:t>
      </w:r>
      <w:r>
        <w:t>) compared to around 10</w:t>
      </w:r>
      <w:r w:rsidR="00FB439A">
        <w:t>6</w:t>
      </w:r>
      <w:r w:rsidR="00D339ED">
        <w:t> </w:t>
      </w:r>
      <w:r>
        <w:t xml:space="preserve">000 separations (table 11A.6) and around </w:t>
      </w:r>
      <w:r w:rsidR="008B102A">
        <w:t>482 </w:t>
      </w:r>
      <w:r>
        <w:t>000 individual occasions of service (table 11A.1</w:t>
      </w:r>
      <w:r w:rsidR="00050BCE">
        <w:t>7</w:t>
      </w:r>
      <w:r>
        <w:t xml:space="preserve">). </w:t>
      </w:r>
    </w:p>
    <w:p w:rsidR="003759EF" w:rsidRDefault="003759EF" w:rsidP="003759EF">
      <w:pPr>
        <w:pStyle w:val="BodyText"/>
      </w:pPr>
      <w:r>
        <w:t>In ACT public hospitals in 201</w:t>
      </w:r>
      <w:r w:rsidR="002C6F81">
        <w:t>2</w:t>
      </w:r>
      <w:r>
        <w:t>-1</w:t>
      </w:r>
      <w:r w:rsidR="002C6F81">
        <w:t>3</w:t>
      </w:r>
      <w:r>
        <w:t xml:space="preserve">, there was a </w:t>
      </w:r>
      <w:r w:rsidRPr="00D22CE9">
        <w:t xml:space="preserve">total </w:t>
      </w:r>
      <w:r w:rsidR="00050BCE" w:rsidRPr="00D22CE9">
        <w:t xml:space="preserve">of </w:t>
      </w:r>
      <w:r w:rsidR="007625BC" w:rsidRPr="00D22CE9">
        <w:t>3</w:t>
      </w:r>
      <w:r w:rsidR="00050BCE" w:rsidRPr="00D22CE9">
        <w:t xml:space="preserve"> sentinel</w:t>
      </w:r>
      <w:r w:rsidR="00050BCE">
        <w:t xml:space="preserve"> events (table </w:t>
      </w:r>
      <w:r>
        <w:t>11A.9</w:t>
      </w:r>
      <w:r w:rsidR="007A6572">
        <w:t>5</w:t>
      </w:r>
      <w:r>
        <w:t>) compared to around 9</w:t>
      </w:r>
      <w:r w:rsidR="00D339ED">
        <w:t>5 </w:t>
      </w:r>
      <w:r>
        <w:t>000 separatio</w:t>
      </w:r>
      <w:r w:rsidR="00111DF5">
        <w:t>ns (table 11A.6) and around 1.</w:t>
      </w:r>
      <w:r w:rsidR="008B102A">
        <w:t>9</w:t>
      </w:r>
      <w:r w:rsidR="00111DF5">
        <w:t> </w:t>
      </w:r>
      <w:r>
        <w:t>million individual occasions of service (table 11A.1</w:t>
      </w:r>
      <w:r w:rsidR="00050BCE">
        <w:t>7</w:t>
      </w:r>
      <w:r>
        <w:t>). ACT sentinel events were not reported by category due to confidentiality concerns.</w:t>
      </w:r>
    </w:p>
    <w:p w:rsidR="003759EF" w:rsidRDefault="003759EF" w:rsidP="003759EF">
      <w:pPr>
        <w:pStyle w:val="BodyText"/>
      </w:pPr>
      <w:r>
        <w:t>In the NT public hospitals in 201</w:t>
      </w:r>
      <w:r w:rsidR="002C6F81">
        <w:t>2</w:t>
      </w:r>
      <w:r>
        <w:t>-1</w:t>
      </w:r>
      <w:r w:rsidR="002C6F81">
        <w:t>3</w:t>
      </w:r>
      <w:r>
        <w:t xml:space="preserve">, there </w:t>
      </w:r>
      <w:r w:rsidR="00D339ED">
        <w:t>was one</w:t>
      </w:r>
      <w:r w:rsidR="00111DF5">
        <w:t xml:space="preserve"> sentinel event (table </w:t>
      </w:r>
      <w:r>
        <w:t>11A.9</w:t>
      </w:r>
      <w:r w:rsidR="007A6572">
        <w:t>6</w:t>
      </w:r>
      <w:r>
        <w:t>) compared to around 11</w:t>
      </w:r>
      <w:r w:rsidR="00D339ED">
        <w:t>8 </w:t>
      </w:r>
      <w:r>
        <w:t xml:space="preserve">000 separations (table 11A.6) and around </w:t>
      </w:r>
      <w:r w:rsidR="008B102A">
        <w:t>600 </w:t>
      </w:r>
      <w:r>
        <w:t>000 individual occasions of service</w:t>
      </w:r>
      <w:r w:rsidR="00D339ED">
        <w:t>.</w:t>
      </w:r>
      <w:r>
        <w:t xml:space="preserve"> </w:t>
      </w:r>
      <w:r w:rsidR="00D339ED" w:rsidRPr="00D339ED">
        <w:t xml:space="preserve">The sentinel event was a </w:t>
      </w:r>
      <w:r w:rsidR="00D339ED">
        <w:t>suicide of a patient in an inpatient unit</w:t>
      </w:r>
      <w:r w:rsidR="00D339ED" w:rsidRPr="00D339ED">
        <w:t xml:space="preserve"> </w:t>
      </w:r>
      <w:r w:rsidR="00D339ED">
        <w:t>(table </w:t>
      </w:r>
      <w:r>
        <w:t>11A.1</w:t>
      </w:r>
      <w:r w:rsidR="00050BCE">
        <w:t>7</w:t>
      </w:r>
      <w:r>
        <w:t xml:space="preserve">). </w:t>
      </w:r>
    </w:p>
    <w:p w:rsidR="003759EF" w:rsidRDefault="003759EF" w:rsidP="003759EF">
      <w:pPr>
        <w:pStyle w:val="Heading4"/>
      </w:pPr>
      <w:r>
        <w:t>Mortality in hospitals</w:t>
      </w:r>
    </w:p>
    <w:p w:rsidR="00E055D1" w:rsidRDefault="003759EF" w:rsidP="003759EF">
      <w:pPr>
        <w:pStyle w:val="BodyText"/>
      </w:pPr>
      <w:r>
        <w:t>‘Mortality in hospitals’ is an indicator of governments’ objective to deliver public hospital services that are safe and of high quality (box 11.16).</w:t>
      </w:r>
    </w:p>
    <w:p w:rsidR="003759EF" w:rsidRDefault="003759E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759EF" w:rsidTr="007D422B">
        <w:tc>
          <w:tcPr>
            <w:tcW w:w="8771" w:type="dxa"/>
            <w:tcBorders>
              <w:top w:val="single" w:sz="6" w:space="0" w:color="78A22F"/>
              <w:left w:val="nil"/>
              <w:bottom w:val="nil"/>
              <w:right w:val="nil"/>
            </w:tcBorders>
            <w:shd w:val="clear" w:color="auto" w:fill="F2F2F2"/>
          </w:tcPr>
          <w:p w:rsidR="003759EF" w:rsidRDefault="003759EF">
            <w:pPr>
              <w:pStyle w:val="BoxTitle"/>
            </w:pPr>
            <w:r>
              <w:rPr>
                <w:b w:val="0"/>
              </w:rPr>
              <w:t>Box 11.</w:t>
            </w:r>
            <w:r w:rsidR="009A53E9">
              <w:rPr>
                <w:b w:val="0"/>
                <w:noProof/>
              </w:rPr>
              <w:t>16</w:t>
            </w:r>
            <w:r>
              <w:tab/>
            </w:r>
            <w:r w:rsidRPr="003759EF">
              <w:t>Mortality in hospitals</w:t>
            </w:r>
          </w:p>
        </w:tc>
      </w:tr>
      <w:tr w:rsidR="003759EF" w:rsidTr="007D422B">
        <w:trPr>
          <w:cantSplit/>
        </w:trPr>
        <w:tc>
          <w:tcPr>
            <w:tcW w:w="8771" w:type="dxa"/>
            <w:tcBorders>
              <w:top w:val="nil"/>
              <w:left w:val="nil"/>
              <w:bottom w:val="nil"/>
              <w:right w:val="nil"/>
            </w:tcBorders>
            <w:shd w:val="clear" w:color="auto" w:fill="F2F2F2"/>
          </w:tcPr>
          <w:p w:rsidR="003759EF" w:rsidRDefault="003759EF" w:rsidP="003759EF">
            <w:pPr>
              <w:pStyle w:val="Box"/>
            </w:pPr>
            <w:r>
              <w:t>‘Mortality in hospitals’ is defined by the following three measures:</w:t>
            </w:r>
          </w:p>
          <w:p w:rsidR="003759EF" w:rsidRDefault="003759EF" w:rsidP="003759EF">
            <w:pPr>
              <w:pStyle w:val="BoxListBullet"/>
            </w:pPr>
            <w:r>
              <w:t>Hospital standardised mortality ratio</w:t>
            </w:r>
          </w:p>
          <w:p w:rsidR="003759EF" w:rsidRDefault="003759EF" w:rsidP="003759EF">
            <w:pPr>
              <w:pStyle w:val="BoxListBullet"/>
            </w:pPr>
            <w:r>
              <w:t>Death in low-mortality diagnostic related groups</w:t>
            </w:r>
          </w:p>
          <w:p w:rsidR="003759EF" w:rsidRDefault="003759EF" w:rsidP="003759EF">
            <w:pPr>
              <w:pStyle w:val="BoxListBullet"/>
            </w:pPr>
            <w:r>
              <w:t>In-hospital mortality rates.</w:t>
            </w:r>
          </w:p>
          <w:p w:rsidR="003759EF" w:rsidRDefault="003759EF" w:rsidP="003759EF">
            <w:pPr>
              <w:pStyle w:val="Box"/>
            </w:pPr>
            <w:r>
              <w:t>Mortality in hospitals has been identified as a key area for development in future Reports.</w:t>
            </w:r>
          </w:p>
        </w:tc>
      </w:tr>
      <w:tr w:rsidR="003759EF" w:rsidTr="007D422B">
        <w:trPr>
          <w:cantSplit/>
        </w:trPr>
        <w:tc>
          <w:tcPr>
            <w:tcW w:w="8771" w:type="dxa"/>
            <w:tcBorders>
              <w:top w:val="nil"/>
              <w:left w:val="nil"/>
              <w:bottom w:val="single" w:sz="6" w:space="0" w:color="78A22F"/>
              <w:right w:val="nil"/>
            </w:tcBorders>
            <w:shd w:val="clear" w:color="auto" w:fill="F2F2F2"/>
          </w:tcPr>
          <w:p w:rsidR="003759EF" w:rsidRDefault="003759EF">
            <w:pPr>
              <w:pStyle w:val="Box"/>
              <w:spacing w:before="0" w:line="120" w:lineRule="exact"/>
            </w:pPr>
          </w:p>
        </w:tc>
      </w:tr>
      <w:tr w:rsidR="003759EF" w:rsidRPr="000863A5" w:rsidTr="007D422B">
        <w:tc>
          <w:tcPr>
            <w:tcW w:w="8771" w:type="dxa"/>
            <w:tcBorders>
              <w:top w:val="single" w:sz="6" w:space="0" w:color="78A22F"/>
              <w:left w:val="nil"/>
              <w:bottom w:val="nil"/>
              <w:right w:val="nil"/>
            </w:tcBorders>
          </w:tcPr>
          <w:p w:rsidR="003759EF" w:rsidRPr="00626D32" w:rsidRDefault="003759EF" w:rsidP="007D422B">
            <w:pPr>
              <w:pStyle w:val="BoxSpaceBelow"/>
            </w:pPr>
          </w:p>
        </w:tc>
      </w:tr>
    </w:tbl>
    <w:p w:rsidR="003759EF" w:rsidRDefault="003759EF" w:rsidP="003759EF">
      <w:pPr>
        <w:pStyle w:val="Heading2"/>
      </w:pPr>
      <w:bookmarkStart w:id="8" w:name="_Toc397611342"/>
      <w:r>
        <w:t>11.</w:t>
      </w:r>
      <w:r w:rsidR="009A53E9">
        <w:rPr>
          <w:noProof/>
        </w:rPr>
        <w:t>4</w:t>
      </w:r>
      <w:r>
        <w:tab/>
      </w:r>
      <w:r w:rsidRPr="003759EF">
        <w:t>Profile of maternity services</w:t>
      </w:r>
      <w:bookmarkEnd w:id="8"/>
    </w:p>
    <w:p w:rsidR="003759EF" w:rsidRDefault="003759EF" w:rsidP="003759EF">
      <w:pPr>
        <w:pStyle w:val="BodyText"/>
      </w:pPr>
      <w:r w:rsidRPr="003759EF">
        <w:t>Maternity services (defined as AR-DRGs relating to pregnancy, childbirth and the puerperium, and newborns and other neonates) accounted for 8.</w:t>
      </w:r>
      <w:r w:rsidR="00E5102C">
        <w:t>5</w:t>
      </w:r>
      <w:r w:rsidRPr="003759EF">
        <w:t xml:space="preserve"> per cent of total acute separations in public hospitals (table 11A.</w:t>
      </w:r>
      <w:r w:rsidR="00F2723D">
        <w:t>99</w:t>
      </w:r>
      <w:r w:rsidRPr="003759EF">
        <w:t xml:space="preserve">) and around </w:t>
      </w:r>
      <w:r w:rsidR="00E5102C">
        <w:t>10.6</w:t>
      </w:r>
      <w:r w:rsidRPr="003759EF">
        <w:t xml:space="preserve"> per cent of the total cost of all acute separations in public hospitals in 201</w:t>
      </w:r>
      <w:r w:rsidR="00E5102C">
        <w:t>2</w:t>
      </w:r>
      <w:r w:rsidRPr="003759EF">
        <w:t>-1</w:t>
      </w:r>
      <w:r w:rsidR="00E5102C">
        <w:t>3</w:t>
      </w:r>
      <w:r w:rsidRPr="003759EF">
        <w:t xml:space="preserve"> (table 11A.</w:t>
      </w:r>
      <w:r w:rsidR="00F2723D">
        <w:t>98</w:t>
      </w:r>
      <w:r w:rsidRPr="003759EF">
        <w:t>). Figure 11.2</w:t>
      </w:r>
      <w:r w:rsidR="000D26EC">
        <w:t>5</w:t>
      </w:r>
      <w:r w:rsidRPr="003759EF">
        <w:t xml:space="preserve"> shows the rate of acute separations per 1000 people for maternity services across jurisdictions in 201</w:t>
      </w:r>
      <w:r w:rsidR="00E5102C">
        <w:t>2</w:t>
      </w:r>
      <w:r w:rsidRPr="003759EF">
        <w:t>-1</w:t>
      </w:r>
      <w:r w:rsidR="00E5102C">
        <w:t>3</w:t>
      </w:r>
      <w:r w:rsidRPr="003759EF">
        <w:t>.</w:t>
      </w:r>
    </w:p>
    <w:p w:rsidR="003759EF" w:rsidRDefault="003759EF" w:rsidP="00980FDB">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759EF" w:rsidTr="007D422B">
        <w:tc>
          <w:tcPr>
            <w:tcW w:w="8771" w:type="dxa"/>
            <w:tcBorders>
              <w:top w:val="single" w:sz="6" w:space="0" w:color="78A22F"/>
              <w:left w:val="nil"/>
              <w:bottom w:val="nil"/>
              <w:right w:val="nil"/>
            </w:tcBorders>
            <w:shd w:val="clear" w:color="auto" w:fill="auto"/>
          </w:tcPr>
          <w:p w:rsidR="003759EF" w:rsidRPr="00176D3F" w:rsidRDefault="003759EF" w:rsidP="00980FDB">
            <w:pPr>
              <w:pStyle w:val="FigureTitle"/>
            </w:pPr>
            <w:r w:rsidRPr="00784A05">
              <w:rPr>
                <w:b w:val="0"/>
              </w:rPr>
              <w:t xml:space="preserve">Figure </w:t>
            </w:r>
            <w:r w:rsidR="000D26EC">
              <w:rPr>
                <w:b w:val="0"/>
              </w:rPr>
              <w:t>11.</w:t>
            </w:r>
            <w:r w:rsidR="009A53E9">
              <w:rPr>
                <w:b w:val="0"/>
                <w:noProof/>
              </w:rPr>
              <w:t>25</w:t>
            </w:r>
            <w:r>
              <w:tab/>
            </w:r>
            <w:r w:rsidR="00306712">
              <w:t>Separation rates for maternity services, public hospitals, 201</w:t>
            </w:r>
            <w:r w:rsidR="007D422B">
              <w:t>2</w:t>
            </w:r>
            <w:r w:rsidR="00306712">
              <w:t>-1</w:t>
            </w:r>
            <w:r w:rsidR="007D422B">
              <w:t>3</w:t>
            </w:r>
            <w:r w:rsidR="00306712" w:rsidRPr="00306712">
              <w:rPr>
                <w:rStyle w:val="NoteLabel"/>
                <w:b/>
              </w:rPr>
              <w:t>a, b, c, d</w:t>
            </w:r>
          </w:p>
        </w:tc>
      </w:tr>
      <w:tr w:rsidR="003759EF" w:rsidTr="007D422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759EF" w:rsidTr="007D422B">
              <w:trPr>
                <w:jc w:val="center"/>
              </w:trPr>
              <w:tc>
                <w:tcPr>
                  <w:tcW w:w="5000" w:type="pct"/>
                  <w:tcBorders>
                    <w:top w:val="nil"/>
                    <w:bottom w:val="nil"/>
                  </w:tcBorders>
                </w:tcPr>
                <w:p w:rsidR="003759EF" w:rsidRDefault="001F000D" w:rsidP="00980FDB">
                  <w:pPr>
                    <w:pStyle w:val="Figure"/>
                    <w:keepLines/>
                    <w:spacing w:before="60" w:after="60"/>
                  </w:pPr>
                  <w:r>
                    <w:rPr>
                      <w:noProof/>
                    </w:rPr>
                    <w:drawing>
                      <wp:inline distT="0" distB="0" distL="0" distR="0" wp14:anchorId="21125665" wp14:editId="57892ADF">
                        <wp:extent cx="5391150" cy="2705100"/>
                        <wp:effectExtent l="0" t="0" r="0" b="0"/>
                        <wp:docPr id="28" name="Picture 28" descr="Figure 11.25 Separation rates for maternity services, public hospitals,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3759EF" w:rsidRDefault="003759EF" w:rsidP="00980FDB">
            <w:pPr>
              <w:pStyle w:val="Figure"/>
              <w:keepLines/>
            </w:pPr>
          </w:p>
        </w:tc>
      </w:tr>
      <w:tr w:rsidR="003759EF" w:rsidRPr="00176D3F" w:rsidTr="007D422B">
        <w:tc>
          <w:tcPr>
            <w:tcW w:w="8771" w:type="dxa"/>
            <w:tcBorders>
              <w:top w:val="nil"/>
              <w:left w:val="nil"/>
              <w:bottom w:val="nil"/>
              <w:right w:val="nil"/>
            </w:tcBorders>
            <w:shd w:val="clear" w:color="auto" w:fill="auto"/>
          </w:tcPr>
          <w:p w:rsidR="00DA3262" w:rsidRPr="00DA3262" w:rsidRDefault="003759EF" w:rsidP="0059330E">
            <w:pPr>
              <w:pStyle w:val="Note"/>
              <w:keepNext/>
            </w:pPr>
            <w:r>
              <w:rPr>
                <w:rStyle w:val="NoteLabel"/>
              </w:rPr>
              <w:t>a</w:t>
            </w:r>
            <w:r>
              <w:t xml:space="preserve"> </w:t>
            </w:r>
            <w:r w:rsidR="00306712" w:rsidRPr="00306712">
              <w:t xml:space="preserve">The puerperium refers to the period of confinement immediately after labour (around six weeks). </w:t>
            </w:r>
            <w:r w:rsidR="00306712" w:rsidRPr="00306712">
              <w:rPr>
                <w:rStyle w:val="NoteLabel"/>
              </w:rPr>
              <w:t>b</w:t>
            </w:r>
            <w:r w:rsidR="0059330E">
              <w:rPr>
                <w:rStyle w:val="NoteLabel"/>
              </w:rPr>
              <w:t> </w:t>
            </w:r>
            <w:r w:rsidR="00306712" w:rsidRPr="00306712">
              <w:t xml:space="preserve">Newborns and other neonates include babies aged less than 28 days or babies aged less than one year with admission weight of less than 2500 grams. </w:t>
            </w:r>
            <w:r w:rsidR="00306712" w:rsidRPr="00306712">
              <w:rPr>
                <w:rStyle w:val="NoteLabel"/>
              </w:rPr>
              <w:t>c</w:t>
            </w:r>
            <w:r w:rsidR="00306712" w:rsidRPr="00306712">
              <w:t xml:space="preserve"> Includes separations for which the type of episode of care was reported as 'acute', or 'newborn with qualified patient days'. </w:t>
            </w:r>
            <w:r w:rsidR="00306712" w:rsidRPr="00306712">
              <w:rPr>
                <w:rStyle w:val="NoteLabel"/>
              </w:rPr>
              <w:t>d</w:t>
            </w:r>
            <w:r w:rsidR="00306712" w:rsidRPr="00306712">
              <w:t xml:space="preserve"> </w:t>
            </w:r>
            <w:r w:rsidR="00DA3262" w:rsidRPr="00DA3262">
              <w:t>Population data used to derive rates are revised to the ABS’ final 2011 Census rebased estimates and projections.</w:t>
            </w:r>
            <w:r w:rsidR="00DA3262">
              <w:t xml:space="preserve"> See chapter 2 (table</w:t>
            </w:r>
            <w:r w:rsidR="0059330E">
              <w:t> </w:t>
            </w:r>
            <w:r w:rsidR="00DA3262">
              <w:t>2A.2</w:t>
            </w:r>
            <w:r w:rsidR="00DA3262" w:rsidRPr="00DA3262">
              <w:t>) for details.</w:t>
            </w:r>
          </w:p>
        </w:tc>
      </w:tr>
      <w:tr w:rsidR="003759EF" w:rsidRPr="00176D3F" w:rsidTr="007D422B">
        <w:tc>
          <w:tcPr>
            <w:tcW w:w="8771" w:type="dxa"/>
            <w:tcBorders>
              <w:top w:val="nil"/>
              <w:left w:val="nil"/>
              <w:bottom w:val="nil"/>
              <w:right w:val="nil"/>
            </w:tcBorders>
            <w:shd w:val="clear" w:color="auto" w:fill="auto"/>
          </w:tcPr>
          <w:p w:rsidR="003759EF" w:rsidRPr="00176D3F" w:rsidRDefault="00306712" w:rsidP="00F2723D">
            <w:pPr>
              <w:pStyle w:val="Source"/>
              <w:keepNext/>
            </w:pPr>
            <w:r>
              <w:rPr>
                <w:i/>
              </w:rPr>
              <w:t>S</w:t>
            </w:r>
            <w:r w:rsidR="003759EF" w:rsidRPr="00784A05">
              <w:rPr>
                <w:i/>
              </w:rPr>
              <w:t>ource</w:t>
            </w:r>
            <w:r w:rsidR="003759EF" w:rsidRPr="00176D3F">
              <w:t xml:space="preserve">: </w:t>
            </w:r>
            <w:r w:rsidR="00D217E8" w:rsidRPr="00D217E8">
              <w:t xml:space="preserve">AIHW (2014), </w:t>
            </w:r>
            <w:r w:rsidR="00D217E8" w:rsidRPr="00D217E8">
              <w:rPr>
                <w:i/>
              </w:rPr>
              <w:t>Australian Hospital Statistics 2012-13</w:t>
            </w:r>
            <w:r w:rsidR="00D217E8" w:rsidRPr="00D217E8">
              <w:t>, Health Services Series No. 54, Cat no.</w:t>
            </w:r>
            <w:r w:rsidR="009551A6">
              <w:t> </w:t>
            </w:r>
            <w:r w:rsidR="00D217E8" w:rsidRPr="00D217E8">
              <w:t>HSE</w:t>
            </w:r>
            <w:r w:rsidR="0059330E">
              <w:t> </w:t>
            </w:r>
            <w:r w:rsidR="00D217E8" w:rsidRPr="00D217E8">
              <w:t>145</w:t>
            </w:r>
            <w:r w:rsidRPr="00306712">
              <w:t>; ABS (unpublished), Australian Demographic Statistics, December Quarter 201</w:t>
            </w:r>
            <w:r w:rsidR="00816E0B">
              <w:t>2</w:t>
            </w:r>
            <w:r w:rsidRPr="00306712">
              <w:t>, Cat. no.</w:t>
            </w:r>
            <w:r w:rsidR="009551A6">
              <w:t> </w:t>
            </w:r>
            <w:r w:rsidRPr="00306712">
              <w:t>3101.0; tables 2A.2 and 11A.</w:t>
            </w:r>
            <w:r w:rsidR="00F2723D">
              <w:t>99</w:t>
            </w:r>
            <w:r w:rsidRPr="00306712">
              <w:t>.</w:t>
            </w:r>
          </w:p>
        </w:tc>
      </w:tr>
      <w:tr w:rsidR="003759EF" w:rsidTr="007D422B">
        <w:tc>
          <w:tcPr>
            <w:tcW w:w="8771" w:type="dxa"/>
            <w:tcBorders>
              <w:top w:val="nil"/>
              <w:left w:val="nil"/>
              <w:bottom w:val="single" w:sz="6" w:space="0" w:color="78A22F"/>
              <w:right w:val="nil"/>
            </w:tcBorders>
            <w:shd w:val="clear" w:color="auto" w:fill="auto"/>
          </w:tcPr>
          <w:p w:rsidR="003759EF" w:rsidRDefault="003759EF" w:rsidP="00980FDB">
            <w:pPr>
              <w:pStyle w:val="Figurespace"/>
              <w:keepLines/>
            </w:pPr>
          </w:p>
        </w:tc>
      </w:tr>
      <w:tr w:rsidR="003759EF" w:rsidRPr="000863A5" w:rsidTr="007D422B">
        <w:tc>
          <w:tcPr>
            <w:tcW w:w="8771" w:type="dxa"/>
            <w:tcBorders>
              <w:top w:val="single" w:sz="6" w:space="0" w:color="78A22F"/>
              <w:left w:val="nil"/>
              <w:bottom w:val="nil"/>
              <w:right w:val="nil"/>
            </w:tcBorders>
          </w:tcPr>
          <w:p w:rsidR="003759EF" w:rsidRPr="00626D32" w:rsidRDefault="003759EF" w:rsidP="00980FDB">
            <w:pPr>
              <w:pStyle w:val="BoxSpaceBelow"/>
              <w:keepNext/>
              <w:keepLines/>
            </w:pPr>
          </w:p>
        </w:tc>
      </w:tr>
    </w:tbl>
    <w:p w:rsidR="007D422B" w:rsidRDefault="007D422B" w:rsidP="007D422B">
      <w:pPr>
        <w:pStyle w:val="BodyText"/>
      </w:pPr>
      <w:r>
        <w:t>In Australian public hospitals in 201</w:t>
      </w:r>
      <w:r w:rsidR="00E5102C">
        <w:t>2</w:t>
      </w:r>
      <w:r>
        <w:t>-1</w:t>
      </w:r>
      <w:r w:rsidR="00E5102C">
        <w:t>3</w:t>
      </w:r>
      <w:r>
        <w:t>, 41.</w:t>
      </w:r>
      <w:r w:rsidR="00E5102C">
        <w:t>9</w:t>
      </w:r>
      <w:r>
        <w:t xml:space="preserve"> per cent of the separations for pregnancy, childbirth and the puerperium had a DRG of vaginal delivery (tables 11A.</w:t>
      </w:r>
      <w:r w:rsidR="00F2723D">
        <w:t>99</w:t>
      </w:r>
      <w:r>
        <w:t xml:space="preserve"> and 11A.</w:t>
      </w:r>
      <w:r w:rsidR="00111DF5">
        <w:t>10</w:t>
      </w:r>
      <w:r w:rsidR="00F2723D">
        <w:t>0</w:t>
      </w:r>
      <w:r>
        <w:t>). In the context of all AR</w:t>
      </w:r>
      <w:r w:rsidR="004D0FB7">
        <w:t>-</w:t>
      </w:r>
      <w:r>
        <w:t>DRGs in public hospitals, vaginal deliveries comprised the largest number of overnight acute separations (</w:t>
      </w:r>
      <w:r w:rsidR="004D447D">
        <w:t>4.6</w:t>
      </w:r>
      <w:r>
        <w:t xml:space="preserve"> per </w:t>
      </w:r>
      <w:r w:rsidR="00111DF5">
        <w:t>cent of all separations) (table </w:t>
      </w:r>
      <w:r>
        <w:t>11A.1</w:t>
      </w:r>
      <w:r w:rsidR="004D447D">
        <w:t>5</w:t>
      </w:r>
      <w:r>
        <w:t>). The cost of vaginal deliveries was $</w:t>
      </w:r>
      <w:r w:rsidR="00E5102C">
        <w:t>775.6</w:t>
      </w:r>
      <w:r w:rsidR="00111DF5">
        <w:t xml:space="preserve"> million in 201</w:t>
      </w:r>
      <w:r w:rsidR="00E5102C">
        <w:t>2</w:t>
      </w:r>
      <w:r w:rsidR="00111DF5">
        <w:t>-1</w:t>
      </w:r>
      <w:r w:rsidR="00E5102C">
        <w:t>3</w:t>
      </w:r>
      <w:r w:rsidR="00111DF5">
        <w:t xml:space="preserve"> (table </w:t>
      </w:r>
      <w:r>
        <w:t>11A.</w:t>
      </w:r>
      <w:r w:rsidR="00111DF5">
        <w:t>10</w:t>
      </w:r>
      <w:r w:rsidR="00F2723D">
        <w:t>0</w:t>
      </w:r>
      <w:r>
        <w:t>).</w:t>
      </w:r>
    </w:p>
    <w:p w:rsidR="003759EF" w:rsidRDefault="007D422B" w:rsidP="007D422B">
      <w:pPr>
        <w:pStyle w:val="BodyText"/>
      </w:pPr>
      <w:r>
        <w:t>The complexity of maternity services is partly related to the mother’s age at the time of giving birth. The mean age of mothers giving birth varied across jurisdictions (table 11.10).</w:t>
      </w:r>
    </w:p>
    <w:p w:rsidR="007D422B" w:rsidRDefault="007D422B" w:rsidP="007D422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D422B" w:rsidTr="007D422B">
        <w:tc>
          <w:tcPr>
            <w:tcW w:w="8771" w:type="dxa"/>
            <w:tcBorders>
              <w:top w:val="single" w:sz="6" w:space="0" w:color="78A22F"/>
              <w:left w:val="nil"/>
              <w:bottom w:val="nil"/>
              <w:right w:val="nil"/>
            </w:tcBorders>
            <w:shd w:val="clear" w:color="auto" w:fill="auto"/>
          </w:tcPr>
          <w:p w:rsidR="007D422B" w:rsidRPr="00784A05" w:rsidRDefault="007D422B" w:rsidP="007D422B">
            <w:pPr>
              <w:pStyle w:val="TableTitle"/>
            </w:pPr>
            <w:r>
              <w:rPr>
                <w:b w:val="0"/>
              </w:rPr>
              <w:t>Table 11.</w:t>
            </w:r>
            <w:r w:rsidR="009A53E9">
              <w:rPr>
                <w:b w:val="0"/>
                <w:noProof/>
              </w:rPr>
              <w:t>10</w:t>
            </w:r>
            <w:r>
              <w:tab/>
            </w:r>
            <w:r w:rsidRPr="007D422B">
              <w:t>Mean age of mothers at time of giving birth, public hospitals</w:t>
            </w:r>
          </w:p>
        </w:tc>
      </w:tr>
      <w:tr w:rsidR="007D422B" w:rsidTr="007D422B">
        <w:trPr>
          <w:cantSplit/>
        </w:trPr>
        <w:tc>
          <w:tcPr>
            <w:tcW w:w="8771" w:type="dxa"/>
            <w:tcBorders>
              <w:top w:val="nil"/>
              <w:left w:val="nil"/>
              <w:bottom w:val="nil"/>
              <w:right w:val="nil"/>
            </w:tcBorders>
            <w:shd w:val="clear" w:color="auto" w:fill="auto"/>
          </w:tcPr>
          <w:tbl>
            <w:tblPr>
              <w:tblW w:w="4998" w:type="pct"/>
              <w:tblCellMar>
                <w:top w:w="28" w:type="dxa"/>
                <w:left w:w="0" w:type="dxa"/>
                <w:right w:w="0" w:type="dxa"/>
              </w:tblCellMar>
              <w:tblLook w:val="0000" w:firstRow="0" w:lastRow="0" w:firstColumn="0" w:lastColumn="0" w:noHBand="0" w:noVBand="0"/>
            </w:tblPr>
            <w:tblGrid>
              <w:gridCol w:w="1966"/>
              <w:gridCol w:w="852"/>
              <w:gridCol w:w="847"/>
              <w:gridCol w:w="848"/>
              <w:gridCol w:w="852"/>
              <w:gridCol w:w="850"/>
              <w:gridCol w:w="708"/>
              <w:gridCol w:w="852"/>
              <w:gridCol w:w="709"/>
            </w:tblGrid>
            <w:tr w:rsidR="004B2356" w:rsidTr="002B0DE6">
              <w:tc>
                <w:tcPr>
                  <w:tcW w:w="1159" w:type="pct"/>
                  <w:tcBorders>
                    <w:top w:val="single" w:sz="6" w:space="0" w:color="BFBFBF"/>
                    <w:bottom w:val="single" w:sz="6" w:space="0" w:color="BFBFBF"/>
                  </w:tcBorders>
                  <w:shd w:val="clear" w:color="auto" w:fill="auto"/>
                  <w:tcMar>
                    <w:top w:w="28" w:type="dxa"/>
                  </w:tcMar>
                </w:tcPr>
                <w:p w:rsidR="004B2356" w:rsidRDefault="004B2356" w:rsidP="007D422B">
                  <w:pPr>
                    <w:pStyle w:val="TableColumnHeading"/>
                    <w:jc w:val="left"/>
                  </w:pPr>
                </w:p>
              </w:tc>
              <w:tc>
                <w:tcPr>
                  <w:tcW w:w="502" w:type="pct"/>
                  <w:tcBorders>
                    <w:top w:val="single" w:sz="6" w:space="0" w:color="BFBFBF"/>
                    <w:bottom w:val="single" w:sz="6" w:space="0" w:color="BFBFBF"/>
                  </w:tcBorders>
                  <w:vAlign w:val="bottom"/>
                </w:tcPr>
                <w:p w:rsidR="004B2356" w:rsidRDefault="004B2356" w:rsidP="002B0DE6">
                  <w:pPr>
                    <w:pStyle w:val="TableColumnHeading"/>
                  </w:pPr>
                  <w:r>
                    <w:t>NSW</w:t>
                  </w:r>
                </w:p>
              </w:tc>
              <w:tc>
                <w:tcPr>
                  <w:tcW w:w="499" w:type="pct"/>
                  <w:tcBorders>
                    <w:top w:val="single" w:sz="6" w:space="0" w:color="BFBFBF"/>
                    <w:bottom w:val="single" w:sz="6" w:space="0" w:color="BFBFBF"/>
                  </w:tcBorders>
                  <w:vAlign w:val="bottom"/>
                </w:tcPr>
                <w:p w:rsidR="004B2356" w:rsidRDefault="004B2356" w:rsidP="002B0DE6">
                  <w:pPr>
                    <w:pStyle w:val="TableColumnHeading"/>
                  </w:pPr>
                  <w:r>
                    <w:t>Vic</w:t>
                  </w:r>
                  <w:r w:rsidRPr="004E127C">
                    <w:rPr>
                      <w:rStyle w:val="NoteLabel"/>
                      <w:i w:val="0"/>
                    </w:rPr>
                    <w:t>a</w:t>
                  </w:r>
                </w:p>
              </w:tc>
              <w:tc>
                <w:tcPr>
                  <w:tcW w:w="500" w:type="pct"/>
                  <w:tcBorders>
                    <w:top w:val="single" w:sz="6" w:space="0" w:color="BFBFBF"/>
                    <w:bottom w:val="single" w:sz="6" w:space="0" w:color="BFBFBF"/>
                  </w:tcBorders>
                  <w:vAlign w:val="bottom"/>
                </w:tcPr>
                <w:p w:rsidR="004B2356" w:rsidRDefault="004B2356" w:rsidP="002B0DE6">
                  <w:pPr>
                    <w:pStyle w:val="TableColumnHeading"/>
                  </w:pPr>
                  <w:r>
                    <w:t>Qld</w:t>
                  </w:r>
                </w:p>
              </w:tc>
              <w:tc>
                <w:tcPr>
                  <w:tcW w:w="502" w:type="pct"/>
                  <w:tcBorders>
                    <w:top w:val="single" w:sz="6" w:space="0" w:color="BFBFBF"/>
                    <w:bottom w:val="single" w:sz="6" w:space="0" w:color="BFBFBF"/>
                  </w:tcBorders>
                  <w:vAlign w:val="bottom"/>
                </w:tcPr>
                <w:p w:rsidR="004B2356" w:rsidRDefault="004B2356" w:rsidP="002B0DE6">
                  <w:pPr>
                    <w:pStyle w:val="TableColumnHeading"/>
                  </w:pPr>
                  <w:r>
                    <w:t>WA</w:t>
                  </w:r>
                  <w:r>
                    <w:rPr>
                      <w:rStyle w:val="NoteLabel"/>
                      <w:i w:val="0"/>
                    </w:rPr>
                    <w:t>a</w:t>
                  </w:r>
                </w:p>
              </w:tc>
              <w:tc>
                <w:tcPr>
                  <w:tcW w:w="501" w:type="pct"/>
                  <w:tcBorders>
                    <w:top w:val="single" w:sz="6" w:space="0" w:color="BFBFBF"/>
                    <w:bottom w:val="single" w:sz="6" w:space="0" w:color="BFBFBF"/>
                  </w:tcBorders>
                  <w:vAlign w:val="bottom"/>
                </w:tcPr>
                <w:p w:rsidR="004B2356" w:rsidRDefault="004B2356" w:rsidP="002B0DE6">
                  <w:pPr>
                    <w:pStyle w:val="TableColumnHeading"/>
                  </w:pPr>
                  <w:r>
                    <w:t>SA</w:t>
                  </w:r>
                  <w:r>
                    <w:rPr>
                      <w:rStyle w:val="NoteLabel"/>
                      <w:i w:val="0"/>
                    </w:rPr>
                    <w:t>a</w:t>
                  </w:r>
                </w:p>
              </w:tc>
              <w:tc>
                <w:tcPr>
                  <w:tcW w:w="417" w:type="pct"/>
                  <w:tcBorders>
                    <w:top w:val="single" w:sz="6" w:space="0" w:color="BFBFBF"/>
                    <w:bottom w:val="single" w:sz="6" w:space="0" w:color="BFBFBF"/>
                  </w:tcBorders>
                  <w:vAlign w:val="bottom"/>
                </w:tcPr>
                <w:p w:rsidR="004B2356" w:rsidRDefault="004B2356" w:rsidP="002B0DE6">
                  <w:pPr>
                    <w:pStyle w:val="TableColumnHeading"/>
                  </w:pPr>
                  <w:r>
                    <w:t>Tas</w:t>
                  </w:r>
                </w:p>
              </w:tc>
              <w:tc>
                <w:tcPr>
                  <w:tcW w:w="502" w:type="pct"/>
                  <w:tcBorders>
                    <w:top w:val="single" w:sz="6" w:space="0" w:color="BFBFBF"/>
                    <w:bottom w:val="single" w:sz="6" w:space="0" w:color="BFBFBF"/>
                  </w:tcBorders>
                  <w:vAlign w:val="bottom"/>
                </w:tcPr>
                <w:p w:rsidR="004B2356" w:rsidRDefault="004B2356" w:rsidP="002B0DE6">
                  <w:pPr>
                    <w:pStyle w:val="TableColumnHeading"/>
                  </w:pPr>
                  <w:r>
                    <w:t>ACT</w:t>
                  </w:r>
                  <w:r>
                    <w:rPr>
                      <w:rStyle w:val="NoteLabel"/>
                      <w:i w:val="0"/>
                    </w:rPr>
                    <w:t>a, b</w:t>
                  </w:r>
                </w:p>
              </w:tc>
              <w:tc>
                <w:tcPr>
                  <w:tcW w:w="418" w:type="pct"/>
                  <w:tcBorders>
                    <w:top w:val="single" w:sz="6" w:space="0" w:color="BFBFBF"/>
                    <w:bottom w:val="single" w:sz="6" w:space="0" w:color="BFBFBF"/>
                  </w:tcBorders>
                  <w:shd w:val="clear" w:color="auto" w:fill="auto"/>
                  <w:tcMar>
                    <w:top w:w="28" w:type="dxa"/>
                  </w:tcMar>
                  <w:vAlign w:val="bottom"/>
                </w:tcPr>
                <w:p w:rsidR="004B2356" w:rsidRDefault="004B2356" w:rsidP="002B0DE6">
                  <w:pPr>
                    <w:pStyle w:val="TableColumnHeading"/>
                  </w:pPr>
                  <w:r>
                    <w:t>NT</w:t>
                  </w:r>
                </w:p>
              </w:tc>
            </w:tr>
            <w:tr w:rsidR="001B38C1" w:rsidTr="001B38C1">
              <w:tc>
                <w:tcPr>
                  <w:tcW w:w="1159" w:type="pct"/>
                  <w:tcBorders>
                    <w:top w:val="single" w:sz="6" w:space="0" w:color="BFBFBF"/>
                  </w:tcBorders>
                </w:tcPr>
                <w:p w:rsidR="001B38C1" w:rsidRDefault="001B38C1" w:rsidP="007D422B">
                  <w:pPr>
                    <w:pStyle w:val="TableUnitsRow"/>
                    <w:jc w:val="left"/>
                  </w:pPr>
                  <w:r>
                    <w:t>2009</w:t>
                  </w:r>
                </w:p>
              </w:tc>
              <w:tc>
                <w:tcPr>
                  <w:tcW w:w="502" w:type="pct"/>
                  <w:tcBorders>
                    <w:top w:val="single" w:sz="6" w:space="0" w:color="BFBFBF"/>
                  </w:tcBorders>
                </w:tcPr>
                <w:p w:rsidR="001B38C1" w:rsidRDefault="001B38C1" w:rsidP="007D422B">
                  <w:pPr>
                    <w:pStyle w:val="TableUnitsRow"/>
                  </w:pPr>
                </w:p>
              </w:tc>
              <w:tc>
                <w:tcPr>
                  <w:tcW w:w="499" w:type="pct"/>
                  <w:tcBorders>
                    <w:top w:val="single" w:sz="6" w:space="0" w:color="BFBFBF"/>
                  </w:tcBorders>
                </w:tcPr>
                <w:p w:rsidR="001B38C1" w:rsidRDefault="001B38C1" w:rsidP="007D422B">
                  <w:pPr>
                    <w:pStyle w:val="TableUnitsRow"/>
                  </w:pPr>
                </w:p>
              </w:tc>
              <w:tc>
                <w:tcPr>
                  <w:tcW w:w="500" w:type="pct"/>
                  <w:tcBorders>
                    <w:top w:val="single" w:sz="6" w:space="0" w:color="BFBFBF"/>
                  </w:tcBorders>
                </w:tcPr>
                <w:p w:rsidR="001B38C1" w:rsidRDefault="001B38C1" w:rsidP="007D422B">
                  <w:pPr>
                    <w:pStyle w:val="TableUnitsRow"/>
                  </w:pPr>
                </w:p>
              </w:tc>
              <w:tc>
                <w:tcPr>
                  <w:tcW w:w="502" w:type="pct"/>
                  <w:tcBorders>
                    <w:top w:val="single" w:sz="6" w:space="0" w:color="BFBFBF"/>
                  </w:tcBorders>
                </w:tcPr>
                <w:p w:rsidR="001B38C1" w:rsidRDefault="001B38C1" w:rsidP="007D422B">
                  <w:pPr>
                    <w:pStyle w:val="TableUnitsRow"/>
                  </w:pPr>
                </w:p>
              </w:tc>
              <w:tc>
                <w:tcPr>
                  <w:tcW w:w="501" w:type="pct"/>
                  <w:tcBorders>
                    <w:top w:val="single" w:sz="6" w:space="0" w:color="BFBFBF"/>
                  </w:tcBorders>
                </w:tcPr>
                <w:p w:rsidR="001B38C1" w:rsidRDefault="001B38C1" w:rsidP="007D422B">
                  <w:pPr>
                    <w:pStyle w:val="TableUnitsRow"/>
                  </w:pPr>
                </w:p>
              </w:tc>
              <w:tc>
                <w:tcPr>
                  <w:tcW w:w="417" w:type="pct"/>
                  <w:tcBorders>
                    <w:top w:val="single" w:sz="6" w:space="0" w:color="BFBFBF"/>
                  </w:tcBorders>
                </w:tcPr>
                <w:p w:rsidR="001B38C1" w:rsidRDefault="001B38C1" w:rsidP="007D422B">
                  <w:pPr>
                    <w:pStyle w:val="TableUnitsRow"/>
                  </w:pPr>
                </w:p>
              </w:tc>
              <w:tc>
                <w:tcPr>
                  <w:tcW w:w="502" w:type="pct"/>
                  <w:tcBorders>
                    <w:top w:val="single" w:sz="6" w:space="0" w:color="BFBFBF"/>
                  </w:tcBorders>
                </w:tcPr>
                <w:p w:rsidR="001B38C1" w:rsidRDefault="001B38C1" w:rsidP="007D422B">
                  <w:pPr>
                    <w:pStyle w:val="TableUnitsRow"/>
                  </w:pPr>
                </w:p>
              </w:tc>
              <w:tc>
                <w:tcPr>
                  <w:tcW w:w="418" w:type="pct"/>
                  <w:tcBorders>
                    <w:top w:val="single" w:sz="6" w:space="0" w:color="BFBFBF"/>
                  </w:tcBorders>
                </w:tcPr>
                <w:p w:rsidR="001B38C1" w:rsidRDefault="001B38C1" w:rsidP="007D422B">
                  <w:pPr>
                    <w:pStyle w:val="TableUnitsRow"/>
                  </w:pPr>
                </w:p>
              </w:tc>
            </w:tr>
            <w:tr w:rsidR="001B38C1" w:rsidTr="001B38C1">
              <w:tc>
                <w:tcPr>
                  <w:tcW w:w="1159" w:type="pct"/>
                </w:tcPr>
                <w:p w:rsidR="001B38C1" w:rsidRDefault="001B38C1" w:rsidP="007D422B">
                  <w:pPr>
                    <w:pStyle w:val="TableBodyText"/>
                    <w:ind w:left="120"/>
                    <w:jc w:val="left"/>
                  </w:pPr>
                  <w:r>
                    <w:t>First birth</w:t>
                  </w:r>
                </w:p>
              </w:tc>
              <w:tc>
                <w:tcPr>
                  <w:tcW w:w="502" w:type="pct"/>
                  <w:vAlign w:val="center"/>
                </w:tcPr>
                <w:p w:rsidR="001B38C1" w:rsidRPr="001B38C1" w:rsidRDefault="001B38C1" w:rsidP="001B38C1">
                  <w:pPr>
                    <w:pStyle w:val="TableBodyText"/>
                  </w:pPr>
                  <w:r w:rsidRPr="001B38C1">
                    <w:t>27.9</w:t>
                  </w:r>
                </w:p>
              </w:tc>
              <w:tc>
                <w:tcPr>
                  <w:tcW w:w="499" w:type="pct"/>
                  <w:vAlign w:val="center"/>
                </w:tcPr>
                <w:p w:rsidR="001B38C1" w:rsidRPr="001B38C1" w:rsidRDefault="001B38C1" w:rsidP="001B38C1">
                  <w:pPr>
                    <w:pStyle w:val="TableBodyText"/>
                  </w:pPr>
                  <w:r w:rsidRPr="001B38C1">
                    <w:t>28.2</w:t>
                  </w:r>
                </w:p>
              </w:tc>
              <w:tc>
                <w:tcPr>
                  <w:tcW w:w="500" w:type="pct"/>
                  <w:vAlign w:val="center"/>
                </w:tcPr>
                <w:p w:rsidR="001B38C1" w:rsidRPr="001B38C1" w:rsidRDefault="001B38C1" w:rsidP="001B38C1">
                  <w:pPr>
                    <w:pStyle w:val="TableBodyText"/>
                  </w:pPr>
                  <w:r w:rsidRPr="001B38C1">
                    <w:t>25.6</w:t>
                  </w:r>
                </w:p>
              </w:tc>
              <w:tc>
                <w:tcPr>
                  <w:tcW w:w="502" w:type="pct"/>
                  <w:vAlign w:val="center"/>
                </w:tcPr>
                <w:p w:rsidR="001B38C1" w:rsidRPr="001B38C1" w:rsidRDefault="001B38C1" w:rsidP="001B38C1">
                  <w:pPr>
                    <w:pStyle w:val="TableBodyText"/>
                  </w:pPr>
                  <w:r w:rsidRPr="001B38C1">
                    <w:t>26.2</w:t>
                  </w:r>
                </w:p>
              </w:tc>
              <w:tc>
                <w:tcPr>
                  <w:tcW w:w="501" w:type="pct"/>
                  <w:vAlign w:val="center"/>
                </w:tcPr>
                <w:p w:rsidR="001B38C1" w:rsidRPr="001B38C1" w:rsidRDefault="001B38C1" w:rsidP="001B38C1">
                  <w:pPr>
                    <w:pStyle w:val="TableBodyText"/>
                  </w:pPr>
                  <w:r w:rsidRPr="001B38C1">
                    <w:t>27.0</w:t>
                  </w:r>
                </w:p>
              </w:tc>
              <w:tc>
                <w:tcPr>
                  <w:tcW w:w="417" w:type="pct"/>
                  <w:vAlign w:val="center"/>
                </w:tcPr>
                <w:p w:rsidR="001B38C1" w:rsidRPr="001B38C1" w:rsidRDefault="001B38C1" w:rsidP="001B38C1">
                  <w:pPr>
                    <w:pStyle w:val="TableBodyText"/>
                  </w:pPr>
                  <w:r w:rsidRPr="001B38C1">
                    <w:t>27.9</w:t>
                  </w:r>
                </w:p>
              </w:tc>
              <w:tc>
                <w:tcPr>
                  <w:tcW w:w="502" w:type="pct"/>
                  <w:vAlign w:val="center"/>
                </w:tcPr>
                <w:p w:rsidR="001B38C1" w:rsidRPr="001B38C1" w:rsidRDefault="001B38C1" w:rsidP="001B38C1">
                  <w:pPr>
                    <w:pStyle w:val="TableBodyText"/>
                  </w:pPr>
                  <w:r w:rsidRPr="001B38C1">
                    <w:t>28.0</w:t>
                  </w:r>
                </w:p>
              </w:tc>
              <w:tc>
                <w:tcPr>
                  <w:tcW w:w="418" w:type="pct"/>
                  <w:vAlign w:val="center"/>
                </w:tcPr>
                <w:p w:rsidR="001B38C1" w:rsidRPr="001B38C1" w:rsidRDefault="001B38C1" w:rsidP="001B38C1">
                  <w:pPr>
                    <w:pStyle w:val="TableBodyText"/>
                  </w:pPr>
                  <w:r w:rsidRPr="001B38C1">
                    <w:t>24.2</w:t>
                  </w:r>
                </w:p>
              </w:tc>
            </w:tr>
            <w:tr w:rsidR="001B38C1" w:rsidTr="001B38C1">
              <w:tc>
                <w:tcPr>
                  <w:tcW w:w="1159" w:type="pct"/>
                </w:tcPr>
                <w:p w:rsidR="001B38C1" w:rsidRDefault="001B38C1" w:rsidP="007D422B">
                  <w:pPr>
                    <w:pStyle w:val="TableBodyText"/>
                    <w:ind w:left="120"/>
                    <w:jc w:val="left"/>
                  </w:pPr>
                  <w:r>
                    <w:t>Second birth</w:t>
                  </w:r>
                </w:p>
              </w:tc>
              <w:tc>
                <w:tcPr>
                  <w:tcW w:w="502" w:type="pct"/>
                  <w:vAlign w:val="center"/>
                </w:tcPr>
                <w:p w:rsidR="001B38C1" w:rsidRPr="001B38C1" w:rsidRDefault="001B38C1" w:rsidP="001B38C1">
                  <w:pPr>
                    <w:pStyle w:val="TableBodyText"/>
                  </w:pPr>
                  <w:r w:rsidRPr="001B38C1">
                    <w:t>30.4</w:t>
                  </w:r>
                </w:p>
              </w:tc>
              <w:tc>
                <w:tcPr>
                  <w:tcW w:w="499" w:type="pct"/>
                  <w:vAlign w:val="center"/>
                </w:tcPr>
                <w:p w:rsidR="001B38C1" w:rsidRPr="001B38C1" w:rsidRDefault="001B38C1" w:rsidP="001B38C1">
                  <w:pPr>
                    <w:pStyle w:val="TableBodyText"/>
                  </w:pPr>
                  <w:r w:rsidRPr="001B38C1">
                    <w:t>30.6</w:t>
                  </w:r>
                </w:p>
              </w:tc>
              <w:tc>
                <w:tcPr>
                  <w:tcW w:w="500" w:type="pct"/>
                  <w:vAlign w:val="center"/>
                </w:tcPr>
                <w:p w:rsidR="001B38C1" w:rsidRPr="001B38C1" w:rsidRDefault="001B38C1" w:rsidP="001B38C1">
                  <w:pPr>
                    <w:pStyle w:val="TableBodyText"/>
                  </w:pPr>
                  <w:r w:rsidRPr="001B38C1">
                    <w:t>28.3</w:t>
                  </w:r>
                </w:p>
              </w:tc>
              <w:tc>
                <w:tcPr>
                  <w:tcW w:w="502" w:type="pct"/>
                  <w:vAlign w:val="center"/>
                </w:tcPr>
                <w:p w:rsidR="001B38C1" w:rsidRPr="001B38C1" w:rsidRDefault="001B38C1" w:rsidP="001B38C1">
                  <w:pPr>
                    <w:pStyle w:val="TableBodyText"/>
                  </w:pPr>
                  <w:r w:rsidRPr="001B38C1">
                    <w:t>28.6</w:t>
                  </w:r>
                </w:p>
              </w:tc>
              <w:tc>
                <w:tcPr>
                  <w:tcW w:w="501" w:type="pct"/>
                  <w:vAlign w:val="center"/>
                </w:tcPr>
                <w:p w:rsidR="001B38C1" w:rsidRPr="001B38C1" w:rsidRDefault="001B38C1" w:rsidP="001B38C1">
                  <w:pPr>
                    <w:pStyle w:val="TableBodyText"/>
                  </w:pPr>
                  <w:r w:rsidRPr="001B38C1">
                    <w:t>29.6</w:t>
                  </w:r>
                </w:p>
              </w:tc>
              <w:tc>
                <w:tcPr>
                  <w:tcW w:w="417" w:type="pct"/>
                  <w:vAlign w:val="center"/>
                </w:tcPr>
                <w:p w:rsidR="001B38C1" w:rsidRPr="001B38C1" w:rsidRDefault="001B38C1" w:rsidP="001B38C1">
                  <w:pPr>
                    <w:pStyle w:val="TableBodyText"/>
                  </w:pPr>
                  <w:r w:rsidRPr="001B38C1">
                    <w:t>30.4</w:t>
                  </w:r>
                </w:p>
              </w:tc>
              <w:tc>
                <w:tcPr>
                  <w:tcW w:w="502" w:type="pct"/>
                  <w:vAlign w:val="center"/>
                </w:tcPr>
                <w:p w:rsidR="001B38C1" w:rsidRPr="001B38C1" w:rsidRDefault="001B38C1" w:rsidP="001B38C1">
                  <w:pPr>
                    <w:pStyle w:val="TableBodyText"/>
                  </w:pPr>
                  <w:r w:rsidRPr="001B38C1">
                    <w:t>30.5</w:t>
                  </w:r>
                </w:p>
              </w:tc>
              <w:tc>
                <w:tcPr>
                  <w:tcW w:w="418" w:type="pct"/>
                  <w:vAlign w:val="center"/>
                </w:tcPr>
                <w:p w:rsidR="001B38C1" w:rsidRPr="001B38C1" w:rsidRDefault="001B38C1" w:rsidP="001B38C1">
                  <w:pPr>
                    <w:pStyle w:val="TableBodyText"/>
                  </w:pPr>
                  <w:r w:rsidRPr="001B38C1">
                    <w:t>26.8</w:t>
                  </w:r>
                </w:p>
              </w:tc>
            </w:tr>
            <w:tr w:rsidR="001B38C1" w:rsidTr="001B38C1">
              <w:tc>
                <w:tcPr>
                  <w:tcW w:w="1159" w:type="pct"/>
                </w:tcPr>
                <w:p w:rsidR="001B38C1" w:rsidRDefault="001B38C1" w:rsidP="007D422B">
                  <w:pPr>
                    <w:pStyle w:val="TableBodyText"/>
                    <w:ind w:left="120"/>
                    <w:jc w:val="left"/>
                  </w:pPr>
                  <w:r>
                    <w:t>Third birth</w:t>
                  </w:r>
                </w:p>
              </w:tc>
              <w:tc>
                <w:tcPr>
                  <w:tcW w:w="502" w:type="pct"/>
                  <w:vAlign w:val="center"/>
                </w:tcPr>
                <w:p w:rsidR="001B38C1" w:rsidRPr="001B38C1" w:rsidRDefault="001B38C1" w:rsidP="001B38C1">
                  <w:pPr>
                    <w:pStyle w:val="TableBodyText"/>
                  </w:pPr>
                  <w:r w:rsidRPr="001B38C1">
                    <w:t>31.6</w:t>
                  </w:r>
                </w:p>
              </w:tc>
              <w:tc>
                <w:tcPr>
                  <w:tcW w:w="499" w:type="pct"/>
                  <w:vAlign w:val="center"/>
                </w:tcPr>
                <w:p w:rsidR="001B38C1" w:rsidRPr="001B38C1" w:rsidRDefault="001B38C1" w:rsidP="001B38C1">
                  <w:pPr>
                    <w:pStyle w:val="TableBodyText"/>
                  </w:pPr>
                  <w:r w:rsidRPr="001B38C1">
                    <w:t>32.0</w:t>
                  </w:r>
                </w:p>
              </w:tc>
              <w:tc>
                <w:tcPr>
                  <w:tcW w:w="500" w:type="pct"/>
                  <w:vAlign w:val="center"/>
                </w:tcPr>
                <w:p w:rsidR="001B38C1" w:rsidRPr="001B38C1" w:rsidRDefault="001B38C1" w:rsidP="001B38C1">
                  <w:pPr>
                    <w:pStyle w:val="TableBodyText"/>
                  </w:pPr>
                  <w:r w:rsidRPr="001B38C1">
                    <w:t>29.8</w:t>
                  </w:r>
                </w:p>
              </w:tc>
              <w:tc>
                <w:tcPr>
                  <w:tcW w:w="502" w:type="pct"/>
                  <w:vAlign w:val="center"/>
                </w:tcPr>
                <w:p w:rsidR="001B38C1" w:rsidRPr="001B38C1" w:rsidRDefault="001B38C1" w:rsidP="001B38C1">
                  <w:pPr>
                    <w:pStyle w:val="TableBodyText"/>
                  </w:pPr>
                  <w:r w:rsidRPr="001B38C1">
                    <w:t>30.1</w:t>
                  </w:r>
                </w:p>
              </w:tc>
              <w:tc>
                <w:tcPr>
                  <w:tcW w:w="501" w:type="pct"/>
                  <w:vAlign w:val="center"/>
                </w:tcPr>
                <w:p w:rsidR="001B38C1" w:rsidRPr="001B38C1" w:rsidRDefault="001B38C1" w:rsidP="001B38C1">
                  <w:pPr>
                    <w:pStyle w:val="TableBodyText"/>
                  </w:pPr>
                  <w:r w:rsidRPr="001B38C1">
                    <w:t>31.1</w:t>
                  </w:r>
                </w:p>
              </w:tc>
              <w:tc>
                <w:tcPr>
                  <w:tcW w:w="417" w:type="pct"/>
                  <w:vAlign w:val="center"/>
                </w:tcPr>
                <w:p w:rsidR="001B38C1" w:rsidRPr="001B38C1" w:rsidRDefault="001B38C1" w:rsidP="001B38C1">
                  <w:pPr>
                    <w:pStyle w:val="TableBodyText"/>
                  </w:pPr>
                  <w:r w:rsidRPr="001B38C1">
                    <w:t>31.6</w:t>
                  </w:r>
                </w:p>
              </w:tc>
              <w:tc>
                <w:tcPr>
                  <w:tcW w:w="502" w:type="pct"/>
                  <w:vAlign w:val="center"/>
                </w:tcPr>
                <w:p w:rsidR="001B38C1" w:rsidRPr="001B38C1" w:rsidRDefault="001B38C1" w:rsidP="001B38C1">
                  <w:pPr>
                    <w:pStyle w:val="TableBodyText"/>
                  </w:pPr>
                  <w:r w:rsidRPr="001B38C1">
                    <w:t>31.4</w:t>
                  </w:r>
                </w:p>
              </w:tc>
              <w:tc>
                <w:tcPr>
                  <w:tcW w:w="418" w:type="pct"/>
                  <w:vAlign w:val="center"/>
                </w:tcPr>
                <w:p w:rsidR="001B38C1" w:rsidRPr="001B38C1" w:rsidRDefault="001B38C1" w:rsidP="001B38C1">
                  <w:pPr>
                    <w:pStyle w:val="TableBodyText"/>
                  </w:pPr>
                  <w:r w:rsidRPr="001B38C1">
                    <w:t>28.6</w:t>
                  </w:r>
                </w:p>
              </w:tc>
            </w:tr>
            <w:tr w:rsidR="001B38C1" w:rsidTr="001B38C1">
              <w:tc>
                <w:tcPr>
                  <w:tcW w:w="1159" w:type="pct"/>
                </w:tcPr>
                <w:p w:rsidR="001B38C1" w:rsidRDefault="001B38C1" w:rsidP="007D422B">
                  <w:pPr>
                    <w:pStyle w:val="TableBodyText"/>
                    <w:ind w:left="120"/>
                    <w:jc w:val="left"/>
                  </w:pPr>
                  <w:r>
                    <w:t>All births</w:t>
                  </w:r>
                </w:p>
              </w:tc>
              <w:tc>
                <w:tcPr>
                  <w:tcW w:w="502" w:type="pct"/>
                  <w:vAlign w:val="center"/>
                </w:tcPr>
                <w:p w:rsidR="001B38C1" w:rsidRPr="001B38C1" w:rsidRDefault="001B38C1" w:rsidP="001B38C1">
                  <w:pPr>
                    <w:pStyle w:val="TableBodyText"/>
                  </w:pPr>
                  <w:r w:rsidRPr="001B38C1">
                    <w:t>29.9</w:t>
                  </w:r>
                </w:p>
              </w:tc>
              <w:tc>
                <w:tcPr>
                  <w:tcW w:w="499" w:type="pct"/>
                  <w:vAlign w:val="center"/>
                </w:tcPr>
                <w:p w:rsidR="001B38C1" w:rsidRPr="001B38C1" w:rsidRDefault="001B38C1" w:rsidP="001B38C1">
                  <w:pPr>
                    <w:pStyle w:val="TableBodyText"/>
                  </w:pPr>
                  <w:r w:rsidRPr="001B38C1">
                    <w:t>30.1</w:t>
                  </w:r>
                </w:p>
              </w:tc>
              <w:tc>
                <w:tcPr>
                  <w:tcW w:w="500" w:type="pct"/>
                  <w:vAlign w:val="center"/>
                </w:tcPr>
                <w:p w:rsidR="001B38C1" w:rsidRPr="001B38C1" w:rsidRDefault="001B38C1" w:rsidP="001B38C1">
                  <w:pPr>
                    <w:pStyle w:val="TableBodyText"/>
                  </w:pPr>
                  <w:r w:rsidRPr="001B38C1">
                    <w:t>28.0</w:t>
                  </w:r>
                </w:p>
              </w:tc>
              <w:tc>
                <w:tcPr>
                  <w:tcW w:w="502" w:type="pct"/>
                  <w:vAlign w:val="center"/>
                </w:tcPr>
                <w:p w:rsidR="001B38C1" w:rsidRPr="001B38C1" w:rsidRDefault="001B38C1" w:rsidP="001B38C1">
                  <w:pPr>
                    <w:pStyle w:val="TableBodyText"/>
                  </w:pPr>
                  <w:r w:rsidRPr="001B38C1">
                    <w:t>28.3</w:t>
                  </w:r>
                </w:p>
              </w:tc>
              <w:tc>
                <w:tcPr>
                  <w:tcW w:w="501" w:type="pct"/>
                  <w:vAlign w:val="center"/>
                </w:tcPr>
                <w:p w:rsidR="001B38C1" w:rsidRPr="001B38C1" w:rsidRDefault="001B38C1" w:rsidP="001B38C1">
                  <w:pPr>
                    <w:pStyle w:val="TableBodyText"/>
                  </w:pPr>
                  <w:r w:rsidRPr="001B38C1">
                    <w:t>29.1</w:t>
                  </w:r>
                </w:p>
              </w:tc>
              <w:tc>
                <w:tcPr>
                  <w:tcW w:w="417" w:type="pct"/>
                  <w:vAlign w:val="center"/>
                </w:tcPr>
                <w:p w:rsidR="001B38C1" w:rsidRPr="001B38C1" w:rsidRDefault="001B38C1" w:rsidP="001B38C1">
                  <w:pPr>
                    <w:pStyle w:val="TableBodyText"/>
                  </w:pPr>
                  <w:r w:rsidRPr="001B38C1">
                    <w:t>29.9</w:t>
                  </w:r>
                </w:p>
              </w:tc>
              <w:tc>
                <w:tcPr>
                  <w:tcW w:w="502" w:type="pct"/>
                  <w:vAlign w:val="center"/>
                </w:tcPr>
                <w:p w:rsidR="001B38C1" w:rsidRPr="001B38C1" w:rsidRDefault="001B38C1" w:rsidP="001B38C1">
                  <w:pPr>
                    <w:pStyle w:val="TableBodyText"/>
                  </w:pPr>
                  <w:r w:rsidRPr="001B38C1">
                    <w:t>29.8</w:t>
                  </w:r>
                </w:p>
              </w:tc>
              <w:tc>
                <w:tcPr>
                  <w:tcW w:w="418" w:type="pct"/>
                  <w:vAlign w:val="center"/>
                </w:tcPr>
                <w:p w:rsidR="001B38C1" w:rsidRPr="001B38C1" w:rsidRDefault="001B38C1" w:rsidP="001B38C1">
                  <w:pPr>
                    <w:pStyle w:val="TableBodyText"/>
                  </w:pPr>
                  <w:r w:rsidRPr="001B38C1">
                    <w:t>26.9</w:t>
                  </w:r>
                </w:p>
              </w:tc>
            </w:tr>
            <w:tr w:rsidR="001B38C1" w:rsidTr="001B38C1">
              <w:tc>
                <w:tcPr>
                  <w:tcW w:w="1159" w:type="pct"/>
                </w:tcPr>
                <w:p w:rsidR="001B38C1" w:rsidRDefault="001B38C1" w:rsidP="007D422B">
                  <w:pPr>
                    <w:pStyle w:val="TableBodyText"/>
                    <w:jc w:val="left"/>
                  </w:pPr>
                  <w:r>
                    <w:t>2010</w:t>
                  </w:r>
                </w:p>
              </w:tc>
              <w:tc>
                <w:tcPr>
                  <w:tcW w:w="502" w:type="pct"/>
                  <w:vAlign w:val="center"/>
                </w:tcPr>
                <w:p w:rsidR="001B38C1" w:rsidRPr="001B38C1" w:rsidRDefault="001B38C1" w:rsidP="001B38C1">
                  <w:pPr>
                    <w:pStyle w:val="TableBodyText"/>
                  </w:pPr>
                </w:p>
              </w:tc>
              <w:tc>
                <w:tcPr>
                  <w:tcW w:w="499" w:type="pct"/>
                  <w:vAlign w:val="center"/>
                </w:tcPr>
                <w:p w:rsidR="001B38C1" w:rsidRPr="001B38C1" w:rsidRDefault="001B38C1" w:rsidP="001B38C1">
                  <w:pPr>
                    <w:pStyle w:val="TableBodyText"/>
                  </w:pPr>
                </w:p>
              </w:tc>
              <w:tc>
                <w:tcPr>
                  <w:tcW w:w="500" w:type="pct"/>
                  <w:vAlign w:val="center"/>
                </w:tcPr>
                <w:p w:rsidR="001B38C1" w:rsidRPr="001B38C1" w:rsidRDefault="001B38C1" w:rsidP="001B38C1">
                  <w:pPr>
                    <w:pStyle w:val="TableBodyText"/>
                  </w:pPr>
                </w:p>
              </w:tc>
              <w:tc>
                <w:tcPr>
                  <w:tcW w:w="502" w:type="pct"/>
                  <w:vAlign w:val="center"/>
                </w:tcPr>
                <w:p w:rsidR="001B38C1" w:rsidRPr="001B38C1" w:rsidRDefault="001B38C1" w:rsidP="001B38C1">
                  <w:pPr>
                    <w:pStyle w:val="TableBodyText"/>
                  </w:pPr>
                </w:p>
              </w:tc>
              <w:tc>
                <w:tcPr>
                  <w:tcW w:w="501" w:type="pct"/>
                  <w:vAlign w:val="center"/>
                </w:tcPr>
                <w:p w:rsidR="001B38C1" w:rsidRPr="001B38C1" w:rsidRDefault="001B38C1" w:rsidP="001B38C1">
                  <w:pPr>
                    <w:pStyle w:val="TableBodyText"/>
                  </w:pPr>
                </w:p>
              </w:tc>
              <w:tc>
                <w:tcPr>
                  <w:tcW w:w="417" w:type="pct"/>
                  <w:vAlign w:val="center"/>
                </w:tcPr>
                <w:p w:rsidR="001B38C1" w:rsidRPr="001B38C1" w:rsidRDefault="001B38C1" w:rsidP="001B38C1">
                  <w:pPr>
                    <w:pStyle w:val="TableBodyText"/>
                  </w:pPr>
                </w:p>
              </w:tc>
              <w:tc>
                <w:tcPr>
                  <w:tcW w:w="502" w:type="pct"/>
                  <w:vAlign w:val="center"/>
                </w:tcPr>
                <w:p w:rsidR="001B38C1" w:rsidRPr="001B38C1" w:rsidRDefault="001B38C1" w:rsidP="001B38C1">
                  <w:pPr>
                    <w:pStyle w:val="TableBodyText"/>
                  </w:pPr>
                </w:p>
              </w:tc>
              <w:tc>
                <w:tcPr>
                  <w:tcW w:w="418" w:type="pct"/>
                  <w:vAlign w:val="center"/>
                </w:tcPr>
                <w:p w:rsidR="001B38C1" w:rsidRPr="001B38C1" w:rsidRDefault="001B38C1" w:rsidP="001B38C1">
                  <w:pPr>
                    <w:pStyle w:val="TableBodyText"/>
                  </w:pPr>
                </w:p>
              </w:tc>
            </w:tr>
            <w:tr w:rsidR="001B38C1" w:rsidTr="001B38C1">
              <w:tc>
                <w:tcPr>
                  <w:tcW w:w="1159" w:type="pct"/>
                </w:tcPr>
                <w:p w:rsidR="001B38C1" w:rsidRDefault="001B38C1" w:rsidP="007D422B">
                  <w:pPr>
                    <w:pStyle w:val="TableBodyText"/>
                    <w:ind w:left="120"/>
                    <w:jc w:val="left"/>
                  </w:pPr>
                  <w:r>
                    <w:t>First birth</w:t>
                  </w:r>
                </w:p>
              </w:tc>
              <w:tc>
                <w:tcPr>
                  <w:tcW w:w="502" w:type="pct"/>
                  <w:vAlign w:val="center"/>
                </w:tcPr>
                <w:p w:rsidR="001B38C1" w:rsidRPr="001B38C1" w:rsidRDefault="001B38C1" w:rsidP="001B38C1">
                  <w:pPr>
                    <w:pStyle w:val="TableBodyText"/>
                  </w:pPr>
                  <w:r w:rsidRPr="001B38C1">
                    <w:t>28.2</w:t>
                  </w:r>
                </w:p>
              </w:tc>
              <w:tc>
                <w:tcPr>
                  <w:tcW w:w="499" w:type="pct"/>
                  <w:vAlign w:val="center"/>
                </w:tcPr>
                <w:p w:rsidR="001B38C1" w:rsidRPr="001B38C1" w:rsidRDefault="001B38C1" w:rsidP="001B38C1">
                  <w:pPr>
                    <w:pStyle w:val="TableBodyText"/>
                  </w:pPr>
                  <w:r w:rsidRPr="001B38C1">
                    <w:t>28.4</w:t>
                  </w:r>
                </w:p>
              </w:tc>
              <w:tc>
                <w:tcPr>
                  <w:tcW w:w="500" w:type="pct"/>
                  <w:vAlign w:val="center"/>
                </w:tcPr>
                <w:p w:rsidR="001B38C1" w:rsidRPr="001B38C1" w:rsidRDefault="001B38C1" w:rsidP="001B38C1">
                  <w:pPr>
                    <w:pStyle w:val="TableBodyText"/>
                  </w:pPr>
                  <w:r w:rsidRPr="001B38C1">
                    <w:t>25.6</w:t>
                  </w:r>
                </w:p>
              </w:tc>
              <w:tc>
                <w:tcPr>
                  <w:tcW w:w="502" w:type="pct"/>
                  <w:vAlign w:val="center"/>
                </w:tcPr>
                <w:p w:rsidR="001B38C1" w:rsidRPr="001B38C1" w:rsidRDefault="001B38C1" w:rsidP="001B38C1">
                  <w:pPr>
                    <w:pStyle w:val="TableBodyText"/>
                  </w:pPr>
                  <w:r w:rsidRPr="001B38C1">
                    <w:t>26.3</w:t>
                  </w:r>
                </w:p>
              </w:tc>
              <w:tc>
                <w:tcPr>
                  <w:tcW w:w="501" w:type="pct"/>
                  <w:vAlign w:val="center"/>
                </w:tcPr>
                <w:p w:rsidR="001B38C1" w:rsidRPr="001B38C1" w:rsidRDefault="001B38C1" w:rsidP="001B38C1">
                  <w:pPr>
                    <w:pStyle w:val="TableBodyText"/>
                  </w:pPr>
                  <w:r w:rsidRPr="001B38C1">
                    <w:t>27.1</w:t>
                  </w:r>
                </w:p>
              </w:tc>
              <w:tc>
                <w:tcPr>
                  <w:tcW w:w="417" w:type="pct"/>
                  <w:vAlign w:val="center"/>
                </w:tcPr>
                <w:p w:rsidR="001B38C1" w:rsidRPr="001B38C1" w:rsidRDefault="001B38C1" w:rsidP="001B38C1">
                  <w:pPr>
                    <w:pStyle w:val="TableBodyText"/>
                  </w:pPr>
                  <w:r w:rsidRPr="001B38C1">
                    <w:t>28.2</w:t>
                  </w:r>
                </w:p>
              </w:tc>
              <w:tc>
                <w:tcPr>
                  <w:tcW w:w="502" w:type="pct"/>
                  <w:vAlign w:val="center"/>
                </w:tcPr>
                <w:p w:rsidR="001B38C1" w:rsidRPr="001B38C1" w:rsidRDefault="001B38C1" w:rsidP="001B38C1">
                  <w:pPr>
                    <w:pStyle w:val="TableBodyText"/>
                  </w:pPr>
                  <w:r w:rsidRPr="001B38C1">
                    <w:t>28.0</w:t>
                  </w:r>
                </w:p>
              </w:tc>
              <w:tc>
                <w:tcPr>
                  <w:tcW w:w="418" w:type="pct"/>
                  <w:vAlign w:val="center"/>
                </w:tcPr>
                <w:p w:rsidR="001B38C1" w:rsidRPr="001B38C1" w:rsidRDefault="001B38C1" w:rsidP="001B38C1">
                  <w:pPr>
                    <w:pStyle w:val="TableBodyText"/>
                  </w:pPr>
                  <w:r w:rsidRPr="001B38C1">
                    <w:t>24.6</w:t>
                  </w:r>
                </w:p>
              </w:tc>
            </w:tr>
            <w:tr w:rsidR="001B38C1" w:rsidTr="001B38C1">
              <w:tc>
                <w:tcPr>
                  <w:tcW w:w="1159" w:type="pct"/>
                </w:tcPr>
                <w:p w:rsidR="001B38C1" w:rsidRDefault="001B38C1" w:rsidP="007D422B">
                  <w:pPr>
                    <w:pStyle w:val="TableBodyText"/>
                    <w:ind w:left="120"/>
                    <w:jc w:val="left"/>
                  </w:pPr>
                  <w:r>
                    <w:t>Second birth</w:t>
                  </w:r>
                </w:p>
              </w:tc>
              <w:tc>
                <w:tcPr>
                  <w:tcW w:w="502" w:type="pct"/>
                  <w:vAlign w:val="center"/>
                </w:tcPr>
                <w:p w:rsidR="001B38C1" w:rsidRPr="001B38C1" w:rsidRDefault="001B38C1" w:rsidP="001B38C1">
                  <w:pPr>
                    <w:pStyle w:val="TableBodyText"/>
                  </w:pPr>
                  <w:r w:rsidRPr="001B38C1">
                    <w:t>30.3</w:t>
                  </w:r>
                </w:p>
              </w:tc>
              <w:tc>
                <w:tcPr>
                  <w:tcW w:w="499" w:type="pct"/>
                  <w:vAlign w:val="center"/>
                </w:tcPr>
                <w:p w:rsidR="001B38C1" w:rsidRPr="001B38C1" w:rsidRDefault="001B38C1" w:rsidP="001B38C1">
                  <w:pPr>
                    <w:pStyle w:val="TableBodyText"/>
                  </w:pPr>
                  <w:r w:rsidRPr="001B38C1">
                    <w:t>30.8</w:t>
                  </w:r>
                </w:p>
              </w:tc>
              <w:tc>
                <w:tcPr>
                  <w:tcW w:w="500" w:type="pct"/>
                  <w:vAlign w:val="center"/>
                </w:tcPr>
                <w:p w:rsidR="001B38C1" w:rsidRPr="001B38C1" w:rsidRDefault="001B38C1" w:rsidP="001B38C1">
                  <w:pPr>
                    <w:pStyle w:val="TableBodyText"/>
                  </w:pPr>
                  <w:r w:rsidRPr="001B38C1">
                    <w:t>28.2</w:t>
                  </w:r>
                </w:p>
              </w:tc>
              <w:tc>
                <w:tcPr>
                  <w:tcW w:w="502" w:type="pct"/>
                  <w:vAlign w:val="center"/>
                </w:tcPr>
                <w:p w:rsidR="001B38C1" w:rsidRPr="001B38C1" w:rsidRDefault="001B38C1" w:rsidP="001B38C1">
                  <w:pPr>
                    <w:pStyle w:val="TableBodyText"/>
                  </w:pPr>
                  <w:r w:rsidRPr="001B38C1">
                    <w:t>28.8</w:t>
                  </w:r>
                </w:p>
              </w:tc>
              <w:tc>
                <w:tcPr>
                  <w:tcW w:w="501" w:type="pct"/>
                  <w:vAlign w:val="center"/>
                </w:tcPr>
                <w:p w:rsidR="001B38C1" w:rsidRPr="001B38C1" w:rsidRDefault="001B38C1" w:rsidP="001B38C1">
                  <w:pPr>
                    <w:pStyle w:val="TableBodyText"/>
                  </w:pPr>
                  <w:r w:rsidRPr="001B38C1">
                    <w:t>29.6</w:t>
                  </w:r>
                </w:p>
              </w:tc>
              <w:tc>
                <w:tcPr>
                  <w:tcW w:w="417" w:type="pct"/>
                  <w:vAlign w:val="center"/>
                </w:tcPr>
                <w:p w:rsidR="001B38C1" w:rsidRPr="001B38C1" w:rsidRDefault="001B38C1" w:rsidP="001B38C1">
                  <w:pPr>
                    <w:pStyle w:val="TableBodyText"/>
                  </w:pPr>
                  <w:r w:rsidRPr="001B38C1">
                    <w:t>30.3</w:t>
                  </w:r>
                </w:p>
              </w:tc>
              <w:tc>
                <w:tcPr>
                  <w:tcW w:w="502" w:type="pct"/>
                  <w:vAlign w:val="center"/>
                </w:tcPr>
                <w:p w:rsidR="001B38C1" w:rsidRPr="001B38C1" w:rsidRDefault="001B38C1" w:rsidP="001B38C1">
                  <w:pPr>
                    <w:pStyle w:val="TableBodyText"/>
                  </w:pPr>
                  <w:r w:rsidRPr="001B38C1">
                    <w:t>30.4</w:t>
                  </w:r>
                </w:p>
              </w:tc>
              <w:tc>
                <w:tcPr>
                  <w:tcW w:w="418" w:type="pct"/>
                  <w:vAlign w:val="center"/>
                </w:tcPr>
                <w:p w:rsidR="001B38C1" w:rsidRPr="001B38C1" w:rsidRDefault="001B38C1" w:rsidP="001B38C1">
                  <w:pPr>
                    <w:pStyle w:val="TableBodyText"/>
                  </w:pPr>
                  <w:r w:rsidRPr="001B38C1">
                    <w:t>27.1</w:t>
                  </w:r>
                </w:p>
              </w:tc>
            </w:tr>
            <w:tr w:rsidR="001B38C1" w:rsidTr="001B38C1">
              <w:tc>
                <w:tcPr>
                  <w:tcW w:w="1159" w:type="pct"/>
                </w:tcPr>
                <w:p w:rsidR="001B38C1" w:rsidRDefault="001B38C1" w:rsidP="007D422B">
                  <w:pPr>
                    <w:pStyle w:val="TableBodyText"/>
                    <w:ind w:left="120"/>
                    <w:jc w:val="left"/>
                  </w:pPr>
                  <w:r>
                    <w:t>Third birth</w:t>
                  </w:r>
                </w:p>
              </w:tc>
              <w:tc>
                <w:tcPr>
                  <w:tcW w:w="502" w:type="pct"/>
                  <w:vAlign w:val="center"/>
                </w:tcPr>
                <w:p w:rsidR="001B38C1" w:rsidRPr="001B38C1" w:rsidRDefault="001B38C1" w:rsidP="001B38C1">
                  <w:pPr>
                    <w:pStyle w:val="TableBodyText"/>
                  </w:pPr>
                  <w:r w:rsidRPr="001B38C1">
                    <w:t>31.6</w:t>
                  </w:r>
                </w:p>
              </w:tc>
              <w:tc>
                <w:tcPr>
                  <w:tcW w:w="499" w:type="pct"/>
                  <w:vAlign w:val="center"/>
                </w:tcPr>
                <w:p w:rsidR="001B38C1" w:rsidRPr="001B38C1" w:rsidRDefault="001B38C1" w:rsidP="001B38C1">
                  <w:pPr>
                    <w:pStyle w:val="TableBodyText"/>
                  </w:pPr>
                  <w:r w:rsidRPr="001B38C1">
                    <w:t>32.1</w:t>
                  </w:r>
                </w:p>
              </w:tc>
              <w:tc>
                <w:tcPr>
                  <w:tcW w:w="500" w:type="pct"/>
                  <w:vAlign w:val="center"/>
                </w:tcPr>
                <w:p w:rsidR="001B38C1" w:rsidRPr="001B38C1" w:rsidRDefault="001B38C1" w:rsidP="001B38C1">
                  <w:pPr>
                    <w:pStyle w:val="TableBodyText"/>
                  </w:pPr>
                  <w:r w:rsidRPr="001B38C1">
                    <w:t>29.8</w:t>
                  </w:r>
                </w:p>
              </w:tc>
              <w:tc>
                <w:tcPr>
                  <w:tcW w:w="502" w:type="pct"/>
                  <w:vAlign w:val="center"/>
                </w:tcPr>
                <w:p w:rsidR="001B38C1" w:rsidRPr="001B38C1" w:rsidRDefault="001B38C1" w:rsidP="001B38C1">
                  <w:pPr>
                    <w:pStyle w:val="TableBodyText"/>
                  </w:pPr>
                  <w:r w:rsidRPr="001B38C1">
                    <w:t>30.3</w:t>
                  </w:r>
                </w:p>
              </w:tc>
              <w:tc>
                <w:tcPr>
                  <w:tcW w:w="501" w:type="pct"/>
                  <w:vAlign w:val="center"/>
                </w:tcPr>
                <w:p w:rsidR="001B38C1" w:rsidRPr="001B38C1" w:rsidRDefault="001B38C1" w:rsidP="001B38C1">
                  <w:pPr>
                    <w:pStyle w:val="TableBodyText"/>
                  </w:pPr>
                  <w:r w:rsidRPr="001B38C1">
                    <w:t>31.3</w:t>
                  </w:r>
                </w:p>
              </w:tc>
              <w:tc>
                <w:tcPr>
                  <w:tcW w:w="417" w:type="pct"/>
                  <w:vAlign w:val="center"/>
                </w:tcPr>
                <w:p w:rsidR="001B38C1" w:rsidRPr="001B38C1" w:rsidRDefault="001B38C1" w:rsidP="001B38C1">
                  <w:pPr>
                    <w:pStyle w:val="TableBodyText"/>
                  </w:pPr>
                  <w:r w:rsidRPr="001B38C1">
                    <w:t>31.6</w:t>
                  </w:r>
                </w:p>
              </w:tc>
              <w:tc>
                <w:tcPr>
                  <w:tcW w:w="502" w:type="pct"/>
                  <w:vAlign w:val="center"/>
                </w:tcPr>
                <w:p w:rsidR="001B38C1" w:rsidRPr="001B38C1" w:rsidRDefault="001B38C1" w:rsidP="001B38C1">
                  <w:pPr>
                    <w:pStyle w:val="TableBodyText"/>
                  </w:pPr>
                  <w:r w:rsidRPr="001B38C1">
                    <w:t>31.9</w:t>
                  </w:r>
                </w:p>
              </w:tc>
              <w:tc>
                <w:tcPr>
                  <w:tcW w:w="418" w:type="pct"/>
                  <w:vAlign w:val="center"/>
                </w:tcPr>
                <w:p w:rsidR="001B38C1" w:rsidRPr="001B38C1" w:rsidRDefault="001B38C1" w:rsidP="001B38C1">
                  <w:pPr>
                    <w:pStyle w:val="TableBodyText"/>
                  </w:pPr>
                  <w:r w:rsidRPr="001B38C1">
                    <w:t>28.9</w:t>
                  </w:r>
                </w:p>
              </w:tc>
            </w:tr>
            <w:tr w:rsidR="001B38C1" w:rsidTr="001B38C1">
              <w:tc>
                <w:tcPr>
                  <w:tcW w:w="1159" w:type="pct"/>
                </w:tcPr>
                <w:p w:rsidR="001B38C1" w:rsidRDefault="001B38C1" w:rsidP="007D422B">
                  <w:pPr>
                    <w:pStyle w:val="TableBodyText"/>
                    <w:ind w:left="120"/>
                    <w:jc w:val="left"/>
                  </w:pPr>
                  <w:r>
                    <w:t>All births</w:t>
                  </w:r>
                </w:p>
              </w:tc>
              <w:tc>
                <w:tcPr>
                  <w:tcW w:w="502" w:type="pct"/>
                  <w:vAlign w:val="center"/>
                </w:tcPr>
                <w:p w:rsidR="001B38C1" w:rsidRPr="001B38C1" w:rsidRDefault="001B38C1" w:rsidP="001B38C1">
                  <w:pPr>
                    <w:pStyle w:val="TableBodyText"/>
                  </w:pPr>
                  <w:r w:rsidRPr="001B38C1">
                    <w:t>29.9</w:t>
                  </w:r>
                </w:p>
              </w:tc>
              <w:tc>
                <w:tcPr>
                  <w:tcW w:w="499" w:type="pct"/>
                  <w:vAlign w:val="center"/>
                </w:tcPr>
                <w:p w:rsidR="001B38C1" w:rsidRPr="001B38C1" w:rsidRDefault="001B38C1" w:rsidP="001B38C1">
                  <w:pPr>
                    <w:pStyle w:val="TableBodyText"/>
                  </w:pPr>
                  <w:r w:rsidRPr="001B38C1">
                    <w:t>30.2</w:t>
                  </w:r>
                </w:p>
              </w:tc>
              <w:tc>
                <w:tcPr>
                  <w:tcW w:w="500" w:type="pct"/>
                  <w:vAlign w:val="center"/>
                </w:tcPr>
                <w:p w:rsidR="001B38C1" w:rsidRPr="001B38C1" w:rsidRDefault="001B38C1" w:rsidP="001B38C1">
                  <w:pPr>
                    <w:pStyle w:val="TableBodyText"/>
                  </w:pPr>
                  <w:r w:rsidRPr="001B38C1">
                    <w:t>28.0</w:t>
                  </w:r>
                </w:p>
              </w:tc>
              <w:tc>
                <w:tcPr>
                  <w:tcW w:w="502" w:type="pct"/>
                  <w:vAlign w:val="center"/>
                </w:tcPr>
                <w:p w:rsidR="001B38C1" w:rsidRPr="001B38C1" w:rsidRDefault="001B38C1" w:rsidP="001B38C1">
                  <w:pPr>
                    <w:pStyle w:val="TableBodyText"/>
                  </w:pPr>
                  <w:r w:rsidRPr="001B38C1">
                    <w:t>28.4</w:t>
                  </w:r>
                </w:p>
              </w:tc>
              <w:tc>
                <w:tcPr>
                  <w:tcW w:w="501" w:type="pct"/>
                  <w:vAlign w:val="center"/>
                </w:tcPr>
                <w:p w:rsidR="001B38C1" w:rsidRPr="001B38C1" w:rsidRDefault="001B38C1" w:rsidP="001B38C1">
                  <w:pPr>
                    <w:pStyle w:val="TableBodyText"/>
                  </w:pPr>
                  <w:r w:rsidRPr="001B38C1">
                    <w:t>29.2</w:t>
                  </w:r>
                </w:p>
              </w:tc>
              <w:tc>
                <w:tcPr>
                  <w:tcW w:w="417" w:type="pct"/>
                  <w:vAlign w:val="center"/>
                </w:tcPr>
                <w:p w:rsidR="001B38C1" w:rsidRPr="001B38C1" w:rsidRDefault="001B38C1" w:rsidP="001B38C1">
                  <w:pPr>
                    <w:pStyle w:val="TableBodyText"/>
                  </w:pPr>
                  <w:r w:rsidRPr="001B38C1">
                    <w:t>29.9</w:t>
                  </w:r>
                </w:p>
              </w:tc>
              <w:tc>
                <w:tcPr>
                  <w:tcW w:w="502" w:type="pct"/>
                  <w:vAlign w:val="center"/>
                </w:tcPr>
                <w:p w:rsidR="001B38C1" w:rsidRPr="001B38C1" w:rsidRDefault="001B38C1" w:rsidP="001B38C1">
                  <w:pPr>
                    <w:pStyle w:val="TableBodyText"/>
                  </w:pPr>
                  <w:r w:rsidRPr="001B38C1">
                    <w:t>29.9</w:t>
                  </w:r>
                </w:p>
              </w:tc>
              <w:tc>
                <w:tcPr>
                  <w:tcW w:w="418" w:type="pct"/>
                  <w:vAlign w:val="center"/>
                </w:tcPr>
                <w:p w:rsidR="001B38C1" w:rsidRPr="001B38C1" w:rsidRDefault="001B38C1" w:rsidP="001B38C1">
                  <w:pPr>
                    <w:pStyle w:val="TableBodyText"/>
                  </w:pPr>
                  <w:r w:rsidRPr="001B38C1">
                    <w:t>27.0</w:t>
                  </w:r>
                </w:p>
              </w:tc>
            </w:tr>
            <w:tr w:rsidR="001B38C1" w:rsidTr="001B38C1">
              <w:tc>
                <w:tcPr>
                  <w:tcW w:w="1159" w:type="pct"/>
                </w:tcPr>
                <w:p w:rsidR="001B38C1" w:rsidRDefault="001B38C1" w:rsidP="007D422B">
                  <w:pPr>
                    <w:pStyle w:val="TableBodyText"/>
                    <w:jc w:val="left"/>
                  </w:pPr>
                  <w:r>
                    <w:t>2011</w:t>
                  </w:r>
                </w:p>
              </w:tc>
              <w:tc>
                <w:tcPr>
                  <w:tcW w:w="502" w:type="pct"/>
                  <w:vAlign w:val="center"/>
                </w:tcPr>
                <w:p w:rsidR="001B38C1" w:rsidRPr="001B38C1" w:rsidRDefault="001B38C1" w:rsidP="001B38C1">
                  <w:pPr>
                    <w:pStyle w:val="TableBodyText"/>
                  </w:pPr>
                </w:p>
              </w:tc>
              <w:tc>
                <w:tcPr>
                  <w:tcW w:w="499" w:type="pct"/>
                  <w:vAlign w:val="center"/>
                </w:tcPr>
                <w:p w:rsidR="001B38C1" w:rsidRPr="001B38C1" w:rsidRDefault="001B38C1" w:rsidP="001B38C1">
                  <w:pPr>
                    <w:pStyle w:val="TableBodyText"/>
                  </w:pPr>
                </w:p>
              </w:tc>
              <w:tc>
                <w:tcPr>
                  <w:tcW w:w="500" w:type="pct"/>
                  <w:vAlign w:val="center"/>
                </w:tcPr>
                <w:p w:rsidR="001B38C1" w:rsidRPr="001B38C1" w:rsidRDefault="001B38C1" w:rsidP="001B38C1">
                  <w:pPr>
                    <w:pStyle w:val="TableBodyText"/>
                  </w:pPr>
                </w:p>
              </w:tc>
              <w:tc>
                <w:tcPr>
                  <w:tcW w:w="502" w:type="pct"/>
                  <w:vAlign w:val="center"/>
                </w:tcPr>
                <w:p w:rsidR="001B38C1" w:rsidRPr="001B38C1" w:rsidRDefault="001B38C1" w:rsidP="001B38C1">
                  <w:pPr>
                    <w:pStyle w:val="TableBodyText"/>
                  </w:pPr>
                </w:p>
              </w:tc>
              <w:tc>
                <w:tcPr>
                  <w:tcW w:w="501" w:type="pct"/>
                  <w:vAlign w:val="center"/>
                </w:tcPr>
                <w:p w:rsidR="001B38C1" w:rsidRPr="001B38C1" w:rsidRDefault="001B38C1" w:rsidP="001B38C1">
                  <w:pPr>
                    <w:pStyle w:val="TableBodyText"/>
                  </w:pPr>
                </w:p>
              </w:tc>
              <w:tc>
                <w:tcPr>
                  <w:tcW w:w="417" w:type="pct"/>
                  <w:vAlign w:val="center"/>
                </w:tcPr>
                <w:p w:rsidR="001B38C1" w:rsidRPr="001B38C1" w:rsidRDefault="001B38C1" w:rsidP="001B38C1">
                  <w:pPr>
                    <w:pStyle w:val="TableBodyText"/>
                  </w:pPr>
                </w:p>
              </w:tc>
              <w:tc>
                <w:tcPr>
                  <w:tcW w:w="502" w:type="pct"/>
                  <w:vAlign w:val="center"/>
                </w:tcPr>
                <w:p w:rsidR="001B38C1" w:rsidRPr="001B38C1" w:rsidRDefault="001B38C1" w:rsidP="001B38C1">
                  <w:pPr>
                    <w:pStyle w:val="TableBodyText"/>
                  </w:pPr>
                </w:p>
              </w:tc>
              <w:tc>
                <w:tcPr>
                  <w:tcW w:w="418" w:type="pct"/>
                  <w:vAlign w:val="center"/>
                </w:tcPr>
                <w:p w:rsidR="001B38C1" w:rsidRPr="001B38C1" w:rsidRDefault="001B38C1" w:rsidP="001B38C1">
                  <w:pPr>
                    <w:pStyle w:val="TableBodyText"/>
                  </w:pPr>
                </w:p>
              </w:tc>
            </w:tr>
            <w:tr w:rsidR="001B38C1" w:rsidTr="001B38C1">
              <w:tc>
                <w:tcPr>
                  <w:tcW w:w="1159" w:type="pct"/>
                </w:tcPr>
                <w:p w:rsidR="001B38C1" w:rsidRDefault="001B38C1" w:rsidP="007D422B">
                  <w:pPr>
                    <w:pStyle w:val="TableBodyText"/>
                    <w:ind w:left="120"/>
                    <w:jc w:val="left"/>
                  </w:pPr>
                  <w:r>
                    <w:t>First birth</w:t>
                  </w:r>
                </w:p>
              </w:tc>
              <w:tc>
                <w:tcPr>
                  <w:tcW w:w="502" w:type="pct"/>
                  <w:vAlign w:val="center"/>
                </w:tcPr>
                <w:p w:rsidR="001B38C1" w:rsidRPr="001B38C1" w:rsidRDefault="001B38C1" w:rsidP="001B38C1">
                  <w:pPr>
                    <w:pStyle w:val="TableBodyText"/>
                  </w:pPr>
                  <w:r w:rsidRPr="001B38C1">
                    <w:t>28.2</w:t>
                  </w:r>
                </w:p>
              </w:tc>
              <w:tc>
                <w:tcPr>
                  <w:tcW w:w="499" w:type="pct"/>
                  <w:vAlign w:val="center"/>
                </w:tcPr>
                <w:p w:rsidR="001B38C1" w:rsidRPr="001B38C1" w:rsidRDefault="001B38C1" w:rsidP="001B38C1">
                  <w:pPr>
                    <w:pStyle w:val="TableBodyText"/>
                  </w:pPr>
                  <w:r w:rsidRPr="001B38C1">
                    <w:t>28.4</w:t>
                  </w:r>
                </w:p>
              </w:tc>
              <w:tc>
                <w:tcPr>
                  <w:tcW w:w="500" w:type="pct"/>
                  <w:vAlign w:val="center"/>
                </w:tcPr>
                <w:p w:rsidR="001B38C1" w:rsidRPr="001B38C1" w:rsidRDefault="001B38C1" w:rsidP="001B38C1">
                  <w:pPr>
                    <w:pStyle w:val="TableBodyText"/>
                  </w:pPr>
                  <w:r w:rsidRPr="001B38C1">
                    <w:t>25.9</w:t>
                  </w:r>
                </w:p>
              </w:tc>
              <w:tc>
                <w:tcPr>
                  <w:tcW w:w="502" w:type="pct"/>
                  <w:vAlign w:val="center"/>
                </w:tcPr>
                <w:p w:rsidR="001B38C1" w:rsidRPr="001B38C1" w:rsidRDefault="001B38C1" w:rsidP="001B38C1">
                  <w:pPr>
                    <w:pStyle w:val="TableBodyText"/>
                  </w:pPr>
                  <w:r w:rsidRPr="001B38C1">
                    <w:t>26.5</w:t>
                  </w:r>
                </w:p>
              </w:tc>
              <w:tc>
                <w:tcPr>
                  <w:tcW w:w="501" w:type="pct"/>
                  <w:vAlign w:val="center"/>
                </w:tcPr>
                <w:p w:rsidR="001B38C1" w:rsidRPr="001B38C1" w:rsidRDefault="001B38C1" w:rsidP="001B38C1">
                  <w:pPr>
                    <w:pStyle w:val="TableBodyText"/>
                  </w:pPr>
                  <w:r w:rsidRPr="001B38C1">
                    <w:t>27.3</w:t>
                  </w:r>
                </w:p>
              </w:tc>
              <w:tc>
                <w:tcPr>
                  <w:tcW w:w="417" w:type="pct"/>
                  <w:vAlign w:val="center"/>
                </w:tcPr>
                <w:p w:rsidR="001B38C1" w:rsidRPr="001B38C1" w:rsidRDefault="001B38C1" w:rsidP="001B38C1">
                  <w:pPr>
                    <w:pStyle w:val="TableBodyText"/>
                  </w:pPr>
                  <w:r w:rsidRPr="001B38C1">
                    <w:t>28.2</w:t>
                  </w:r>
                </w:p>
              </w:tc>
              <w:tc>
                <w:tcPr>
                  <w:tcW w:w="502" w:type="pct"/>
                  <w:vAlign w:val="center"/>
                </w:tcPr>
                <w:p w:rsidR="001B38C1" w:rsidRPr="001B38C1" w:rsidRDefault="001B38C1" w:rsidP="001B38C1">
                  <w:pPr>
                    <w:pStyle w:val="TableBodyText"/>
                  </w:pPr>
                  <w:r w:rsidRPr="001B38C1">
                    <w:t>28.4</w:t>
                  </w:r>
                </w:p>
              </w:tc>
              <w:tc>
                <w:tcPr>
                  <w:tcW w:w="418" w:type="pct"/>
                  <w:vAlign w:val="center"/>
                </w:tcPr>
                <w:p w:rsidR="001B38C1" w:rsidRPr="001B38C1" w:rsidRDefault="001B38C1" w:rsidP="001B38C1">
                  <w:pPr>
                    <w:pStyle w:val="TableBodyText"/>
                  </w:pPr>
                  <w:r w:rsidRPr="001B38C1">
                    <w:t>24.7</w:t>
                  </w:r>
                </w:p>
              </w:tc>
            </w:tr>
            <w:tr w:rsidR="001B38C1" w:rsidTr="001B38C1">
              <w:tc>
                <w:tcPr>
                  <w:tcW w:w="1159" w:type="pct"/>
                </w:tcPr>
                <w:p w:rsidR="001B38C1" w:rsidRDefault="001B38C1" w:rsidP="007D422B">
                  <w:pPr>
                    <w:pStyle w:val="TableBodyText"/>
                    <w:ind w:left="120"/>
                    <w:jc w:val="left"/>
                  </w:pPr>
                  <w:r>
                    <w:t>Second birth</w:t>
                  </w:r>
                </w:p>
              </w:tc>
              <w:tc>
                <w:tcPr>
                  <w:tcW w:w="502" w:type="pct"/>
                  <w:vAlign w:val="center"/>
                </w:tcPr>
                <w:p w:rsidR="001B38C1" w:rsidRPr="001B38C1" w:rsidRDefault="001B38C1" w:rsidP="001B38C1">
                  <w:pPr>
                    <w:pStyle w:val="TableBodyText"/>
                  </w:pPr>
                  <w:r w:rsidRPr="001B38C1">
                    <w:t>30.4</w:t>
                  </w:r>
                </w:p>
              </w:tc>
              <w:tc>
                <w:tcPr>
                  <w:tcW w:w="499" w:type="pct"/>
                  <w:vAlign w:val="center"/>
                </w:tcPr>
                <w:p w:rsidR="001B38C1" w:rsidRPr="001B38C1" w:rsidRDefault="001B38C1" w:rsidP="001B38C1">
                  <w:pPr>
                    <w:pStyle w:val="TableBodyText"/>
                  </w:pPr>
                  <w:r w:rsidRPr="001B38C1">
                    <w:t>30.7</w:t>
                  </w:r>
                </w:p>
              </w:tc>
              <w:tc>
                <w:tcPr>
                  <w:tcW w:w="500" w:type="pct"/>
                  <w:vAlign w:val="center"/>
                </w:tcPr>
                <w:p w:rsidR="001B38C1" w:rsidRPr="001B38C1" w:rsidRDefault="001B38C1" w:rsidP="001B38C1">
                  <w:pPr>
                    <w:pStyle w:val="TableBodyText"/>
                  </w:pPr>
                  <w:r w:rsidRPr="001B38C1">
                    <w:t>28.2</w:t>
                  </w:r>
                </w:p>
              </w:tc>
              <w:tc>
                <w:tcPr>
                  <w:tcW w:w="502" w:type="pct"/>
                  <w:vAlign w:val="center"/>
                </w:tcPr>
                <w:p w:rsidR="001B38C1" w:rsidRPr="001B38C1" w:rsidRDefault="001B38C1" w:rsidP="001B38C1">
                  <w:pPr>
                    <w:pStyle w:val="TableBodyText"/>
                  </w:pPr>
                  <w:r w:rsidRPr="001B38C1">
                    <w:t>28.8</w:t>
                  </w:r>
                </w:p>
              </w:tc>
              <w:tc>
                <w:tcPr>
                  <w:tcW w:w="501" w:type="pct"/>
                  <w:vAlign w:val="center"/>
                </w:tcPr>
                <w:p w:rsidR="001B38C1" w:rsidRPr="001B38C1" w:rsidRDefault="001B38C1" w:rsidP="001B38C1">
                  <w:pPr>
                    <w:pStyle w:val="TableBodyText"/>
                  </w:pPr>
                  <w:r w:rsidRPr="001B38C1">
                    <w:t>29.8</w:t>
                  </w:r>
                </w:p>
              </w:tc>
              <w:tc>
                <w:tcPr>
                  <w:tcW w:w="417" w:type="pct"/>
                  <w:vAlign w:val="center"/>
                </w:tcPr>
                <w:p w:rsidR="001B38C1" w:rsidRPr="001B38C1" w:rsidRDefault="001B38C1" w:rsidP="001B38C1">
                  <w:pPr>
                    <w:pStyle w:val="TableBodyText"/>
                  </w:pPr>
                  <w:r w:rsidRPr="001B38C1">
                    <w:t>30.4</w:t>
                  </w:r>
                </w:p>
              </w:tc>
              <w:tc>
                <w:tcPr>
                  <w:tcW w:w="502" w:type="pct"/>
                  <w:vAlign w:val="center"/>
                </w:tcPr>
                <w:p w:rsidR="001B38C1" w:rsidRPr="001B38C1" w:rsidRDefault="001B38C1" w:rsidP="001B38C1">
                  <w:pPr>
                    <w:pStyle w:val="TableBodyText"/>
                  </w:pPr>
                  <w:r w:rsidRPr="001B38C1">
                    <w:t>30.6</w:t>
                  </w:r>
                </w:p>
              </w:tc>
              <w:tc>
                <w:tcPr>
                  <w:tcW w:w="418" w:type="pct"/>
                  <w:vAlign w:val="center"/>
                </w:tcPr>
                <w:p w:rsidR="001B38C1" w:rsidRPr="001B38C1" w:rsidRDefault="001B38C1" w:rsidP="001B38C1">
                  <w:pPr>
                    <w:pStyle w:val="TableBodyText"/>
                  </w:pPr>
                  <w:r w:rsidRPr="001B38C1">
                    <w:t>27.2</w:t>
                  </w:r>
                </w:p>
              </w:tc>
            </w:tr>
            <w:tr w:rsidR="001B38C1" w:rsidTr="001B38C1">
              <w:tc>
                <w:tcPr>
                  <w:tcW w:w="1159" w:type="pct"/>
                </w:tcPr>
                <w:p w:rsidR="001B38C1" w:rsidRDefault="001B38C1" w:rsidP="007D422B">
                  <w:pPr>
                    <w:pStyle w:val="TableBodyText"/>
                    <w:ind w:left="120"/>
                    <w:jc w:val="left"/>
                  </w:pPr>
                  <w:r>
                    <w:t>Third birth</w:t>
                  </w:r>
                </w:p>
              </w:tc>
              <w:tc>
                <w:tcPr>
                  <w:tcW w:w="502" w:type="pct"/>
                  <w:vAlign w:val="center"/>
                </w:tcPr>
                <w:p w:rsidR="001B38C1" w:rsidRPr="001B38C1" w:rsidRDefault="001B38C1" w:rsidP="001B38C1">
                  <w:pPr>
                    <w:pStyle w:val="TableBodyText"/>
                  </w:pPr>
                  <w:r w:rsidRPr="001B38C1">
                    <w:t>31.6</w:t>
                  </w:r>
                </w:p>
              </w:tc>
              <w:tc>
                <w:tcPr>
                  <w:tcW w:w="499" w:type="pct"/>
                  <w:vAlign w:val="center"/>
                </w:tcPr>
                <w:p w:rsidR="001B38C1" w:rsidRPr="001B38C1" w:rsidRDefault="001B38C1" w:rsidP="001B38C1">
                  <w:pPr>
                    <w:pStyle w:val="TableBodyText"/>
                  </w:pPr>
                  <w:r w:rsidRPr="001B38C1">
                    <w:t>32.2</w:t>
                  </w:r>
                </w:p>
              </w:tc>
              <w:tc>
                <w:tcPr>
                  <w:tcW w:w="500" w:type="pct"/>
                  <w:vAlign w:val="center"/>
                </w:tcPr>
                <w:p w:rsidR="001B38C1" w:rsidRPr="001B38C1" w:rsidRDefault="001B38C1" w:rsidP="001B38C1">
                  <w:pPr>
                    <w:pStyle w:val="TableBodyText"/>
                  </w:pPr>
                  <w:r w:rsidRPr="001B38C1">
                    <w:t>30.1</w:t>
                  </w:r>
                </w:p>
              </w:tc>
              <w:tc>
                <w:tcPr>
                  <w:tcW w:w="502" w:type="pct"/>
                  <w:vAlign w:val="center"/>
                </w:tcPr>
                <w:p w:rsidR="001B38C1" w:rsidRPr="001B38C1" w:rsidRDefault="001B38C1" w:rsidP="001B38C1">
                  <w:pPr>
                    <w:pStyle w:val="TableBodyText"/>
                  </w:pPr>
                  <w:r w:rsidRPr="001B38C1">
                    <w:t>30.4</w:t>
                  </w:r>
                </w:p>
              </w:tc>
              <w:tc>
                <w:tcPr>
                  <w:tcW w:w="501" w:type="pct"/>
                  <w:vAlign w:val="center"/>
                </w:tcPr>
                <w:p w:rsidR="001B38C1" w:rsidRPr="001B38C1" w:rsidRDefault="001B38C1" w:rsidP="001B38C1">
                  <w:pPr>
                    <w:pStyle w:val="TableBodyText"/>
                  </w:pPr>
                  <w:r w:rsidRPr="001B38C1">
                    <w:t>31.3</w:t>
                  </w:r>
                </w:p>
              </w:tc>
              <w:tc>
                <w:tcPr>
                  <w:tcW w:w="417" w:type="pct"/>
                  <w:vAlign w:val="center"/>
                </w:tcPr>
                <w:p w:rsidR="001B38C1" w:rsidRPr="001B38C1" w:rsidRDefault="001B38C1" w:rsidP="001B38C1">
                  <w:pPr>
                    <w:pStyle w:val="TableBodyText"/>
                  </w:pPr>
                  <w:r w:rsidRPr="001B38C1">
                    <w:t>31.6</w:t>
                  </w:r>
                </w:p>
              </w:tc>
              <w:tc>
                <w:tcPr>
                  <w:tcW w:w="502" w:type="pct"/>
                  <w:vAlign w:val="center"/>
                </w:tcPr>
                <w:p w:rsidR="001B38C1" w:rsidRPr="001B38C1" w:rsidRDefault="001B38C1" w:rsidP="001B38C1">
                  <w:pPr>
                    <w:pStyle w:val="TableBodyText"/>
                  </w:pPr>
                  <w:r w:rsidRPr="001B38C1">
                    <w:t>32.2</w:t>
                  </w:r>
                </w:p>
              </w:tc>
              <w:tc>
                <w:tcPr>
                  <w:tcW w:w="418" w:type="pct"/>
                  <w:vAlign w:val="center"/>
                </w:tcPr>
                <w:p w:rsidR="001B38C1" w:rsidRPr="001B38C1" w:rsidRDefault="001B38C1" w:rsidP="001B38C1">
                  <w:pPr>
                    <w:pStyle w:val="TableBodyText"/>
                  </w:pPr>
                  <w:r w:rsidRPr="001B38C1">
                    <w:t>28.7</w:t>
                  </w:r>
                </w:p>
              </w:tc>
            </w:tr>
            <w:tr w:rsidR="001B38C1" w:rsidTr="001B38C1">
              <w:tc>
                <w:tcPr>
                  <w:tcW w:w="1159" w:type="pct"/>
                </w:tcPr>
                <w:p w:rsidR="001B38C1" w:rsidRDefault="001B38C1" w:rsidP="007D422B">
                  <w:pPr>
                    <w:pStyle w:val="TableBodyText"/>
                    <w:ind w:left="120"/>
                    <w:jc w:val="left"/>
                  </w:pPr>
                  <w:r>
                    <w:t>All births</w:t>
                  </w:r>
                </w:p>
              </w:tc>
              <w:tc>
                <w:tcPr>
                  <w:tcW w:w="502" w:type="pct"/>
                  <w:vAlign w:val="center"/>
                </w:tcPr>
                <w:p w:rsidR="001B38C1" w:rsidRPr="001B38C1" w:rsidRDefault="001B38C1" w:rsidP="001B38C1">
                  <w:pPr>
                    <w:pStyle w:val="TableBodyText"/>
                  </w:pPr>
                  <w:r w:rsidRPr="001B38C1">
                    <w:t>29.9</w:t>
                  </w:r>
                </w:p>
              </w:tc>
              <w:tc>
                <w:tcPr>
                  <w:tcW w:w="499" w:type="pct"/>
                  <w:vAlign w:val="center"/>
                </w:tcPr>
                <w:p w:rsidR="001B38C1" w:rsidRPr="001B38C1" w:rsidRDefault="001B38C1" w:rsidP="001B38C1">
                  <w:pPr>
                    <w:pStyle w:val="TableBodyText"/>
                  </w:pPr>
                  <w:r w:rsidRPr="001B38C1">
                    <w:t>30.2</w:t>
                  </w:r>
                </w:p>
              </w:tc>
              <w:tc>
                <w:tcPr>
                  <w:tcW w:w="500" w:type="pct"/>
                  <w:vAlign w:val="center"/>
                </w:tcPr>
                <w:p w:rsidR="001B38C1" w:rsidRPr="001B38C1" w:rsidRDefault="001B38C1" w:rsidP="001B38C1">
                  <w:pPr>
                    <w:pStyle w:val="TableBodyText"/>
                  </w:pPr>
                  <w:r w:rsidRPr="001B38C1">
                    <w:t>28.1</w:t>
                  </w:r>
                </w:p>
              </w:tc>
              <w:tc>
                <w:tcPr>
                  <w:tcW w:w="502" w:type="pct"/>
                  <w:vAlign w:val="center"/>
                </w:tcPr>
                <w:p w:rsidR="001B38C1" w:rsidRPr="001B38C1" w:rsidRDefault="001B38C1" w:rsidP="001B38C1">
                  <w:pPr>
                    <w:pStyle w:val="TableBodyText"/>
                  </w:pPr>
                  <w:r w:rsidRPr="001B38C1">
                    <w:t>28.5</w:t>
                  </w:r>
                </w:p>
              </w:tc>
              <w:tc>
                <w:tcPr>
                  <w:tcW w:w="501" w:type="pct"/>
                  <w:vAlign w:val="center"/>
                </w:tcPr>
                <w:p w:rsidR="001B38C1" w:rsidRPr="001B38C1" w:rsidRDefault="001B38C1" w:rsidP="001B38C1">
                  <w:pPr>
                    <w:pStyle w:val="TableBodyText"/>
                  </w:pPr>
                  <w:r w:rsidRPr="001B38C1">
                    <w:t>29.3</w:t>
                  </w:r>
                </w:p>
              </w:tc>
              <w:tc>
                <w:tcPr>
                  <w:tcW w:w="417" w:type="pct"/>
                  <w:vAlign w:val="center"/>
                </w:tcPr>
                <w:p w:rsidR="001B38C1" w:rsidRPr="001B38C1" w:rsidRDefault="001B38C1" w:rsidP="001B38C1">
                  <w:pPr>
                    <w:pStyle w:val="TableBodyText"/>
                  </w:pPr>
                  <w:r w:rsidRPr="001B38C1">
                    <w:t>29.9</w:t>
                  </w:r>
                </w:p>
              </w:tc>
              <w:tc>
                <w:tcPr>
                  <w:tcW w:w="502" w:type="pct"/>
                  <w:vAlign w:val="center"/>
                </w:tcPr>
                <w:p w:rsidR="001B38C1" w:rsidRPr="001B38C1" w:rsidRDefault="001B38C1" w:rsidP="001B38C1">
                  <w:pPr>
                    <w:pStyle w:val="TableBodyText"/>
                  </w:pPr>
                  <w:r w:rsidRPr="001B38C1">
                    <w:t>30.0</w:t>
                  </w:r>
                </w:p>
              </w:tc>
              <w:tc>
                <w:tcPr>
                  <w:tcW w:w="418" w:type="pct"/>
                  <w:vAlign w:val="center"/>
                </w:tcPr>
                <w:p w:rsidR="001B38C1" w:rsidRPr="001B38C1" w:rsidRDefault="001B38C1" w:rsidP="001B38C1">
                  <w:pPr>
                    <w:pStyle w:val="TableBodyText"/>
                  </w:pPr>
                  <w:r w:rsidRPr="001B38C1">
                    <w:t>27.1</w:t>
                  </w:r>
                </w:p>
              </w:tc>
            </w:tr>
            <w:tr w:rsidR="001B38C1" w:rsidTr="001B38C1">
              <w:tc>
                <w:tcPr>
                  <w:tcW w:w="1159" w:type="pct"/>
                </w:tcPr>
                <w:p w:rsidR="001B38C1" w:rsidRDefault="001B38C1" w:rsidP="007D422B">
                  <w:pPr>
                    <w:pStyle w:val="TableBodyText"/>
                    <w:jc w:val="left"/>
                  </w:pPr>
                  <w:r>
                    <w:t>2012</w:t>
                  </w:r>
                </w:p>
              </w:tc>
              <w:tc>
                <w:tcPr>
                  <w:tcW w:w="502" w:type="pct"/>
                  <w:vAlign w:val="center"/>
                </w:tcPr>
                <w:p w:rsidR="001B38C1" w:rsidRPr="001B38C1" w:rsidRDefault="001B38C1" w:rsidP="001B38C1">
                  <w:pPr>
                    <w:pStyle w:val="TableBodyText"/>
                  </w:pPr>
                </w:p>
              </w:tc>
              <w:tc>
                <w:tcPr>
                  <w:tcW w:w="499" w:type="pct"/>
                  <w:vAlign w:val="center"/>
                </w:tcPr>
                <w:p w:rsidR="001B38C1" w:rsidRPr="001B38C1" w:rsidRDefault="001B38C1" w:rsidP="001B38C1">
                  <w:pPr>
                    <w:pStyle w:val="TableBodyText"/>
                  </w:pPr>
                </w:p>
              </w:tc>
              <w:tc>
                <w:tcPr>
                  <w:tcW w:w="500" w:type="pct"/>
                  <w:vAlign w:val="center"/>
                </w:tcPr>
                <w:p w:rsidR="001B38C1" w:rsidRPr="001B38C1" w:rsidRDefault="001B38C1" w:rsidP="001B38C1">
                  <w:pPr>
                    <w:pStyle w:val="TableBodyText"/>
                  </w:pPr>
                </w:p>
              </w:tc>
              <w:tc>
                <w:tcPr>
                  <w:tcW w:w="502" w:type="pct"/>
                  <w:vAlign w:val="center"/>
                </w:tcPr>
                <w:p w:rsidR="001B38C1" w:rsidRPr="001B38C1" w:rsidRDefault="001B38C1" w:rsidP="001B38C1">
                  <w:pPr>
                    <w:pStyle w:val="TableBodyText"/>
                  </w:pPr>
                </w:p>
              </w:tc>
              <w:tc>
                <w:tcPr>
                  <w:tcW w:w="501" w:type="pct"/>
                  <w:vAlign w:val="center"/>
                </w:tcPr>
                <w:p w:rsidR="001B38C1" w:rsidRPr="001B38C1" w:rsidRDefault="001B38C1" w:rsidP="001B38C1">
                  <w:pPr>
                    <w:pStyle w:val="TableBodyText"/>
                  </w:pPr>
                </w:p>
              </w:tc>
              <w:tc>
                <w:tcPr>
                  <w:tcW w:w="417" w:type="pct"/>
                  <w:vAlign w:val="center"/>
                </w:tcPr>
                <w:p w:rsidR="001B38C1" w:rsidRPr="001B38C1" w:rsidRDefault="001B38C1" w:rsidP="001B38C1">
                  <w:pPr>
                    <w:pStyle w:val="TableBodyText"/>
                  </w:pPr>
                </w:p>
              </w:tc>
              <w:tc>
                <w:tcPr>
                  <w:tcW w:w="502" w:type="pct"/>
                  <w:vAlign w:val="center"/>
                </w:tcPr>
                <w:p w:rsidR="001B38C1" w:rsidRPr="001B38C1" w:rsidRDefault="001B38C1" w:rsidP="001B38C1">
                  <w:pPr>
                    <w:pStyle w:val="TableBodyText"/>
                  </w:pPr>
                </w:p>
              </w:tc>
              <w:tc>
                <w:tcPr>
                  <w:tcW w:w="418" w:type="pct"/>
                  <w:vAlign w:val="center"/>
                </w:tcPr>
                <w:p w:rsidR="001B38C1" w:rsidRPr="001B38C1" w:rsidRDefault="001B38C1" w:rsidP="001B38C1">
                  <w:pPr>
                    <w:pStyle w:val="TableBodyText"/>
                  </w:pPr>
                </w:p>
              </w:tc>
            </w:tr>
            <w:tr w:rsidR="001B38C1" w:rsidTr="001B38C1">
              <w:tc>
                <w:tcPr>
                  <w:tcW w:w="1159" w:type="pct"/>
                </w:tcPr>
                <w:p w:rsidR="001B38C1" w:rsidRDefault="001B38C1" w:rsidP="007D422B">
                  <w:pPr>
                    <w:pStyle w:val="TableBodyText"/>
                    <w:ind w:left="120"/>
                    <w:jc w:val="left"/>
                  </w:pPr>
                  <w:r>
                    <w:t>First birth</w:t>
                  </w:r>
                </w:p>
              </w:tc>
              <w:tc>
                <w:tcPr>
                  <w:tcW w:w="502" w:type="pct"/>
                  <w:vAlign w:val="center"/>
                </w:tcPr>
                <w:p w:rsidR="001B38C1" w:rsidRPr="001B38C1" w:rsidRDefault="001B38C1" w:rsidP="001B38C1">
                  <w:pPr>
                    <w:pStyle w:val="TableBodyText"/>
                  </w:pPr>
                  <w:r w:rsidRPr="001B38C1">
                    <w:t>28.3</w:t>
                  </w:r>
                </w:p>
              </w:tc>
              <w:tc>
                <w:tcPr>
                  <w:tcW w:w="499" w:type="pct"/>
                  <w:vAlign w:val="center"/>
                </w:tcPr>
                <w:p w:rsidR="001B38C1" w:rsidRPr="001B38C1" w:rsidRDefault="001B38C1" w:rsidP="001B38C1">
                  <w:pPr>
                    <w:pStyle w:val="TableBodyText"/>
                  </w:pPr>
                  <w:r w:rsidRPr="001B38C1">
                    <w:t>28.6</w:t>
                  </w:r>
                </w:p>
              </w:tc>
              <w:tc>
                <w:tcPr>
                  <w:tcW w:w="500" w:type="pct"/>
                  <w:vAlign w:val="center"/>
                </w:tcPr>
                <w:p w:rsidR="001B38C1" w:rsidRPr="001B38C1" w:rsidRDefault="001B38C1" w:rsidP="001B38C1">
                  <w:pPr>
                    <w:pStyle w:val="TableBodyText"/>
                  </w:pPr>
                  <w:r w:rsidRPr="001B38C1">
                    <w:t>26.0</w:t>
                  </w:r>
                </w:p>
              </w:tc>
              <w:tc>
                <w:tcPr>
                  <w:tcW w:w="502" w:type="pct"/>
                  <w:vAlign w:val="center"/>
                </w:tcPr>
                <w:p w:rsidR="001B38C1" w:rsidRPr="001B38C1" w:rsidRDefault="001B38C1" w:rsidP="001B38C1">
                  <w:pPr>
                    <w:pStyle w:val="TableBodyText"/>
                  </w:pPr>
                  <w:r w:rsidRPr="001B38C1">
                    <w:t>26.6</w:t>
                  </w:r>
                </w:p>
              </w:tc>
              <w:tc>
                <w:tcPr>
                  <w:tcW w:w="501" w:type="pct"/>
                  <w:vAlign w:val="center"/>
                </w:tcPr>
                <w:p w:rsidR="001B38C1" w:rsidRPr="001B38C1" w:rsidRDefault="001B38C1" w:rsidP="001B38C1">
                  <w:pPr>
                    <w:pStyle w:val="TableBodyText"/>
                  </w:pPr>
                  <w:r w:rsidRPr="001B38C1">
                    <w:t>27.3</w:t>
                  </w:r>
                </w:p>
              </w:tc>
              <w:tc>
                <w:tcPr>
                  <w:tcW w:w="417" w:type="pct"/>
                  <w:vAlign w:val="center"/>
                </w:tcPr>
                <w:p w:rsidR="001B38C1" w:rsidRPr="001B38C1" w:rsidRDefault="001B38C1" w:rsidP="001B38C1">
                  <w:pPr>
                    <w:pStyle w:val="TableBodyText"/>
                  </w:pPr>
                  <w:r w:rsidRPr="001B38C1">
                    <w:t>27.8</w:t>
                  </w:r>
                </w:p>
              </w:tc>
              <w:tc>
                <w:tcPr>
                  <w:tcW w:w="502" w:type="pct"/>
                  <w:vAlign w:val="center"/>
                </w:tcPr>
                <w:p w:rsidR="001B38C1" w:rsidRPr="001B38C1" w:rsidRDefault="001B38C1" w:rsidP="001B38C1">
                  <w:pPr>
                    <w:pStyle w:val="TableBodyText"/>
                  </w:pPr>
                  <w:r w:rsidRPr="001B38C1">
                    <w:t>28.3</w:t>
                  </w:r>
                </w:p>
              </w:tc>
              <w:tc>
                <w:tcPr>
                  <w:tcW w:w="418" w:type="pct"/>
                  <w:vAlign w:val="center"/>
                </w:tcPr>
                <w:p w:rsidR="001B38C1" w:rsidRPr="001B38C1" w:rsidRDefault="001B38C1" w:rsidP="001B38C1">
                  <w:pPr>
                    <w:pStyle w:val="TableBodyText"/>
                  </w:pPr>
                  <w:r w:rsidRPr="001B38C1">
                    <w:t>24.8</w:t>
                  </w:r>
                </w:p>
              </w:tc>
            </w:tr>
            <w:tr w:rsidR="001B38C1" w:rsidTr="001B38C1">
              <w:tc>
                <w:tcPr>
                  <w:tcW w:w="1159" w:type="pct"/>
                </w:tcPr>
                <w:p w:rsidR="001B38C1" w:rsidRDefault="001B38C1" w:rsidP="007D422B">
                  <w:pPr>
                    <w:pStyle w:val="TableBodyText"/>
                    <w:ind w:left="120"/>
                    <w:jc w:val="left"/>
                  </w:pPr>
                  <w:r>
                    <w:t>Second birth</w:t>
                  </w:r>
                </w:p>
              </w:tc>
              <w:tc>
                <w:tcPr>
                  <w:tcW w:w="502" w:type="pct"/>
                  <w:vAlign w:val="center"/>
                </w:tcPr>
                <w:p w:rsidR="001B38C1" w:rsidRPr="001B38C1" w:rsidRDefault="001B38C1" w:rsidP="001B38C1">
                  <w:pPr>
                    <w:pStyle w:val="TableBodyText"/>
                  </w:pPr>
                  <w:r w:rsidRPr="001B38C1">
                    <w:t>30.4</w:t>
                  </w:r>
                </w:p>
              </w:tc>
              <w:tc>
                <w:tcPr>
                  <w:tcW w:w="499" w:type="pct"/>
                  <w:vAlign w:val="center"/>
                </w:tcPr>
                <w:p w:rsidR="001B38C1" w:rsidRPr="001B38C1" w:rsidRDefault="001B38C1" w:rsidP="001B38C1">
                  <w:pPr>
                    <w:pStyle w:val="TableBodyText"/>
                  </w:pPr>
                  <w:r w:rsidRPr="001B38C1">
                    <w:t>30.9</w:t>
                  </w:r>
                </w:p>
              </w:tc>
              <w:tc>
                <w:tcPr>
                  <w:tcW w:w="500" w:type="pct"/>
                  <w:vAlign w:val="center"/>
                </w:tcPr>
                <w:p w:rsidR="001B38C1" w:rsidRPr="001B38C1" w:rsidRDefault="001B38C1" w:rsidP="001B38C1">
                  <w:pPr>
                    <w:pStyle w:val="TableBodyText"/>
                  </w:pPr>
                  <w:r w:rsidRPr="001B38C1">
                    <w:t>28.4</w:t>
                  </w:r>
                </w:p>
              </w:tc>
              <w:tc>
                <w:tcPr>
                  <w:tcW w:w="502" w:type="pct"/>
                  <w:vAlign w:val="center"/>
                </w:tcPr>
                <w:p w:rsidR="001B38C1" w:rsidRPr="001B38C1" w:rsidRDefault="001B38C1" w:rsidP="001B38C1">
                  <w:pPr>
                    <w:pStyle w:val="TableBodyText"/>
                  </w:pPr>
                  <w:r w:rsidRPr="001B38C1">
                    <w:t>28.9</w:t>
                  </w:r>
                </w:p>
              </w:tc>
              <w:tc>
                <w:tcPr>
                  <w:tcW w:w="501" w:type="pct"/>
                  <w:vAlign w:val="center"/>
                </w:tcPr>
                <w:p w:rsidR="001B38C1" w:rsidRPr="001B38C1" w:rsidRDefault="001B38C1" w:rsidP="001B38C1">
                  <w:pPr>
                    <w:pStyle w:val="TableBodyText"/>
                  </w:pPr>
                  <w:r w:rsidRPr="001B38C1">
                    <w:t>29.8</w:t>
                  </w:r>
                </w:p>
              </w:tc>
              <w:tc>
                <w:tcPr>
                  <w:tcW w:w="417" w:type="pct"/>
                  <w:vAlign w:val="center"/>
                </w:tcPr>
                <w:p w:rsidR="001B38C1" w:rsidRPr="001B38C1" w:rsidRDefault="001B38C1" w:rsidP="001B38C1">
                  <w:pPr>
                    <w:pStyle w:val="TableBodyText"/>
                  </w:pPr>
                  <w:r w:rsidRPr="001B38C1">
                    <w:t>30.3</w:t>
                  </w:r>
                </w:p>
              </w:tc>
              <w:tc>
                <w:tcPr>
                  <w:tcW w:w="502" w:type="pct"/>
                  <w:vAlign w:val="center"/>
                </w:tcPr>
                <w:p w:rsidR="001B38C1" w:rsidRPr="001B38C1" w:rsidRDefault="001B38C1" w:rsidP="001B38C1">
                  <w:pPr>
                    <w:pStyle w:val="TableBodyText"/>
                  </w:pPr>
                  <w:r w:rsidRPr="001B38C1">
                    <w:t>30.7</w:t>
                  </w:r>
                </w:p>
              </w:tc>
              <w:tc>
                <w:tcPr>
                  <w:tcW w:w="418" w:type="pct"/>
                  <w:vAlign w:val="center"/>
                </w:tcPr>
                <w:p w:rsidR="001B38C1" w:rsidRPr="001B38C1" w:rsidRDefault="001B38C1" w:rsidP="001B38C1">
                  <w:pPr>
                    <w:pStyle w:val="TableBodyText"/>
                  </w:pPr>
                  <w:r w:rsidRPr="001B38C1">
                    <w:t>27.4</w:t>
                  </w:r>
                </w:p>
              </w:tc>
            </w:tr>
            <w:tr w:rsidR="001B38C1" w:rsidTr="001B38C1">
              <w:tc>
                <w:tcPr>
                  <w:tcW w:w="1159" w:type="pct"/>
                </w:tcPr>
                <w:p w:rsidR="001B38C1" w:rsidRDefault="001B38C1" w:rsidP="007D422B">
                  <w:pPr>
                    <w:pStyle w:val="TableBodyText"/>
                    <w:ind w:left="120"/>
                    <w:jc w:val="left"/>
                  </w:pPr>
                  <w:r>
                    <w:t>Third birth</w:t>
                  </w:r>
                </w:p>
              </w:tc>
              <w:tc>
                <w:tcPr>
                  <w:tcW w:w="502" w:type="pct"/>
                  <w:vAlign w:val="center"/>
                </w:tcPr>
                <w:p w:rsidR="001B38C1" w:rsidRPr="001B38C1" w:rsidRDefault="001B38C1" w:rsidP="001B38C1">
                  <w:pPr>
                    <w:pStyle w:val="TableBodyText"/>
                  </w:pPr>
                  <w:r w:rsidRPr="001B38C1">
                    <w:t>31.8</w:t>
                  </w:r>
                </w:p>
              </w:tc>
              <w:tc>
                <w:tcPr>
                  <w:tcW w:w="499" w:type="pct"/>
                  <w:vAlign w:val="center"/>
                </w:tcPr>
                <w:p w:rsidR="001B38C1" w:rsidRPr="001B38C1" w:rsidRDefault="001B38C1" w:rsidP="001B38C1">
                  <w:pPr>
                    <w:pStyle w:val="TableBodyText"/>
                  </w:pPr>
                  <w:r w:rsidRPr="001B38C1">
                    <w:t>32.2</w:t>
                  </w:r>
                </w:p>
              </w:tc>
              <w:tc>
                <w:tcPr>
                  <w:tcW w:w="500" w:type="pct"/>
                  <w:vAlign w:val="center"/>
                </w:tcPr>
                <w:p w:rsidR="001B38C1" w:rsidRPr="001B38C1" w:rsidRDefault="001B38C1" w:rsidP="001B38C1">
                  <w:pPr>
                    <w:pStyle w:val="TableBodyText"/>
                  </w:pPr>
                  <w:r w:rsidRPr="001B38C1">
                    <w:t>29.9</w:t>
                  </w:r>
                </w:p>
              </w:tc>
              <w:tc>
                <w:tcPr>
                  <w:tcW w:w="502" w:type="pct"/>
                  <w:vAlign w:val="center"/>
                </w:tcPr>
                <w:p w:rsidR="001B38C1" w:rsidRPr="001B38C1" w:rsidRDefault="001B38C1" w:rsidP="001B38C1">
                  <w:pPr>
                    <w:pStyle w:val="TableBodyText"/>
                  </w:pPr>
                  <w:r w:rsidRPr="001B38C1">
                    <w:t>30.3</w:t>
                  </w:r>
                </w:p>
              </w:tc>
              <w:tc>
                <w:tcPr>
                  <w:tcW w:w="501" w:type="pct"/>
                  <w:vAlign w:val="center"/>
                </w:tcPr>
                <w:p w:rsidR="001B38C1" w:rsidRPr="001B38C1" w:rsidRDefault="001B38C1" w:rsidP="001B38C1">
                  <w:pPr>
                    <w:pStyle w:val="TableBodyText"/>
                  </w:pPr>
                  <w:r w:rsidRPr="001B38C1">
                    <w:t>31.3</w:t>
                  </w:r>
                </w:p>
              </w:tc>
              <w:tc>
                <w:tcPr>
                  <w:tcW w:w="417" w:type="pct"/>
                  <w:vAlign w:val="center"/>
                </w:tcPr>
                <w:p w:rsidR="001B38C1" w:rsidRPr="001B38C1" w:rsidRDefault="001B38C1" w:rsidP="001B38C1">
                  <w:pPr>
                    <w:pStyle w:val="TableBodyText"/>
                  </w:pPr>
                  <w:r w:rsidRPr="001B38C1">
                    <w:t>31.5</w:t>
                  </w:r>
                </w:p>
              </w:tc>
              <w:tc>
                <w:tcPr>
                  <w:tcW w:w="502" w:type="pct"/>
                  <w:vAlign w:val="center"/>
                </w:tcPr>
                <w:p w:rsidR="001B38C1" w:rsidRPr="001B38C1" w:rsidRDefault="001B38C1" w:rsidP="001B38C1">
                  <w:pPr>
                    <w:pStyle w:val="TableBodyText"/>
                  </w:pPr>
                  <w:r w:rsidRPr="001B38C1">
                    <w:t>31.8</w:t>
                  </w:r>
                </w:p>
              </w:tc>
              <w:tc>
                <w:tcPr>
                  <w:tcW w:w="418" w:type="pct"/>
                  <w:vAlign w:val="center"/>
                </w:tcPr>
                <w:p w:rsidR="001B38C1" w:rsidRPr="001B38C1" w:rsidRDefault="001B38C1" w:rsidP="001B38C1">
                  <w:pPr>
                    <w:pStyle w:val="TableBodyText"/>
                  </w:pPr>
                  <w:r w:rsidRPr="001B38C1">
                    <w:t>28.8</w:t>
                  </w:r>
                </w:p>
              </w:tc>
            </w:tr>
            <w:tr w:rsidR="001B38C1" w:rsidTr="001B38C1">
              <w:tc>
                <w:tcPr>
                  <w:tcW w:w="1159" w:type="pct"/>
                </w:tcPr>
                <w:p w:rsidR="001B38C1" w:rsidRDefault="001B38C1" w:rsidP="007D422B">
                  <w:pPr>
                    <w:pStyle w:val="TableBodyText"/>
                    <w:ind w:left="120"/>
                    <w:jc w:val="left"/>
                  </w:pPr>
                  <w:r>
                    <w:t>All births</w:t>
                  </w:r>
                </w:p>
              </w:tc>
              <w:tc>
                <w:tcPr>
                  <w:tcW w:w="502" w:type="pct"/>
                  <w:vAlign w:val="center"/>
                </w:tcPr>
                <w:p w:rsidR="001B38C1" w:rsidRPr="001B38C1" w:rsidRDefault="001B38C1" w:rsidP="001B38C1">
                  <w:pPr>
                    <w:pStyle w:val="TableBodyText"/>
                  </w:pPr>
                  <w:r w:rsidRPr="001B38C1">
                    <w:t>30.0</w:t>
                  </w:r>
                </w:p>
              </w:tc>
              <w:tc>
                <w:tcPr>
                  <w:tcW w:w="499" w:type="pct"/>
                  <w:vAlign w:val="center"/>
                </w:tcPr>
                <w:p w:rsidR="001B38C1" w:rsidRPr="001B38C1" w:rsidRDefault="001B38C1" w:rsidP="001B38C1">
                  <w:pPr>
                    <w:pStyle w:val="TableBodyText"/>
                  </w:pPr>
                  <w:r w:rsidRPr="001B38C1">
                    <w:t>30.3</w:t>
                  </w:r>
                </w:p>
              </w:tc>
              <w:tc>
                <w:tcPr>
                  <w:tcW w:w="500" w:type="pct"/>
                  <w:vAlign w:val="center"/>
                </w:tcPr>
                <w:p w:rsidR="001B38C1" w:rsidRPr="001B38C1" w:rsidRDefault="001B38C1" w:rsidP="001B38C1">
                  <w:pPr>
                    <w:pStyle w:val="TableBodyText"/>
                  </w:pPr>
                  <w:r w:rsidRPr="001B38C1">
                    <w:t>28.2</w:t>
                  </w:r>
                </w:p>
              </w:tc>
              <w:tc>
                <w:tcPr>
                  <w:tcW w:w="502" w:type="pct"/>
                  <w:vAlign w:val="center"/>
                </w:tcPr>
                <w:p w:rsidR="001B38C1" w:rsidRPr="001B38C1" w:rsidRDefault="001B38C1" w:rsidP="001B38C1">
                  <w:pPr>
                    <w:pStyle w:val="TableBodyText"/>
                  </w:pPr>
                  <w:r w:rsidRPr="001B38C1">
                    <w:t>28.5</w:t>
                  </w:r>
                </w:p>
              </w:tc>
              <w:tc>
                <w:tcPr>
                  <w:tcW w:w="501" w:type="pct"/>
                  <w:vAlign w:val="center"/>
                </w:tcPr>
                <w:p w:rsidR="001B38C1" w:rsidRPr="001B38C1" w:rsidRDefault="001B38C1" w:rsidP="001B38C1">
                  <w:pPr>
                    <w:pStyle w:val="TableBodyText"/>
                  </w:pPr>
                  <w:r w:rsidRPr="001B38C1">
                    <w:t>29.3</w:t>
                  </w:r>
                </w:p>
              </w:tc>
              <w:tc>
                <w:tcPr>
                  <w:tcW w:w="417" w:type="pct"/>
                  <w:vAlign w:val="center"/>
                </w:tcPr>
                <w:p w:rsidR="001B38C1" w:rsidRPr="001B38C1" w:rsidRDefault="001B38C1" w:rsidP="001B38C1">
                  <w:pPr>
                    <w:pStyle w:val="TableBodyText"/>
                  </w:pPr>
                  <w:r w:rsidRPr="001B38C1">
                    <w:t>29.5</w:t>
                  </w:r>
                </w:p>
              </w:tc>
              <w:tc>
                <w:tcPr>
                  <w:tcW w:w="502" w:type="pct"/>
                  <w:vAlign w:val="center"/>
                </w:tcPr>
                <w:p w:rsidR="001B38C1" w:rsidRPr="001B38C1" w:rsidRDefault="001B38C1" w:rsidP="001B38C1">
                  <w:pPr>
                    <w:pStyle w:val="TableBodyText"/>
                  </w:pPr>
                  <w:r w:rsidRPr="001B38C1">
                    <w:t>29.9</w:t>
                  </w:r>
                </w:p>
              </w:tc>
              <w:tc>
                <w:tcPr>
                  <w:tcW w:w="418" w:type="pct"/>
                  <w:vAlign w:val="center"/>
                </w:tcPr>
                <w:p w:rsidR="001B38C1" w:rsidRPr="001B38C1" w:rsidRDefault="001B38C1" w:rsidP="001B38C1">
                  <w:pPr>
                    <w:pStyle w:val="TableBodyText"/>
                  </w:pPr>
                  <w:r w:rsidRPr="001B38C1">
                    <w:t>27.2</w:t>
                  </w:r>
                </w:p>
              </w:tc>
            </w:tr>
            <w:tr w:rsidR="001B38C1" w:rsidTr="001B38C1">
              <w:tc>
                <w:tcPr>
                  <w:tcW w:w="1159" w:type="pct"/>
                </w:tcPr>
                <w:p w:rsidR="001B38C1" w:rsidRDefault="001B38C1" w:rsidP="007D422B">
                  <w:pPr>
                    <w:pStyle w:val="TableBodyText"/>
                    <w:jc w:val="left"/>
                  </w:pPr>
                  <w:r>
                    <w:t>2013</w:t>
                  </w:r>
                </w:p>
              </w:tc>
              <w:tc>
                <w:tcPr>
                  <w:tcW w:w="502" w:type="pct"/>
                  <w:vAlign w:val="center"/>
                </w:tcPr>
                <w:p w:rsidR="001B38C1" w:rsidRPr="001B38C1" w:rsidRDefault="001B38C1" w:rsidP="001B38C1">
                  <w:pPr>
                    <w:pStyle w:val="TableBodyText"/>
                  </w:pPr>
                </w:p>
              </w:tc>
              <w:tc>
                <w:tcPr>
                  <w:tcW w:w="499" w:type="pct"/>
                  <w:vAlign w:val="center"/>
                </w:tcPr>
                <w:p w:rsidR="001B38C1" w:rsidRPr="001B38C1" w:rsidRDefault="001B38C1" w:rsidP="001B38C1">
                  <w:pPr>
                    <w:pStyle w:val="TableBodyText"/>
                  </w:pPr>
                </w:p>
              </w:tc>
              <w:tc>
                <w:tcPr>
                  <w:tcW w:w="500" w:type="pct"/>
                  <w:vAlign w:val="center"/>
                </w:tcPr>
                <w:p w:rsidR="001B38C1" w:rsidRPr="001B38C1" w:rsidRDefault="001B38C1" w:rsidP="001B38C1">
                  <w:pPr>
                    <w:pStyle w:val="TableBodyText"/>
                  </w:pPr>
                </w:p>
              </w:tc>
              <w:tc>
                <w:tcPr>
                  <w:tcW w:w="502" w:type="pct"/>
                  <w:vAlign w:val="center"/>
                </w:tcPr>
                <w:p w:rsidR="001B38C1" w:rsidRPr="001B38C1" w:rsidRDefault="001B38C1" w:rsidP="001B38C1">
                  <w:pPr>
                    <w:pStyle w:val="TableBodyText"/>
                  </w:pPr>
                </w:p>
              </w:tc>
              <w:tc>
                <w:tcPr>
                  <w:tcW w:w="501" w:type="pct"/>
                  <w:vAlign w:val="center"/>
                </w:tcPr>
                <w:p w:rsidR="001B38C1" w:rsidRPr="001B38C1" w:rsidRDefault="001B38C1" w:rsidP="001B38C1">
                  <w:pPr>
                    <w:pStyle w:val="TableBodyText"/>
                  </w:pPr>
                </w:p>
              </w:tc>
              <w:tc>
                <w:tcPr>
                  <w:tcW w:w="417" w:type="pct"/>
                  <w:vAlign w:val="center"/>
                </w:tcPr>
                <w:p w:rsidR="001B38C1" w:rsidRPr="001B38C1" w:rsidRDefault="001B38C1" w:rsidP="001B38C1">
                  <w:pPr>
                    <w:pStyle w:val="TableBodyText"/>
                  </w:pPr>
                </w:p>
              </w:tc>
              <w:tc>
                <w:tcPr>
                  <w:tcW w:w="502" w:type="pct"/>
                  <w:vAlign w:val="center"/>
                </w:tcPr>
                <w:p w:rsidR="001B38C1" w:rsidRPr="001B38C1" w:rsidRDefault="001B38C1" w:rsidP="001B38C1">
                  <w:pPr>
                    <w:pStyle w:val="TableBodyText"/>
                  </w:pPr>
                </w:p>
              </w:tc>
              <w:tc>
                <w:tcPr>
                  <w:tcW w:w="418" w:type="pct"/>
                  <w:vAlign w:val="center"/>
                </w:tcPr>
                <w:p w:rsidR="001B38C1" w:rsidRPr="001B38C1" w:rsidRDefault="001B38C1" w:rsidP="001B38C1">
                  <w:pPr>
                    <w:pStyle w:val="TableBodyText"/>
                  </w:pPr>
                </w:p>
              </w:tc>
            </w:tr>
            <w:tr w:rsidR="001B38C1" w:rsidTr="001B38C1">
              <w:tc>
                <w:tcPr>
                  <w:tcW w:w="1159" w:type="pct"/>
                </w:tcPr>
                <w:p w:rsidR="001B38C1" w:rsidRDefault="001B38C1" w:rsidP="007D422B">
                  <w:pPr>
                    <w:pStyle w:val="TableBodyText"/>
                    <w:ind w:left="120"/>
                    <w:jc w:val="left"/>
                  </w:pPr>
                  <w:r>
                    <w:t>First birth</w:t>
                  </w:r>
                </w:p>
              </w:tc>
              <w:tc>
                <w:tcPr>
                  <w:tcW w:w="502" w:type="pct"/>
                  <w:vAlign w:val="center"/>
                </w:tcPr>
                <w:p w:rsidR="001B38C1" w:rsidRPr="001B38C1" w:rsidRDefault="001B38C1" w:rsidP="001B38C1">
                  <w:pPr>
                    <w:pStyle w:val="TableBodyText"/>
                  </w:pPr>
                  <w:r w:rsidRPr="001B38C1">
                    <w:t>28.6</w:t>
                  </w:r>
                </w:p>
              </w:tc>
              <w:tc>
                <w:tcPr>
                  <w:tcW w:w="499" w:type="pct"/>
                  <w:vAlign w:val="center"/>
                </w:tcPr>
                <w:p w:rsidR="001B38C1" w:rsidRPr="001B38C1" w:rsidRDefault="001B38C1" w:rsidP="001B38C1">
                  <w:pPr>
                    <w:pStyle w:val="TableBodyText"/>
                  </w:pPr>
                  <w:r w:rsidRPr="001B38C1">
                    <w:t>28.8</w:t>
                  </w:r>
                </w:p>
              </w:tc>
              <w:tc>
                <w:tcPr>
                  <w:tcW w:w="500" w:type="pct"/>
                  <w:vAlign w:val="center"/>
                </w:tcPr>
                <w:p w:rsidR="001B38C1" w:rsidRPr="001B38C1" w:rsidRDefault="001B38C1" w:rsidP="001B38C1">
                  <w:pPr>
                    <w:pStyle w:val="TableBodyText"/>
                  </w:pPr>
                  <w:r w:rsidRPr="001B38C1">
                    <w:t>26.1</w:t>
                  </w:r>
                </w:p>
              </w:tc>
              <w:tc>
                <w:tcPr>
                  <w:tcW w:w="502" w:type="pct"/>
                  <w:vAlign w:val="center"/>
                </w:tcPr>
                <w:p w:rsidR="001B38C1" w:rsidRPr="001B38C1" w:rsidRDefault="001B38C1" w:rsidP="001B38C1">
                  <w:pPr>
                    <w:pStyle w:val="TableBodyText"/>
                  </w:pPr>
                  <w:r w:rsidRPr="001B38C1">
                    <w:t>26.9</w:t>
                  </w:r>
                </w:p>
              </w:tc>
              <w:tc>
                <w:tcPr>
                  <w:tcW w:w="501" w:type="pct"/>
                  <w:vAlign w:val="center"/>
                </w:tcPr>
                <w:p w:rsidR="001B38C1" w:rsidRPr="001B38C1" w:rsidRDefault="001B38C1" w:rsidP="001B38C1">
                  <w:pPr>
                    <w:pStyle w:val="TableBodyText"/>
                  </w:pPr>
                  <w:r w:rsidRPr="001B38C1">
                    <w:t>27.6</w:t>
                  </w:r>
                </w:p>
              </w:tc>
              <w:tc>
                <w:tcPr>
                  <w:tcW w:w="417" w:type="pct"/>
                  <w:vAlign w:val="center"/>
                </w:tcPr>
                <w:p w:rsidR="001B38C1" w:rsidRPr="001B38C1" w:rsidRDefault="001B38C1" w:rsidP="001B38C1">
                  <w:pPr>
                    <w:pStyle w:val="TableBodyText"/>
                  </w:pPr>
                  <w:r w:rsidRPr="001B38C1">
                    <w:t>na</w:t>
                  </w:r>
                </w:p>
              </w:tc>
              <w:tc>
                <w:tcPr>
                  <w:tcW w:w="502" w:type="pct"/>
                  <w:vAlign w:val="center"/>
                </w:tcPr>
                <w:p w:rsidR="001B38C1" w:rsidRPr="001B38C1" w:rsidRDefault="001B38C1" w:rsidP="001B38C1">
                  <w:pPr>
                    <w:pStyle w:val="TableBodyText"/>
                  </w:pPr>
                  <w:r w:rsidRPr="001B38C1">
                    <w:t>28.7</w:t>
                  </w:r>
                </w:p>
              </w:tc>
              <w:tc>
                <w:tcPr>
                  <w:tcW w:w="418" w:type="pct"/>
                  <w:vAlign w:val="center"/>
                </w:tcPr>
                <w:p w:rsidR="001B38C1" w:rsidRPr="001B38C1" w:rsidRDefault="001B38C1" w:rsidP="001B38C1">
                  <w:pPr>
                    <w:pStyle w:val="TableBodyText"/>
                  </w:pPr>
                  <w:r w:rsidRPr="001B38C1">
                    <w:t>25.2</w:t>
                  </w:r>
                </w:p>
              </w:tc>
            </w:tr>
            <w:tr w:rsidR="001B38C1" w:rsidTr="001B38C1">
              <w:tc>
                <w:tcPr>
                  <w:tcW w:w="1159" w:type="pct"/>
                </w:tcPr>
                <w:p w:rsidR="001B38C1" w:rsidRDefault="001B38C1" w:rsidP="007D422B">
                  <w:pPr>
                    <w:pStyle w:val="TableBodyText"/>
                    <w:ind w:left="120"/>
                    <w:jc w:val="left"/>
                  </w:pPr>
                  <w:r>
                    <w:t>Second birth</w:t>
                  </w:r>
                </w:p>
              </w:tc>
              <w:tc>
                <w:tcPr>
                  <w:tcW w:w="502" w:type="pct"/>
                  <w:vAlign w:val="center"/>
                </w:tcPr>
                <w:p w:rsidR="001B38C1" w:rsidRPr="001B38C1" w:rsidRDefault="001B38C1" w:rsidP="001B38C1">
                  <w:pPr>
                    <w:pStyle w:val="TableBodyText"/>
                  </w:pPr>
                  <w:r w:rsidRPr="001B38C1">
                    <w:t>30.5</w:t>
                  </w:r>
                </w:p>
              </w:tc>
              <w:tc>
                <w:tcPr>
                  <w:tcW w:w="499" w:type="pct"/>
                  <w:vAlign w:val="center"/>
                </w:tcPr>
                <w:p w:rsidR="001B38C1" w:rsidRPr="001B38C1" w:rsidRDefault="001B38C1" w:rsidP="001B38C1">
                  <w:pPr>
                    <w:pStyle w:val="TableBodyText"/>
                  </w:pPr>
                  <w:r w:rsidRPr="001B38C1">
                    <w:t>30.9</w:t>
                  </w:r>
                </w:p>
              </w:tc>
              <w:tc>
                <w:tcPr>
                  <w:tcW w:w="500" w:type="pct"/>
                  <w:vAlign w:val="center"/>
                </w:tcPr>
                <w:p w:rsidR="001B38C1" w:rsidRPr="001B38C1" w:rsidRDefault="001B38C1" w:rsidP="001B38C1">
                  <w:pPr>
                    <w:pStyle w:val="TableBodyText"/>
                  </w:pPr>
                  <w:r w:rsidRPr="001B38C1">
                    <w:t>28.4</w:t>
                  </w:r>
                </w:p>
              </w:tc>
              <w:tc>
                <w:tcPr>
                  <w:tcW w:w="502" w:type="pct"/>
                  <w:vAlign w:val="center"/>
                </w:tcPr>
                <w:p w:rsidR="001B38C1" w:rsidRPr="001B38C1" w:rsidRDefault="001B38C1" w:rsidP="001B38C1">
                  <w:pPr>
                    <w:pStyle w:val="TableBodyText"/>
                  </w:pPr>
                  <w:r w:rsidRPr="001B38C1">
                    <w:t>29.1</w:t>
                  </w:r>
                </w:p>
              </w:tc>
              <w:tc>
                <w:tcPr>
                  <w:tcW w:w="501" w:type="pct"/>
                  <w:vAlign w:val="center"/>
                </w:tcPr>
                <w:p w:rsidR="001B38C1" w:rsidRPr="001B38C1" w:rsidRDefault="001B38C1" w:rsidP="001B38C1">
                  <w:pPr>
                    <w:pStyle w:val="TableBodyText"/>
                  </w:pPr>
                  <w:r w:rsidRPr="001B38C1">
                    <w:t>30.0</w:t>
                  </w:r>
                </w:p>
              </w:tc>
              <w:tc>
                <w:tcPr>
                  <w:tcW w:w="417" w:type="pct"/>
                  <w:vAlign w:val="center"/>
                </w:tcPr>
                <w:p w:rsidR="001B38C1" w:rsidRPr="001B38C1" w:rsidRDefault="001B38C1" w:rsidP="001B38C1">
                  <w:pPr>
                    <w:pStyle w:val="TableBodyText"/>
                  </w:pPr>
                  <w:r w:rsidRPr="001B38C1">
                    <w:t>na</w:t>
                  </w:r>
                </w:p>
              </w:tc>
              <w:tc>
                <w:tcPr>
                  <w:tcW w:w="502" w:type="pct"/>
                  <w:vAlign w:val="center"/>
                </w:tcPr>
                <w:p w:rsidR="001B38C1" w:rsidRPr="001B38C1" w:rsidRDefault="001B38C1" w:rsidP="001B38C1">
                  <w:pPr>
                    <w:pStyle w:val="TableBodyText"/>
                  </w:pPr>
                  <w:r w:rsidRPr="001B38C1">
                    <w:t>30.8</w:t>
                  </w:r>
                </w:p>
              </w:tc>
              <w:tc>
                <w:tcPr>
                  <w:tcW w:w="418" w:type="pct"/>
                  <w:vAlign w:val="center"/>
                </w:tcPr>
                <w:p w:rsidR="001B38C1" w:rsidRPr="001B38C1" w:rsidRDefault="001B38C1" w:rsidP="001B38C1">
                  <w:pPr>
                    <w:pStyle w:val="TableBodyText"/>
                  </w:pPr>
                  <w:r w:rsidRPr="001B38C1">
                    <w:t>27.9</w:t>
                  </w:r>
                </w:p>
              </w:tc>
            </w:tr>
            <w:tr w:rsidR="001B38C1" w:rsidTr="001B38C1">
              <w:tc>
                <w:tcPr>
                  <w:tcW w:w="1159" w:type="pct"/>
                </w:tcPr>
                <w:p w:rsidR="001B38C1" w:rsidRDefault="001B38C1" w:rsidP="007D422B">
                  <w:pPr>
                    <w:pStyle w:val="TableBodyText"/>
                    <w:ind w:left="120"/>
                    <w:jc w:val="left"/>
                  </w:pPr>
                  <w:r>
                    <w:t>Third birth</w:t>
                  </w:r>
                </w:p>
              </w:tc>
              <w:tc>
                <w:tcPr>
                  <w:tcW w:w="502" w:type="pct"/>
                  <w:vAlign w:val="center"/>
                </w:tcPr>
                <w:p w:rsidR="001B38C1" w:rsidRPr="001B38C1" w:rsidRDefault="001B38C1" w:rsidP="001B38C1">
                  <w:pPr>
                    <w:pStyle w:val="TableBodyText"/>
                  </w:pPr>
                  <w:r w:rsidRPr="001B38C1">
                    <w:t>31.7</w:t>
                  </w:r>
                </w:p>
              </w:tc>
              <w:tc>
                <w:tcPr>
                  <w:tcW w:w="499" w:type="pct"/>
                  <w:vAlign w:val="center"/>
                </w:tcPr>
                <w:p w:rsidR="001B38C1" w:rsidRPr="001B38C1" w:rsidRDefault="001B38C1" w:rsidP="001B38C1">
                  <w:pPr>
                    <w:pStyle w:val="TableBodyText"/>
                  </w:pPr>
                  <w:r w:rsidRPr="001B38C1">
                    <w:t>32.2</w:t>
                  </w:r>
                </w:p>
              </w:tc>
              <w:tc>
                <w:tcPr>
                  <w:tcW w:w="500" w:type="pct"/>
                  <w:vAlign w:val="center"/>
                </w:tcPr>
                <w:p w:rsidR="001B38C1" w:rsidRPr="001B38C1" w:rsidRDefault="001B38C1" w:rsidP="001B38C1">
                  <w:pPr>
                    <w:pStyle w:val="TableBodyText"/>
                  </w:pPr>
                  <w:r w:rsidRPr="001B38C1">
                    <w:t>29.9</w:t>
                  </w:r>
                </w:p>
              </w:tc>
              <w:tc>
                <w:tcPr>
                  <w:tcW w:w="502" w:type="pct"/>
                  <w:vAlign w:val="center"/>
                </w:tcPr>
                <w:p w:rsidR="001B38C1" w:rsidRPr="001B38C1" w:rsidRDefault="001B38C1" w:rsidP="001B38C1">
                  <w:pPr>
                    <w:pStyle w:val="TableBodyText"/>
                  </w:pPr>
                  <w:r w:rsidRPr="001B38C1">
                    <w:t>30.4</w:t>
                  </w:r>
                </w:p>
              </w:tc>
              <w:tc>
                <w:tcPr>
                  <w:tcW w:w="501" w:type="pct"/>
                  <w:vAlign w:val="center"/>
                </w:tcPr>
                <w:p w:rsidR="001B38C1" w:rsidRPr="001B38C1" w:rsidRDefault="001B38C1" w:rsidP="001B38C1">
                  <w:pPr>
                    <w:pStyle w:val="TableBodyText"/>
                  </w:pPr>
                  <w:r w:rsidRPr="001B38C1">
                    <w:t>31.2</w:t>
                  </w:r>
                </w:p>
              </w:tc>
              <w:tc>
                <w:tcPr>
                  <w:tcW w:w="417" w:type="pct"/>
                  <w:vAlign w:val="center"/>
                </w:tcPr>
                <w:p w:rsidR="001B38C1" w:rsidRPr="001B38C1" w:rsidRDefault="001B38C1" w:rsidP="001B38C1">
                  <w:pPr>
                    <w:pStyle w:val="TableBodyText"/>
                  </w:pPr>
                  <w:r w:rsidRPr="001B38C1">
                    <w:t>na</w:t>
                  </w:r>
                </w:p>
              </w:tc>
              <w:tc>
                <w:tcPr>
                  <w:tcW w:w="502" w:type="pct"/>
                  <w:vAlign w:val="center"/>
                </w:tcPr>
                <w:p w:rsidR="001B38C1" w:rsidRPr="001B38C1" w:rsidRDefault="001B38C1" w:rsidP="001B38C1">
                  <w:pPr>
                    <w:pStyle w:val="TableBodyText"/>
                  </w:pPr>
                  <w:r w:rsidRPr="001B38C1">
                    <w:t>32.4</w:t>
                  </w:r>
                </w:p>
              </w:tc>
              <w:tc>
                <w:tcPr>
                  <w:tcW w:w="418" w:type="pct"/>
                  <w:vAlign w:val="center"/>
                </w:tcPr>
                <w:p w:rsidR="001B38C1" w:rsidRPr="001B38C1" w:rsidRDefault="001B38C1" w:rsidP="001B38C1">
                  <w:pPr>
                    <w:pStyle w:val="TableBodyText"/>
                  </w:pPr>
                  <w:r w:rsidRPr="001B38C1">
                    <w:t>29.7</w:t>
                  </w:r>
                </w:p>
              </w:tc>
            </w:tr>
            <w:tr w:rsidR="001B38C1" w:rsidTr="001B38C1">
              <w:tc>
                <w:tcPr>
                  <w:tcW w:w="1159" w:type="pct"/>
                  <w:tcBorders>
                    <w:bottom w:val="single" w:sz="6" w:space="0" w:color="BFBFBF"/>
                  </w:tcBorders>
                  <w:shd w:val="clear" w:color="auto" w:fill="auto"/>
                </w:tcPr>
                <w:p w:rsidR="001B38C1" w:rsidRDefault="001B38C1" w:rsidP="007D422B">
                  <w:pPr>
                    <w:pStyle w:val="TableBodyText"/>
                    <w:ind w:left="120"/>
                    <w:jc w:val="left"/>
                  </w:pPr>
                  <w:r>
                    <w:t>All births</w:t>
                  </w:r>
                </w:p>
              </w:tc>
              <w:tc>
                <w:tcPr>
                  <w:tcW w:w="502" w:type="pct"/>
                  <w:tcBorders>
                    <w:bottom w:val="single" w:sz="6" w:space="0" w:color="BFBFBF"/>
                  </w:tcBorders>
                  <w:vAlign w:val="center"/>
                </w:tcPr>
                <w:p w:rsidR="001B38C1" w:rsidRPr="001B38C1" w:rsidRDefault="001B38C1" w:rsidP="001B38C1">
                  <w:pPr>
                    <w:pStyle w:val="TableBodyText"/>
                  </w:pPr>
                  <w:r w:rsidRPr="001B38C1">
                    <w:t>30.1</w:t>
                  </w:r>
                </w:p>
              </w:tc>
              <w:tc>
                <w:tcPr>
                  <w:tcW w:w="499" w:type="pct"/>
                  <w:tcBorders>
                    <w:bottom w:val="single" w:sz="6" w:space="0" w:color="BFBFBF"/>
                  </w:tcBorders>
                  <w:vAlign w:val="center"/>
                </w:tcPr>
                <w:p w:rsidR="001B38C1" w:rsidRPr="001B38C1" w:rsidRDefault="001B38C1" w:rsidP="001B38C1">
                  <w:pPr>
                    <w:pStyle w:val="TableBodyText"/>
                  </w:pPr>
                  <w:r w:rsidRPr="001B38C1">
                    <w:t>30.4</w:t>
                  </w:r>
                </w:p>
              </w:tc>
              <w:tc>
                <w:tcPr>
                  <w:tcW w:w="500" w:type="pct"/>
                  <w:tcBorders>
                    <w:bottom w:val="single" w:sz="6" w:space="0" w:color="BFBFBF"/>
                  </w:tcBorders>
                  <w:vAlign w:val="center"/>
                </w:tcPr>
                <w:p w:rsidR="001B38C1" w:rsidRPr="001B38C1" w:rsidRDefault="001B38C1" w:rsidP="001B38C1">
                  <w:pPr>
                    <w:pStyle w:val="TableBodyText"/>
                  </w:pPr>
                  <w:r w:rsidRPr="001B38C1">
                    <w:t>28.2</w:t>
                  </w:r>
                </w:p>
              </w:tc>
              <w:tc>
                <w:tcPr>
                  <w:tcW w:w="502" w:type="pct"/>
                  <w:tcBorders>
                    <w:bottom w:val="single" w:sz="6" w:space="0" w:color="BFBFBF"/>
                  </w:tcBorders>
                  <w:vAlign w:val="center"/>
                </w:tcPr>
                <w:p w:rsidR="001B38C1" w:rsidRPr="001B38C1" w:rsidRDefault="001B38C1" w:rsidP="001B38C1">
                  <w:pPr>
                    <w:pStyle w:val="TableBodyText"/>
                  </w:pPr>
                  <w:r w:rsidRPr="001B38C1">
                    <w:t>28.5</w:t>
                  </w:r>
                </w:p>
              </w:tc>
              <w:tc>
                <w:tcPr>
                  <w:tcW w:w="501" w:type="pct"/>
                  <w:tcBorders>
                    <w:bottom w:val="single" w:sz="6" w:space="0" w:color="BFBFBF"/>
                  </w:tcBorders>
                  <w:vAlign w:val="center"/>
                </w:tcPr>
                <w:p w:rsidR="001B38C1" w:rsidRPr="001B38C1" w:rsidRDefault="001B38C1" w:rsidP="001B38C1">
                  <w:pPr>
                    <w:pStyle w:val="TableBodyText"/>
                  </w:pPr>
                  <w:r w:rsidRPr="001B38C1">
                    <w:t>29.4</w:t>
                  </w:r>
                </w:p>
              </w:tc>
              <w:tc>
                <w:tcPr>
                  <w:tcW w:w="417" w:type="pct"/>
                  <w:tcBorders>
                    <w:bottom w:val="single" w:sz="6" w:space="0" w:color="BFBFBF"/>
                  </w:tcBorders>
                  <w:vAlign w:val="center"/>
                </w:tcPr>
                <w:p w:rsidR="001B38C1" w:rsidRPr="001B38C1" w:rsidRDefault="001B38C1" w:rsidP="001B38C1">
                  <w:pPr>
                    <w:pStyle w:val="TableBodyText"/>
                  </w:pPr>
                  <w:r w:rsidRPr="001B38C1">
                    <w:t>na</w:t>
                  </w:r>
                </w:p>
              </w:tc>
              <w:tc>
                <w:tcPr>
                  <w:tcW w:w="502" w:type="pct"/>
                  <w:tcBorders>
                    <w:bottom w:val="single" w:sz="6" w:space="0" w:color="BFBFBF"/>
                  </w:tcBorders>
                  <w:vAlign w:val="center"/>
                </w:tcPr>
                <w:p w:rsidR="001B38C1" w:rsidRPr="001B38C1" w:rsidRDefault="001B38C1" w:rsidP="001B38C1">
                  <w:pPr>
                    <w:pStyle w:val="TableBodyText"/>
                  </w:pPr>
                  <w:r w:rsidRPr="001B38C1">
                    <w:t>30.3</w:t>
                  </w:r>
                </w:p>
              </w:tc>
              <w:tc>
                <w:tcPr>
                  <w:tcW w:w="418" w:type="pct"/>
                  <w:tcBorders>
                    <w:bottom w:val="single" w:sz="6" w:space="0" w:color="BFBFBF"/>
                  </w:tcBorders>
                  <w:shd w:val="clear" w:color="auto" w:fill="auto"/>
                  <w:vAlign w:val="center"/>
                </w:tcPr>
                <w:p w:rsidR="001B38C1" w:rsidRPr="001B38C1" w:rsidRDefault="001B38C1" w:rsidP="001B38C1">
                  <w:pPr>
                    <w:pStyle w:val="TableBodyText"/>
                  </w:pPr>
                  <w:r w:rsidRPr="001B38C1">
                    <w:t>27.6</w:t>
                  </w:r>
                </w:p>
              </w:tc>
            </w:tr>
          </w:tbl>
          <w:p w:rsidR="007D422B" w:rsidRDefault="007D422B" w:rsidP="007D422B">
            <w:pPr>
              <w:pStyle w:val="Box"/>
            </w:pPr>
          </w:p>
        </w:tc>
      </w:tr>
      <w:tr w:rsidR="007D422B" w:rsidTr="007D422B">
        <w:trPr>
          <w:cantSplit/>
        </w:trPr>
        <w:tc>
          <w:tcPr>
            <w:tcW w:w="8771" w:type="dxa"/>
            <w:tcBorders>
              <w:top w:val="nil"/>
              <w:left w:val="nil"/>
              <w:bottom w:val="nil"/>
              <w:right w:val="nil"/>
            </w:tcBorders>
            <w:shd w:val="clear" w:color="auto" w:fill="auto"/>
          </w:tcPr>
          <w:p w:rsidR="007D422B" w:rsidRDefault="007D422B" w:rsidP="00600EFB">
            <w:pPr>
              <w:pStyle w:val="Note"/>
              <w:rPr>
                <w:i/>
              </w:rPr>
            </w:pPr>
            <w:r w:rsidRPr="008E77FE">
              <w:rPr>
                <w:rStyle w:val="NoteLabel"/>
              </w:rPr>
              <w:t>a</w:t>
            </w:r>
            <w:r>
              <w:t xml:space="preserve"> </w:t>
            </w:r>
            <w:r w:rsidRPr="0083330D">
              <w:t>Data for Victoria</w:t>
            </w:r>
            <w:r w:rsidR="00600EFB" w:rsidRPr="0083330D">
              <w:t>, WA, SA and the ACT</w:t>
            </w:r>
            <w:r w:rsidRPr="0083330D">
              <w:t xml:space="preserve"> for 201</w:t>
            </w:r>
            <w:r w:rsidR="00600EFB" w:rsidRPr="0083330D">
              <w:t>3</w:t>
            </w:r>
            <w:r w:rsidRPr="0083330D">
              <w:t xml:space="preserve"> are preliminary. </w:t>
            </w:r>
            <w:r w:rsidRPr="0083330D">
              <w:rPr>
                <w:rStyle w:val="NoteLabel"/>
              </w:rPr>
              <w:t>b</w:t>
            </w:r>
            <w:r w:rsidRPr="0083330D">
              <w:t xml:space="preserve"> </w:t>
            </w:r>
            <w:r w:rsidR="00600EFB" w:rsidRPr="0083330D">
              <w:t>Between 12 and 15 per cent of births each year in the ACT are to non-residents of the ACT</w:t>
            </w:r>
            <w:r w:rsidRPr="0083330D">
              <w:t xml:space="preserve">. </w:t>
            </w:r>
            <w:r w:rsidRPr="0083330D">
              <w:rPr>
                <w:b/>
              </w:rPr>
              <w:t>na</w:t>
            </w:r>
            <w:r w:rsidRPr="0083330D">
              <w:t xml:space="preserve"> Not available.</w:t>
            </w:r>
          </w:p>
        </w:tc>
      </w:tr>
      <w:tr w:rsidR="007D422B" w:rsidTr="007D422B">
        <w:trPr>
          <w:cantSplit/>
        </w:trPr>
        <w:tc>
          <w:tcPr>
            <w:tcW w:w="8771" w:type="dxa"/>
            <w:tcBorders>
              <w:top w:val="nil"/>
              <w:left w:val="nil"/>
              <w:bottom w:val="nil"/>
              <w:right w:val="nil"/>
            </w:tcBorders>
            <w:shd w:val="clear" w:color="auto" w:fill="auto"/>
          </w:tcPr>
          <w:p w:rsidR="007D422B" w:rsidRDefault="007D422B" w:rsidP="00F2723D">
            <w:pPr>
              <w:pStyle w:val="Source"/>
            </w:pPr>
            <w:r>
              <w:rPr>
                <w:i/>
              </w:rPr>
              <w:t>Source</w:t>
            </w:r>
            <w:r w:rsidRPr="00167F06">
              <w:t xml:space="preserve">: </w:t>
            </w:r>
            <w:r w:rsidRPr="007D422B">
              <w:t>State and Territory governments (unpublished); table 11A.</w:t>
            </w:r>
            <w:r w:rsidR="00111DF5">
              <w:t>10</w:t>
            </w:r>
            <w:r w:rsidR="00F2723D">
              <w:t>1</w:t>
            </w:r>
            <w:r w:rsidRPr="007D422B">
              <w:t>.</w:t>
            </w:r>
          </w:p>
        </w:tc>
      </w:tr>
      <w:tr w:rsidR="007D422B" w:rsidTr="007D422B">
        <w:trPr>
          <w:cantSplit/>
        </w:trPr>
        <w:tc>
          <w:tcPr>
            <w:tcW w:w="8771" w:type="dxa"/>
            <w:tcBorders>
              <w:top w:val="nil"/>
              <w:left w:val="nil"/>
              <w:bottom w:val="single" w:sz="6" w:space="0" w:color="78A22F"/>
              <w:right w:val="nil"/>
            </w:tcBorders>
            <w:shd w:val="clear" w:color="auto" w:fill="auto"/>
          </w:tcPr>
          <w:p w:rsidR="007D422B" w:rsidRDefault="007D422B" w:rsidP="007D422B">
            <w:pPr>
              <w:pStyle w:val="Box"/>
              <w:spacing w:before="0" w:line="120" w:lineRule="exact"/>
            </w:pPr>
          </w:p>
        </w:tc>
      </w:tr>
      <w:tr w:rsidR="007D422B" w:rsidRPr="000863A5" w:rsidTr="007D422B">
        <w:tc>
          <w:tcPr>
            <w:tcW w:w="8771" w:type="dxa"/>
            <w:tcBorders>
              <w:top w:val="single" w:sz="6" w:space="0" w:color="78A22F"/>
              <w:left w:val="nil"/>
              <w:bottom w:val="nil"/>
              <w:right w:val="nil"/>
            </w:tcBorders>
          </w:tcPr>
          <w:p w:rsidR="007D422B" w:rsidRPr="00626D32" w:rsidRDefault="007D422B" w:rsidP="007D422B">
            <w:pPr>
              <w:pStyle w:val="BoxSpaceBelow"/>
            </w:pPr>
          </w:p>
        </w:tc>
      </w:tr>
    </w:tbl>
    <w:p w:rsidR="007D422B" w:rsidRDefault="009F0FB6" w:rsidP="009F0FB6">
      <w:pPr>
        <w:pStyle w:val="Heading2"/>
      </w:pPr>
      <w:bookmarkStart w:id="9" w:name="_Toc397611343"/>
      <w:r>
        <w:t>11.</w:t>
      </w:r>
      <w:r w:rsidR="009A53E9">
        <w:rPr>
          <w:noProof/>
        </w:rPr>
        <w:t>5</w:t>
      </w:r>
      <w:r>
        <w:tab/>
      </w:r>
      <w:r w:rsidRPr="009F0FB6">
        <w:t>Framework of performance indicators for maternity services</w:t>
      </w:r>
      <w:bookmarkEnd w:id="9"/>
    </w:p>
    <w:p w:rsidR="009F0FB6" w:rsidRDefault="000A6A0C" w:rsidP="009F0FB6">
      <w:pPr>
        <w:pStyle w:val="BodyText"/>
      </w:pPr>
      <w:r w:rsidRPr="000A6A0C">
        <w:t xml:space="preserve">The performance indicator framework provides information on equity, efficiency and effectiveness, and distinguishes the outputs and outcomes of </w:t>
      </w:r>
      <w:r>
        <w:t>maternity services (figure 11.26</w:t>
      </w:r>
      <w:r w:rsidRPr="000A6A0C">
        <w:t xml:space="preserve">). The performance indicator framework shows which data are comparable in the 2015 Report. For data that are not considered directly comparable, text includes relevant caveats and supporting commentary. Chapter 1 discusses data </w:t>
      </w:r>
      <w:r w:rsidRPr="0083330D">
        <w:t xml:space="preserve">comparability </w:t>
      </w:r>
      <w:r w:rsidR="002D7A62" w:rsidRPr="0083330D">
        <w:t>and data completeness</w:t>
      </w:r>
      <w:r w:rsidR="002D7A62" w:rsidRPr="002D7A62">
        <w:t xml:space="preserve"> </w:t>
      </w:r>
      <w:r w:rsidRPr="000A6A0C">
        <w:t>from a Report-wide perspective (section 1.6).</w:t>
      </w:r>
      <w:r w:rsidR="0040276C">
        <w:t xml:space="preserve"> </w:t>
      </w:r>
      <w:r w:rsidR="009F0FB6">
        <w:t>The Health sector overview explains the performance indicator framework for health services as a whole, including the subdimensions of quality and sustainability that have been added to the standard Review framework.</w:t>
      </w:r>
    </w:p>
    <w:p w:rsidR="000A6A0C" w:rsidRDefault="000A6A0C" w:rsidP="009F0FB6">
      <w:pPr>
        <w:pStyle w:val="BodyText"/>
      </w:pPr>
      <w:r w:rsidRPr="000A6A0C">
        <w:lastRenderedPageBreak/>
        <w:t>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ethnic-status) (chapter 2).</w:t>
      </w:r>
    </w:p>
    <w:p w:rsidR="009F0FB6" w:rsidRDefault="009F0FB6" w:rsidP="00081A2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F0FB6" w:rsidTr="00081A22">
        <w:tc>
          <w:tcPr>
            <w:tcW w:w="8771" w:type="dxa"/>
            <w:tcBorders>
              <w:top w:val="single" w:sz="6" w:space="0" w:color="78A22F"/>
              <w:left w:val="nil"/>
              <w:bottom w:val="nil"/>
              <w:right w:val="nil"/>
            </w:tcBorders>
            <w:shd w:val="clear" w:color="auto" w:fill="auto"/>
          </w:tcPr>
          <w:p w:rsidR="009F0FB6" w:rsidRPr="00176D3F" w:rsidRDefault="009F0FB6" w:rsidP="009F0FB6">
            <w:pPr>
              <w:pStyle w:val="FigureTitle"/>
            </w:pPr>
            <w:r w:rsidRPr="00784A05">
              <w:rPr>
                <w:b w:val="0"/>
              </w:rPr>
              <w:t xml:space="preserve">Figure </w:t>
            </w:r>
            <w:r w:rsidR="000D26EC">
              <w:rPr>
                <w:b w:val="0"/>
              </w:rPr>
              <w:t>11.</w:t>
            </w:r>
            <w:r w:rsidR="009A53E9">
              <w:rPr>
                <w:b w:val="0"/>
                <w:noProof/>
              </w:rPr>
              <w:t>26</w:t>
            </w:r>
            <w:r>
              <w:tab/>
            </w:r>
            <w:r w:rsidRPr="009F0FB6">
              <w:t>Maternity services performance indicator framework</w:t>
            </w:r>
          </w:p>
        </w:tc>
      </w:tr>
      <w:tr w:rsidR="009F0FB6" w:rsidTr="00081A22">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F0FB6" w:rsidTr="00081A22">
              <w:trPr>
                <w:jc w:val="center"/>
              </w:trPr>
              <w:tc>
                <w:tcPr>
                  <w:tcW w:w="5000" w:type="pct"/>
                  <w:tcBorders>
                    <w:top w:val="nil"/>
                    <w:bottom w:val="nil"/>
                  </w:tcBorders>
                </w:tcPr>
                <w:p w:rsidR="009F0FB6" w:rsidRDefault="001F000D" w:rsidP="00081A22">
                  <w:pPr>
                    <w:pStyle w:val="Figure"/>
                    <w:spacing w:before="60" w:after="60"/>
                  </w:pPr>
                  <w:r>
                    <w:rPr>
                      <w:noProof/>
                    </w:rPr>
                    <w:drawing>
                      <wp:inline distT="0" distB="0" distL="0" distR="0" wp14:anchorId="443E801B" wp14:editId="2CC57682">
                        <wp:extent cx="5362575" cy="4591050"/>
                        <wp:effectExtent l="0" t="0" r="9525" b="0"/>
                        <wp:docPr id="29" name="Picture 29" descr="Figure 11.26 Maternity services performance indicator framework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62575" cy="4591050"/>
                                </a:xfrm>
                                <a:prstGeom prst="rect">
                                  <a:avLst/>
                                </a:prstGeom>
                                <a:noFill/>
                                <a:ln>
                                  <a:noFill/>
                                </a:ln>
                              </pic:spPr>
                            </pic:pic>
                          </a:graphicData>
                        </a:graphic>
                      </wp:inline>
                    </w:drawing>
                  </w:r>
                </w:p>
              </w:tc>
            </w:tr>
          </w:tbl>
          <w:p w:rsidR="009F0FB6" w:rsidRDefault="009F0FB6" w:rsidP="00081A22">
            <w:pPr>
              <w:pStyle w:val="Figure"/>
            </w:pPr>
          </w:p>
        </w:tc>
      </w:tr>
      <w:tr w:rsidR="009F0FB6" w:rsidTr="00081A22">
        <w:tc>
          <w:tcPr>
            <w:tcW w:w="8771" w:type="dxa"/>
            <w:tcBorders>
              <w:top w:val="nil"/>
              <w:left w:val="nil"/>
              <w:bottom w:val="single" w:sz="6" w:space="0" w:color="78A22F"/>
              <w:right w:val="nil"/>
            </w:tcBorders>
            <w:shd w:val="clear" w:color="auto" w:fill="auto"/>
          </w:tcPr>
          <w:p w:rsidR="009F0FB6" w:rsidRDefault="009F0FB6" w:rsidP="00081A22">
            <w:pPr>
              <w:pStyle w:val="Figurespace"/>
            </w:pPr>
          </w:p>
        </w:tc>
      </w:tr>
      <w:tr w:rsidR="009F0FB6" w:rsidRPr="000863A5" w:rsidTr="00081A22">
        <w:tc>
          <w:tcPr>
            <w:tcW w:w="8771" w:type="dxa"/>
            <w:tcBorders>
              <w:top w:val="single" w:sz="6" w:space="0" w:color="78A22F"/>
              <w:left w:val="nil"/>
              <w:bottom w:val="nil"/>
              <w:right w:val="nil"/>
            </w:tcBorders>
          </w:tcPr>
          <w:p w:rsidR="009F0FB6" w:rsidRPr="00626D32" w:rsidRDefault="009F0FB6" w:rsidP="00081A22">
            <w:pPr>
              <w:pStyle w:val="BoxSpaceBelow"/>
            </w:pPr>
          </w:p>
        </w:tc>
      </w:tr>
    </w:tbl>
    <w:p w:rsidR="000A6A0C" w:rsidRDefault="000A6A0C" w:rsidP="009F0FB6">
      <w:pPr>
        <w:pStyle w:val="BodyText"/>
      </w:pPr>
      <w:r w:rsidRPr="000A6A0C">
        <w:t>Data quality information (DQI) is being progressively introduced for all indicators in the Report. The purpose of DQI is to provide structured and consistent information about quality aspects of data used to report on performance indicators, in addition to material in the chapter or sector overview and attachment tables. DQI in this Report cover the seven dimensions in the ABS’ data quality framework (institutional environment, relevance, timeliness, accuracy, coherence, accessibility and interpretability) in addition to dimensions that define and describe performance indicators in a consistent manner, and key data gaps and issues identified by the Steering Committee. All DQI for the 2015 Report can be fo</w:t>
      </w:r>
      <w:r w:rsidR="008C0550">
        <w:t>und at www.pc.gov.au</w:t>
      </w:r>
      <w:r w:rsidRPr="000A6A0C">
        <w:t>/rogs/2015.</w:t>
      </w:r>
    </w:p>
    <w:p w:rsidR="009F0FB6" w:rsidRDefault="009F0FB6" w:rsidP="009F0FB6">
      <w:pPr>
        <w:pStyle w:val="Heading2"/>
      </w:pPr>
      <w:bookmarkStart w:id="10" w:name="_Toc397611344"/>
      <w:r>
        <w:lastRenderedPageBreak/>
        <w:t>11.</w:t>
      </w:r>
      <w:r w:rsidR="009A53E9">
        <w:rPr>
          <w:noProof/>
        </w:rPr>
        <w:t>6</w:t>
      </w:r>
      <w:r>
        <w:tab/>
      </w:r>
      <w:r w:rsidRPr="009F0FB6">
        <w:t>Key performance indicator results for maternity services</w:t>
      </w:r>
      <w:bookmarkEnd w:id="10"/>
    </w:p>
    <w:p w:rsidR="009F0FB6" w:rsidRDefault="009F0FB6" w:rsidP="009F0FB6">
      <w:pPr>
        <w:pStyle w:val="Heading3"/>
      </w:pPr>
      <w:r>
        <w:t>Outputs</w:t>
      </w:r>
    </w:p>
    <w:p w:rsidR="009F0FB6" w:rsidRDefault="009F0FB6" w:rsidP="009F0FB6">
      <w:pPr>
        <w:pStyle w:val="BodyText"/>
      </w:pPr>
      <w:r>
        <w:t>Outputs are the services delivered (while outcomes are the impact of these services on the status of an individual or group) (see chapter 1, section 1.5).</w:t>
      </w:r>
    </w:p>
    <w:p w:rsidR="009F0FB6" w:rsidRDefault="009F0FB6" w:rsidP="009F0FB6">
      <w:pPr>
        <w:pStyle w:val="Heading3"/>
      </w:pPr>
      <w:r>
        <w:t>Equity — access</w:t>
      </w:r>
    </w:p>
    <w:p w:rsidR="009F0FB6" w:rsidRDefault="009F0FB6" w:rsidP="009F0FB6">
      <w:pPr>
        <w:pStyle w:val="BodyText"/>
      </w:pPr>
      <w:r>
        <w:t xml:space="preserve">The Steering Committee has identified equity of access as an area for development in future Reports. Equity of access indicators will measure access to maternity services by special needs groups such as </w:t>
      </w:r>
      <w:r w:rsidR="00CC4A84" w:rsidRPr="00CC4A84">
        <w:t xml:space="preserve">Aboriginal and Torres Strait Islander </w:t>
      </w:r>
      <w:r>
        <w:t xml:space="preserve">Australians or people in rural and remote areas. </w:t>
      </w:r>
    </w:p>
    <w:p w:rsidR="009F0FB6" w:rsidRDefault="009F0FB6" w:rsidP="009F0FB6">
      <w:pPr>
        <w:pStyle w:val="Heading3"/>
      </w:pPr>
      <w:r>
        <w:t>Effectiveness — access</w:t>
      </w:r>
    </w:p>
    <w:p w:rsidR="009F0FB6" w:rsidRDefault="009F0FB6" w:rsidP="009F0FB6">
      <w:pPr>
        <w:pStyle w:val="BodyText"/>
      </w:pPr>
      <w:r>
        <w:t>The Steering Committee has identified the effectiveness of access to maternity services as an area for development in future Reports. Effectiveness of access indicators will measure access to appropriate services for the population as a whole, particularly in terms of affordability and/or timeliness.</w:t>
      </w:r>
    </w:p>
    <w:p w:rsidR="009F0FB6" w:rsidRDefault="009F0FB6" w:rsidP="009F0FB6">
      <w:pPr>
        <w:pStyle w:val="Heading3"/>
      </w:pPr>
      <w:r>
        <w:t>Effectiveness — appropriateness</w:t>
      </w:r>
    </w:p>
    <w:p w:rsidR="009F0FB6" w:rsidRDefault="009F0FB6" w:rsidP="009F0FB6">
      <w:pPr>
        <w:pStyle w:val="Heading4"/>
      </w:pPr>
      <w:r>
        <w:t>Caesareans and inductions for selected primiparae</w:t>
      </w:r>
    </w:p>
    <w:p w:rsidR="009F0FB6" w:rsidRDefault="009F0FB6" w:rsidP="009F0FB6">
      <w:pPr>
        <w:pStyle w:val="BodyText"/>
      </w:pPr>
      <w:r>
        <w:t>‘Caesareans for selected primiparae’ and ‘Inductions for selected primiparae’ are indicators of the appropriateness of maternity services in public hospitals (box 11.17).</w:t>
      </w:r>
    </w:p>
    <w:p w:rsidR="009F0FB6" w:rsidRDefault="009F0FB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F0FB6" w:rsidTr="00081A22">
        <w:tc>
          <w:tcPr>
            <w:tcW w:w="8771" w:type="dxa"/>
            <w:tcBorders>
              <w:top w:val="single" w:sz="6" w:space="0" w:color="78A22F"/>
              <w:left w:val="nil"/>
              <w:bottom w:val="nil"/>
              <w:right w:val="nil"/>
            </w:tcBorders>
            <w:shd w:val="clear" w:color="auto" w:fill="F2F2F2"/>
          </w:tcPr>
          <w:p w:rsidR="009F0FB6" w:rsidRDefault="009F0FB6">
            <w:pPr>
              <w:pStyle w:val="BoxTitle"/>
            </w:pPr>
            <w:r>
              <w:rPr>
                <w:b w:val="0"/>
              </w:rPr>
              <w:t>Box 11.</w:t>
            </w:r>
            <w:r w:rsidR="009A53E9">
              <w:rPr>
                <w:b w:val="0"/>
                <w:noProof/>
              </w:rPr>
              <w:t>17</w:t>
            </w:r>
            <w:r>
              <w:tab/>
            </w:r>
            <w:r w:rsidR="00C55DDB" w:rsidRPr="00C55DDB">
              <w:t>Caesareans and inductions for selected primiparae</w:t>
            </w:r>
            <w:r w:rsidR="00C55DDB" w:rsidRPr="00D571C6">
              <w:rPr>
                <w:rStyle w:val="NoteLabel"/>
                <w:b/>
              </w:rPr>
              <w:t>a</w:t>
            </w:r>
          </w:p>
        </w:tc>
      </w:tr>
      <w:tr w:rsidR="009F0FB6" w:rsidTr="00081A22">
        <w:trPr>
          <w:cantSplit/>
        </w:trPr>
        <w:tc>
          <w:tcPr>
            <w:tcW w:w="8771" w:type="dxa"/>
            <w:tcBorders>
              <w:top w:val="nil"/>
              <w:left w:val="nil"/>
              <w:bottom w:val="nil"/>
              <w:right w:val="nil"/>
            </w:tcBorders>
            <w:shd w:val="clear" w:color="auto" w:fill="F2F2F2"/>
          </w:tcPr>
          <w:p w:rsidR="00C55DDB" w:rsidRDefault="00C55DDB" w:rsidP="00C55DDB">
            <w:pPr>
              <w:pStyle w:val="Box"/>
            </w:pPr>
            <w:r>
              <w:t>‘Caesareans and inductions for selected primiparae’ are defined as the number of inductions or caesareans for the selected primiparae</w:t>
            </w:r>
            <w:r w:rsidRPr="00DD0951">
              <w:rPr>
                <w:rStyle w:val="NoteLabel"/>
                <w:b w:val="0"/>
              </w:rPr>
              <w:t>a</w:t>
            </w:r>
            <w:r>
              <w:t xml:space="preserve"> divided respectively by the number of the selected primiparae who gave birth. </w:t>
            </w:r>
          </w:p>
          <w:p w:rsidR="00E4012C" w:rsidRDefault="00E4012C" w:rsidP="00E4012C">
            <w:pPr>
              <w:pStyle w:val="Box"/>
            </w:pPr>
            <w:r w:rsidRPr="00E4012C">
              <w:t xml:space="preserve">The indicator is calculated </w:t>
            </w:r>
            <w:r>
              <w:t xml:space="preserve">for women aged between 20 and 34 years who have had no previous deliveries, </w:t>
            </w:r>
            <w:r w:rsidRPr="0083330D">
              <w:t xml:space="preserve">with a </w:t>
            </w:r>
            <w:r w:rsidR="00D86C30" w:rsidRPr="0083330D">
              <w:t>singleton baby</w:t>
            </w:r>
            <w:r w:rsidR="00D86C30">
              <w:t xml:space="preserve"> with a </w:t>
            </w:r>
            <w:r>
              <w:t>vertex presentation (that is, the crown of the baby’s head is at the lower segment of the mother’s uterus) and a gestation length of 37 to 41 weeks. This group is considered to be low risk parturients,</w:t>
            </w:r>
            <w:r w:rsidRPr="00DD0951">
              <w:rPr>
                <w:rStyle w:val="NoteLabel"/>
                <w:b w:val="0"/>
              </w:rPr>
              <w:t>b</w:t>
            </w:r>
            <w:r>
              <w:t xml:space="preserve"> so caesarean or induction rates should be low in their population.</w:t>
            </w:r>
          </w:p>
          <w:p w:rsidR="00C55DDB" w:rsidRDefault="00C55DDB" w:rsidP="00C55DDB">
            <w:pPr>
              <w:pStyle w:val="Box"/>
            </w:pPr>
            <w:r>
              <w:t xml:space="preserve">High intervention rates can indicate a need for investigation, although labour inductions and birth by caesarean section are interventions that are appropriate in some circumstances, depending on the health and wellbeing of mothers and babies. </w:t>
            </w:r>
          </w:p>
          <w:p w:rsidR="00C55DDB" w:rsidRDefault="00C55DDB" w:rsidP="00C55DDB">
            <w:pPr>
              <w:pStyle w:val="Box"/>
            </w:pPr>
            <w:r>
              <w:t>Data reported for this indicator are:</w:t>
            </w:r>
          </w:p>
          <w:p w:rsidR="00C55DDB" w:rsidRDefault="00C55DDB" w:rsidP="00B609BC">
            <w:pPr>
              <w:pStyle w:val="BoxListBullet"/>
            </w:pPr>
            <w:r>
              <w:t xml:space="preserve">comparable (subject to caveats) within jurisdictions </w:t>
            </w:r>
            <w:r w:rsidR="00754C53">
              <w:t xml:space="preserve">and </w:t>
            </w:r>
            <w:r w:rsidR="009156AB">
              <w:t xml:space="preserve">over time </w:t>
            </w:r>
            <w:r>
              <w:t>but are not comparable across jurisdictions</w:t>
            </w:r>
            <w:r w:rsidR="009156AB">
              <w:t xml:space="preserve"> and</w:t>
            </w:r>
            <w:r w:rsidR="00B609BC" w:rsidRPr="00B609BC">
              <w:t xml:space="preserve"> are not comparable with data in previous report editions</w:t>
            </w:r>
          </w:p>
          <w:p w:rsidR="00C55DDB" w:rsidRDefault="00C55DDB" w:rsidP="00C55DDB">
            <w:pPr>
              <w:pStyle w:val="BoxListBullet"/>
            </w:pPr>
            <w:r>
              <w:t>incomplete for the current reporting period. All required data were not available for Tasmania.</w:t>
            </w:r>
          </w:p>
          <w:p w:rsidR="00C55DDB" w:rsidRDefault="00886C7D" w:rsidP="00C55DDB">
            <w:pPr>
              <w:pStyle w:val="Box"/>
            </w:pPr>
            <w:r w:rsidRPr="00886C7D">
              <w:t>Data quality</w:t>
            </w:r>
            <w:r>
              <w:t xml:space="preserve"> information for this indicator</w:t>
            </w:r>
            <w:r w:rsidR="008C0550">
              <w:t xml:space="preserve"> is at www.pc.gov.au</w:t>
            </w:r>
            <w:r w:rsidRPr="00886C7D">
              <w:t>/rogs/2015.</w:t>
            </w:r>
          </w:p>
          <w:p w:rsidR="009F0FB6" w:rsidRDefault="00C55DDB" w:rsidP="00C55DDB">
            <w:pPr>
              <w:pStyle w:val="Note"/>
            </w:pPr>
            <w:r w:rsidRPr="00C55DDB">
              <w:rPr>
                <w:rStyle w:val="NoteLabel"/>
              </w:rPr>
              <w:t>a</w:t>
            </w:r>
            <w:r>
              <w:t xml:space="preserve"> Primiparae refers to a woman who has given birth to a liveborn or stillborn infant for the first time. </w:t>
            </w:r>
            <w:r w:rsidRPr="00C55DDB">
              <w:rPr>
                <w:rStyle w:val="NoteLabel"/>
              </w:rPr>
              <w:t>b</w:t>
            </w:r>
            <w:r w:rsidR="00A00906">
              <w:t> </w:t>
            </w:r>
            <w:r>
              <w:t>Parturient means ‘about to give birth’.</w:t>
            </w:r>
          </w:p>
        </w:tc>
      </w:tr>
      <w:tr w:rsidR="009F0FB6" w:rsidTr="00081A22">
        <w:trPr>
          <w:cantSplit/>
        </w:trPr>
        <w:tc>
          <w:tcPr>
            <w:tcW w:w="8771" w:type="dxa"/>
            <w:tcBorders>
              <w:top w:val="nil"/>
              <w:left w:val="nil"/>
              <w:bottom w:val="single" w:sz="6" w:space="0" w:color="78A22F"/>
              <w:right w:val="nil"/>
            </w:tcBorders>
            <w:shd w:val="clear" w:color="auto" w:fill="F2F2F2"/>
          </w:tcPr>
          <w:p w:rsidR="009F0FB6" w:rsidRDefault="009F0FB6">
            <w:pPr>
              <w:pStyle w:val="Box"/>
              <w:spacing w:before="0" w:line="120" w:lineRule="exact"/>
            </w:pPr>
          </w:p>
        </w:tc>
      </w:tr>
      <w:tr w:rsidR="009F0FB6" w:rsidRPr="000863A5" w:rsidTr="00081A22">
        <w:tc>
          <w:tcPr>
            <w:tcW w:w="8771" w:type="dxa"/>
            <w:tcBorders>
              <w:top w:val="single" w:sz="6" w:space="0" w:color="78A22F"/>
              <w:left w:val="nil"/>
              <w:bottom w:val="nil"/>
              <w:right w:val="nil"/>
            </w:tcBorders>
          </w:tcPr>
          <w:p w:rsidR="009F0FB6" w:rsidRPr="00626D32" w:rsidRDefault="009F0FB6" w:rsidP="00081A22">
            <w:pPr>
              <w:pStyle w:val="BoxSpaceBelow"/>
            </w:pPr>
          </w:p>
        </w:tc>
      </w:tr>
    </w:tbl>
    <w:p w:rsidR="00C17556" w:rsidRDefault="007B0B99" w:rsidP="009F0FB6">
      <w:pPr>
        <w:pStyle w:val="BodyText"/>
      </w:pPr>
      <w:r>
        <w:t>This year</w:t>
      </w:r>
      <w:r w:rsidR="00C17556">
        <w:t xml:space="preserve"> </w:t>
      </w:r>
      <w:r w:rsidR="00E05B07">
        <w:t xml:space="preserve">the age group </w:t>
      </w:r>
      <w:r>
        <w:t xml:space="preserve">of women </w:t>
      </w:r>
      <w:r w:rsidR="00E05B07">
        <w:t>used for this indicator</w:t>
      </w:r>
      <w:r w:rsidR="00DD0951">
        <w:t xml:space="preserve"> has been changed from </w:t>
      </w:r>
      <w:r w:rsidR="00DD0951">
        <w:br/>
        <w:t>25–29 </w:t>
      </w:r>
      <w:r w:rsidR="00C17556" w:rsidRPr="00C17556">
        <w:t>years to 20–34</w:t>
      </w:r>
      <w:r w:rsidR="00DD0951">
        <w:t>,</w:t>
      </w:r>
      <w:r w:rsidR="00C17556" w:rsidRPr="00C17556">
        <w:t xml:space="preserve"> years to align with national data definitions</w:t>
      </w:r>
      <w:r w:rsidR="00C17556">
        <w:t xml:space="preserve">. </w:t>
      </w:r>
      <w:r w:rsidR="006433C3">
        <w:t xml:space="preserve">All time series data in attachment tables </w:t>
      </w:r>
      <w:r w:rsidR="006433C3" w:rsidRPr="00645ED7">
        <w:t>11A.10</w:t>
      </w:r>
      <w:r w:rsidR="00F2723D">
        <w:t>3</w:t>
      </w:r>
      <w:r w:rsidR="006433C3" w:rsidRPr="00645ED7">
        <w:t>–11</w:t>
      </w:r>
      <w:r w:rsidR="00F2723D">
        <w:t>0</w:t>
      </w:r>
      <w:r w:rsidR="006433C3">
        <w:t xml:space="preserve"> for this Report edition have been backcast using the 20</w:t>
      </w:r>
      <w:r w:rsidR="006433C3" w:rsidRPr="00645ED7">
        <w:t>–</w:t>
      </w:r>
      <w:r w:rsidR="006433C3">
        <w:t xml:space="preserve">34 year age group. </w:t>
      </w:r>
      <w:r w:rsidR="00DD0951">
        <w:t>Therefore</w:t>
      </w:r>
      <w:r w:rsidR="006433C3">
        <w:t>, d</w:t>
      </w:r>
      <w:r w:rsidR="00F83ACA">
        <w:t xml:space="preserve">ata </w:t>
      </w:r>
      <w:r w:rsidR="000F1838">
        <w:t xml:space="preserve">for this indicator are </w:t>
      </w:r>
      <w:r w:rsidR="00F83ACA">
        <w:t>not comparable with data in previous report</w:t>
      </w:r>
      <w:r w:rsidR="00645ED7">
        <w:t xml:space="preserve"> edition</w:t>
      </w:r>
      <w:r w:rsidR="00F83ACA">
        <w:t>s.</w:t>
      </w:r>
      <w:r w:rsidR="00645ED7">
        <w:t xml:space="preserve"> </w:t>
      </w:r>
    </w:p>
    <w:p w:rsidR="009F0FB6" w:rsidRDefault="0012082B" w:rsidP="009F0FB6">
      <w:pPr>
        <w:pStyle w:val="BodyText"/>
      </w:pPr>
      <w:r w:rsidRPr="0012082B">
        <w:t>Caesarean rates for selected primiparae in public hospitals are reported in figure 11.2</w:t>
      </w:r>
      <w:r w:rsidR="000D26EC">
        <w:t>7</w:t>
      </w:r>
      <w:r w:rsidRPr="0012082B">
        <w:t>. Induction rates for selected primiparae in public hospitals are reported in figure 11.2</w:t>
      </w:r>
      <w:r w:rsidR="000D26EC">
        <w:t>8</w:t>
      </w:r>
      <w:r w:rsidRPr="0012082B">
        <w:t>. Caesarean and induction rates for private hospitals are shown in table 11A.</w:t>
      </w:r>
      <w:r w:rsidR="00111DF5">
        <w:t>10</w:t>
      </w:r>
      <w:r w:rsidR="00F2723D">
        <w:t>2</w:t>
      </w:r>
      <w:r w:rsidRPr="0012082B">
        <w:t xml:space="preserve"> for comparison. They are higher than the rate for public hospitals in almost all jurisdictions for which data are available. Data for all jurisdictions for earli</w:t>
      </w:r>
      <w:r w:rsidR="00DD0951">
        <w:t>er years are included in tables </w:t>
      </w:r>
      <w:r w:rsidRPr="0012082B">
        <w:t>11A.</w:t>
      </w:r>
      <w:r w:rsidR="00111DF5">
        <w:t>10</w:t>
      </w:r>
      <w:r w:rsidR="00F2723D">
        <w:t>3</w:t>
      </w:r>
      <w:r w:rsidRPr="0012082B">
        <w:t>–1</w:t>
      </w:r>
      <w:r w:rsidR="00111DF5">
        <w:t>1</w:t>
      </w:r>
      <w:r w:rsidR="00F2723D">
        <w:t>0</w:t>
      </w:r>
      <w:r w:rsidRPr="0012082B">
        <w:t>.</w:t>
      </w:r>
    </w:p>
    <w:p w:rsidR="00C55DDB" w:rsidRDefault="00C55DDB" w:rsidP="00081A2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55DDB" w:rsidTr="00081A22">
        <w:tc>
          <w:tcPr>
            <w:tcW w:w="8771" w:type="dxa"/>
            <w:tcBorders>
              <w:top w:val="single" w:sz="6" w:space="0" w:color="78A22F"/>
              <w:left w:val="nil"/>
              <w:bottom w:val="nil"/>
              <w:right w:val="nil"/>
            </w:tcBorders>
            <w:shd w:val="clear" w:color="auto" w:fill="auto"/>
          </w:tcPr>
          <w:p w:rsidR="00C55DDB" w:rsidRPr="00176D3F" w:rsidRDefault="00C55DDB" w:rsidP="00C55DDB">
            <w:pPr>
              <w:pStyle w:val="FigureTitle"/>
            </w:pPr>
            <w:r w:rsidRPr="00784A05">
              <w:rPr>
                <w:b w:val="0"/>
              </w:rPr>
              <w:t xml:space="preserve">Figure </w:t>
            </w:r>
            <w:r w:rsidR="000D26EC">
              <w:rPr>
                <w:b w:val="0"/>
              </w:rPr>
              <w:t>11.</w:t>
            </w:r>
            <w:r w:rsidR="009A53E9">
              <w:rPr>
                <w:b w:val="0"/>
                <w:noProof/>
              </w:rPr>
              <w:t>27</w:t>
            </w:r>
            <w:r>
              <w:tab/>
            </w:r>
            <w:r w:rsidRPr="00C55DDB">
              <w:t xml:space="preserve">Caesareans for selected primiparae, public </w:t>
            </w:r>
            <w:r w:rsidR="00E05B07">
              <w:br/>
            </w:r>
            <w:r w:rsidRPr="00C55DDB">
              <w:t>hospitals</w:t>
            </w:r>
            <w:r w:rsidR="00DD0951">
              <w:rPr>
                <w:rStyle w:val="NoteLabel"/>
                <w:b/>
                <w:szCs w:val="20"/>
              </w:rPr>
              <w:t>a, b, c, d, e</w:t>
            </w:r>
            <w:r w:rsidR="002841C9">
              <w:rPr>
                <w:rStyle w:val="NoteLabel"/>
                <w:b/>
                <w:szCs w:val="20"/>
              </w:rPr>
              <w:t>, f</w:t>
            </w:r>
          </w:p>
        </w:tc>
      </w:tr>
      <w:tr w:rsidR="00C55DDB" w:rsidTr="00081A22">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55DDB" w:rsidTr="00081A22">
              <w:trPr>
                <w:jc w:val="center"/>
              </w:trPr>
              <w:tc>
                <w:tcPr>
                  <w:tcW w:w="5000" w:type="pct"/>
                  <w:tcBorders>
                    <w:top w:val="nil"/>
                    <w:bottom w:val="nil"/>
                  </w:tcBorders>
                </w:tcPr>
                <w:p w:rsidR="00C55DDB" w:rsidRDefault="008953BE" w:rsidP="00081A22">
                  <w:pPr>
                    <w:pStyle w:val="Figure"/>
                    <w:spacing w:before="60" w:after="60"/>
                  </w:pPr>
                  <w:r>
                    <w:rPr>
                      <w:noProof/>
                    </w:rPr>
                    <w:drawing>
                      <wp:inline distT="0" distB="0" distL="0" distR="0">
                        <wp:extent cx="5391150" cy="2609850"/>
                        <wp:effectExtent l="0" t="0" r="0" b="0"/>
                        <wp:docPr id="19" name="Picture 19" descr="Figure 11.27 Caesareans for selected primiparae, public hospital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91150" cy="2609850"/>
                                </a:xfrm>
                                <a:prstGeom prst="rect">
                                  <a:avLst/>
                                </a:prstGeom>
                                <a:noFill/>
                                <a:ln>
                                  <a:noFill/>
                                </a:ln>
                              </pic:spPr>
                            </pic:pic>
                          </a:graphicData>
                        </a:graphic>
                      </wp:inline>
                    </w:drawing>
                  </w:r>
                </w:p>
              </w:tc>
            </w:tr>
          </w:tbl>
          <w:p w:rsidR="00C55DDB" w:rsidRDefault="00C55DDB" w:rsidP="00081A22">
            <w:pPr>
              <w:pStyle w:val="Figure"/>
            </w:pPr>
          </w:p>
        </w:tc>
      </w:tr>
      <w:tr w:rsidR="00C55DDB" w:rsidRPr="00176D3F" w:rsidTr="00081A22">
        <w:tc>
          <w:tcPr>
            <w:tcW w:w="8771" w:type="dxa"/>
            <w:tcBorders>
              <w:top w:val="nil"/>
              <w:left w:val="nil"/>
              <w:bottom w:val="nil"/>
              <w:right w:val="nil"/>
            </w:tcBorders>
            <w:shd w:val="clear" w:color="auto" w:fill="auto"/>
          </w:tcPr>
          <w:p w:rsidR="00C55DDB" w:rsidRPr="00176D3F" w:rsidRDefault="00C55DDB" w:rsidP="00DD0951">
            <w:pPr>
              <w:pStyle w:val="Note"/>
            </w:pPr>
            <w:r>
              <w:rPr>
                <w:rStyle w:val="NoteLabel"/>
              </w:rPr>
              <w:t>a</w:t>
            </w:r>
            <w:r>
              <w:t xml:space="preserve"> </w:t>
            </w:r>
            <w:r w:rsidRPr="00C55DDB">
              <w:t>Data for 201</w:t>
            </w:r>
            <w:r w:rsidR="00E847EB">
              <w:t>3</w:t>
            </w:r>
            <w:r w:rsidRPr="00C55DDB">
              <w:t xml:space="preserve"> </w:t>
            </w:r>
            <w:r w:rsidR="00DD0951">
              <w:t xml:space="preserve">for Victoria, WA, SA and </w:t>
            </w:r>
            <w:r w:rsidR="00E72D71">
              <w:t xml:space="preserve">the </w:t>
            </w:r>
            <w:r w:rsidR="00DD0951">
              <w:t xml:space="preserve">ACT </w:t>
            </w:r>
            <w:r>
              <w:t>are preliminary.</w:t>
            </w:r>
            <w:r w:rsidRPr="00C55DDB">
              <w:t xml:space="preserve"> </w:t>
            </w:r>
            <w:r w:rsidR="00DD0951">
              <w:rPr>
                <w:rStyle w:val="NoteLabel"/>
              </w:rPr>
              <w:t>b</w:t>
            </w:r>
            <w:r w:rsidRPr="00C55DDB">
              <w:t xml:space="preserve"> Data for Tasmania are not available. </w:t>
            </w:r>
            <w:r w:rsidR="00DD0951">
              <w:rPr>
                <w:rStyle w:val="NoteLabel"/>
              </w:rPr>
              <w:t>c </w:t>
            </w:r>
            <w:r w:rsidR="004B2356" w:rsidRPr="0083330D">
              <w:t>Between 12 and 15 per cent of births each year in the ACT are to non-residents of the ACT</w:t>
            </w:r>
            <w:r w:rsidRPr="0083330D">
              <w:t xml:space="preserve">. </w:t>
            </w:r>
            <w:r w:rsidR="00DD0951" w:rsidRPr="0083330D">
              <w:rPr>
                <w:rStyle w:val="NoteLabel"/>
              </w:rPr>
              <w:t>d</w:t>
            </w:r>
            <w:r w:rsidRPr="0083330D">
              <w:rPr>
                <w:rStyle w:val="NoteLabel"/>
              </w:rPr>
              <w:t xml:space="preserve"> </w:t>
            </w:r>
            <w:r w:rsidRPr="0083330D">
              <w:t>Total includes only jurisdictions for which data are available.</w:t>
            </w:r>
            <w:r w:rsidR="009F4845" w:rsidRPr="0083330D">
              <w:t xml:space="preserve"> </w:t>
            </w:r>
            <w:r w:rsidR="002841C9" w:rsidRPr="0083330D">
              <w:rPr>
                <w:rStyle w:val="NoteLabel"/>
              </w:rPr>
              <w:t>e</w:t>
            </w:r>
            <w:r w:rsidR="002841C9" w:rsidRPr="0083330D">
              <w:t xml:space="preserve"> The indicator is calculated for women aged between 20 and 34 years who have had no previous deliveries, with a singleton baby with a vertex presentation (that is, the crown of the baby’s head is at the lower segment of the mother’s uterus) and a gestation length of 37 to 41 weeks. </w:t>
            </w:r>
            <w:r w:rsidR="002841C9" w:rsidRPr="0083330D">
              <w:rPr>
                <w:rStyle w:val="NoteLabel"/>
              </w:rPr>
              <w:t>f</w:t>
            </w:r>
            <w:r w:rsidR="002841C9" w:rsidRPr="0083330D">
              <w:t xml:space="preserve"> The age group of women used for this indicator has been changed from 25–29 years to 20–34 years in this Report edition to align with national data definitions. Therefore, data for this indicator are not comparable with data in previous report editions.</w:t>
            </w:r>
          </w:p>
        </w:tc>
      </w:tr>
      <w:tr w:rsidR="00C55DDB" w:rsidRPr="00176D3F" w:rsidTr="00081A22">
        <w:tc>
          <w:tcPr>
            <w:tcW w:w="8771" w:type="dxa"/>
            <w:tcBorders>
              <w:top w:val="nil"/>
              <w:left w:val="nil"/>
              <w:bottom w:val="nil"/>
              <w:right w:val="nil"/>
            </w:tcBorders>
            <w:shd w:val="clear" w:color="auto" w:fill="auto"/>
          </w:tcPr>
          <w:p w:rsidR="00C55DDB" w:rsidRPr="00176D3F" w:rsidRDefault="00C55DDB" w:rsidP="00F2723D">
            <w:pPr>
              <w:pStyle w:val="Source"/>
            </w:pPr>
            <w:r>
              <w:rPr>
                <w:i/>
              </w:rPr>
              <w:t>S</w:t>
            </w:r>
            <w:r w:rsidRPr="00784A05">
              <w:rPr>
                <w:i/>
              </w:rPr>
              <w:t>ource</w:t>
            </w:r>
            <w:r w:rsidRPr="00176D3F">
              <w:t xml:space="preserve">: </w:t>
            </w:r>
            <w:r w:rsidRPr="00C55DDB">
              <w:t>State and Territory governments (unpublished); tables 11A.</w:t>
            </w:r>
            <w:r w:rsidR="00111DF5">
              <w:t>10</w:t>
            </w:r>
            <w:r w:rsidR="00F2723D">
              <w:t>3</w:t>
            </w:r>
            <w:r w:rsidRPr="00C55DDB">
              <w:t>–1</w:t>
            </w:r>
            <w:r w:rsidR="00111DF5">
              <w:t>1</w:t>
            </w:r>
            <w:r w:rsidR="00F2723D">
              <w:t>0</w:t>
            </w:r>
            <w:r w:rsidRPr="00C55DDB">
              <w:t>.</w:t>
            </w:r>
          </w:p>
        </w:tc>
      </w:tr>
      <w:tr w:rsidR="00C55DDB" w:rsidTr="00081A22">
        <w:tc>
          <w:tcPr>
            <w:tcW w:w="8771" w:type="dxa"/>
            <w:tcBorders>
              <w:top w:val="nil"/>
              <w:left w:val="nil"/>
              <w:bottom w:val="single" w:sz="6" w:space="0" w:color="78A22F"/>
              <w:right w:val="nil"/>
            </w:tcBorders>
            <w:shd w:val="clear" w:color="auto" w:fill="auto"/>
          </w:tcPr>
          <w:p w:rsidR="00C55DDB" w:rsidRDefault="00C55DDB" w:rsidP="00081A22">
            <w:pPr>
              <w:pStyle w:val="Figurespace"/>
            </w:pPr>
          </w:p>
        </w:tc>
      </w:tr>
      <w:tr w:rsidR="00C55DDB" w:rsidRPr="000863A5" w:rsidTr="00081A22">
        <w:tc>
          <w:tcPr>
            <w:tcW w:w="8771" w:type="dxa"/>
            <w:tcBorders>
              <w:top w:val="single" w:sz="6" w:space="0" w:color="78A22F"/>
              <w:left w:val="nil"/>
              <w:bottom w:val="nil"/>
              <w:right w:val="nil"/>
            </w:tcBorders>
          </w:tcPr>
          <w:p w:rsidR="00C55DDB" w:rsidRPr="00626D32" w:rsidRDefault="00C55DDB" w:rsidP="00081A22">
            <w:pPr>
              <w:pStyle w:val="BoxSpaceBelow"/>
            </w:pPr>
          </w:p>
        </w:tc>
      </w:tr>
    </w:tbl>
    <w:p w:rsidR="00C55DDB" w:rsidRDefault="00C55DDB" w:rsidP="00E72D71">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55DDB" w:rsidTr="00081A22">
        <w:tc>
          <w:tcPr>
            <w:tcW w:w="8771" w:type="dxa"/>
            <w:tcBorders>
              <w:top w:val="single" w:sz="6" w:space="0" w:color="78A22F"/>
              <w:left w:val="nil"/>
              <w:bottom w:val="nil"/>
              <w:right w:val="nil"/>
            </w:tcBorders>
            <w:shd w:val="clear" w:color="auto" w:fill="auto"/>
          </w:tcPr>
          <w:p w:rsidR="00C55DDB" w:rsidRPr="00176D3F" w:rsidRDefault="00C55DDB" w:rsidP="00E72D71">
            <w:pPr>
              <w:pStyle w:val="FigureTitle"/>
            </w:pPr>
            <w:r w:rsidRPr="00784A05">
              <w:rPr>
                <w:b w:val="0"/>
              </w:rPr>
              <w:t xml:space="preserve">Figure </w:t>
            </w:r>
            <w:r w:rsidR="000D26EC">
              <w:rPr>
                <w:b w:val="0"/>
              </w:rPr>
              <w:t>11.</w:t>
            </w:r>
            <w:r w:rsidR="009A53E9">
              <w:rPr>
                <w:b w:val="0"/>
                <w:noProof/>
              </w:rPr>
              <w:t>28</w:t>
            </w:r>
            <w:r>
              <w:tab/>
            </w:r>
            <w:r w:rsidRPr="00C55DDB">
              <w:t xml:space="preserve">Inductions for selected primiparae, public </w:t>
            </w:r>
            <w:r w:rsidR="009F4845">
              <w:br/>
            </w:r>
            <w:r w:rsidRPr="00C55DDB">
              <w:t>hospitals</w:t>
            </w:r>
            <w:r w:rsidR="00E72D71">
              <w:rPr>
                <w:rStyle w:val="NoteLabel"/>
                <w:b/>
                <w:szCs w:val="20"/>
              </w:rPr>
              <w:t>a, b, c, d, e</w:t>
            </w:r>
            <w:r w:rsidR="002841C9">
              <w:rPr>
                <w:rStyle w:val="NoteLabel"/>
                <w:b/>
                <w:szCs w:val="20"/>
              </w:rPr>
              <w:t>, f</w:t>
            </w:r>
          </w:p>
        </w:tc>
      </w:tr>
      <w:tr w:rsidR="00C55DDB" w:rsidTr="00081A22">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55DDB" w:rsidTr="00081A22">
              <w:trPr>
                <w:jc w:val="center"/>
              </w:trPr>
              <w:tc>
                <w:tcPr>
                  <w:tcW w:w="5000" w:type="pct"/>
                  <w:tcBorders>
                    <w:top w:val="nil"/>
                    <w:bottom w:val="nil"/>
                  </w:tcBorders>
                </w:tcPr>
                <w:p w:rsidR="00C55DDB" w:rsidRDefault="008953BE" w:rsidP="00E72D71">
                  <w:pPr>
                    <w:pStyle w:val="Figure"/>
                    <w:keepLines/>
                    <w:spacing w:before="60" w:after="60"/>
                  </w:pPr>
                  <w:r>
                    <w:rPr>
                      <w:noProof/>
                    </w:rPr>
                    <w:drawing>
                      <wp:inline distT="0" distB="0" distL="0" distR="0">
                        <wp:extent cx="5391150" cy="2695575"/>
                        <wp:effectExtent l="0" t="0" r="0" b="9525"/>
                        <wp:docPr id="30" name="Picture 30" descr="Figure 11.28 Inductions for selected primiparae, public hospital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C55DDB" w:rsidRDefault="00C55DDB" w:rsidP="00E72D71">
            <w:pPr>
              <w:pStyle w:val="Figure"/>
              <w:keepLines/>
            </w:pPr>
          </w:p>
        </w:tc>
      </w:tr>
      <w:tr w:rsidR="00C55DDB" w:rsidRPr="00176D3F" w:rsidTr="00081A22">
        <w:tc>
          <w:tcPr>
            <w:tcW w:w="8771" w:type="dxa"/>
            <w:tcBorders>
              <w:top w:val="nil"/>
              <w:left w:val="nil"/>
              <w:bottom w:val="nil"/>
              <w:right w:val="nil"/>
            </w:tcBorders>
            <w:shd w:val="clear" w:color="auto" w:fill="auto"/>
          </w:tcPr>
          <w:p w:rsidR="00C55DDB" w:rsidRPr="00176D3F" w:rsidRDefault="00E72D71" w:rsidP="002841C9">
            <w:pPr>
              <w:pStyle w:val="Note"/>
              <w:keepNext/>
            </w:pPr>
            <w:r>
              <w:rPr>
                <w:rStyle w:val="NoteLabel"/>
              </w:rPr>
              <w:t>a</w:t>
            </w:r>
            <w:r>
              <w:t xml:space="preserve"> </w:t>
            </w:r>
            <w:r w:rsidRPr="00C55DDB">
              <w:t>Data for 201</w:t>
            </w:r>
            <w:r>
              <w:t>3</w:t>
            </w:r>
            <w:r w:rsidRPr="00C55DDB">
              <w:t xml:space="preserve"> </w:t>
            </w:r>
            <w:r>
              <w:t>for Victoria, WA, SA and the ACT are preliminary.</w:t>
            </w:r>
            <w:r w:rsidRPr="00C55DDB">
              <w:t xml:space="preserve"> </w:t>
            </w:r>
            <w:r>
              <w:rPr>
                <w:rStyle w:val="NoteLabel"/>
              </w:rPr>
              <w:t>b</w:t>
            </w:r>
            <w:r w:rsidRPr="00C55DDB">
              <w:t xml:space="preserve"> Data for Tasmania are not available. </w:t>
            </w:r>
            <w:r>
              <w:rPr>
                <w:rStyle w:val="NoteLabel"/>
              </w:rPr>
              <w:t>c </w:t>
            </w:r>
            <w:r w:rsidR="004B2356" w:rsidRPr="0083330D">
              <w:t>Between 12 and 15 per cent of births each year in the ACT are to non-residents of the ACT</w:t>
            </w:r>
            <w:r w:rsidRPr="0083330D">
              <w:t xml:space="preserve">. </w:t>
            </w:r>
            <w:r w:rsidRPr="0083330D">
              <w:rPr>
                <w:rStyle w:val="NoteLabel"/>
              </w:rPr>
              <w:t xml:space="preserve">d </w:t>
            </w:r>
            <w:r w:rsidRPr="0083330D">
              <w:t xml:space="preserve">Total includes only jurisdictions for which data are available. </w:t>
            </w:r>
            <w:r w:rsidRPr="0083330D">
              <w:rPr>
                <w:rStyle w:val="NoteLabel"/>
              </w:rPr>
              <w:t>e</w:t>
            </w:r>
            <w:r w:rsidRPr="0083330D">
              <w:t xml:space="preserve"> </w:t>
            </w:r>
            <w:r w:rsidR="002841C9" w:rsidRPr="0083330D">
              <w:t xml:space="preserve">The indicator is calculated for women aged between 20 and 34 years who have had no previous deliveries, with a singleton baby with a vertex presentation (that is, the crown of the baby’s head is at the lower segment of the mother’s uterus) and a gestation length of 37 to 41 weeks. </w:t>
            </w:r>
            <w:r w:rsidR="002841C9" w:rsidRPr="0083330D">
              <w:rPr>
                <w:rStyle w:val="NoteLabel"/>
              </w:rPr>
              <w:t>f</w:t>
            </w:r>
            <w:r w:rsidR="002841C9" w:rsidRPr="0083330D">
              <w:t xml:space="preserve"> The age group of women used for this indicator has been changed from 25–29 years to 20–34 years in this Report edition to align with national data definitions. Therefore, data for this indicator are not comparable with data in previous report editions.</w:t>
            </w:r>
          </w:p>
        </w:tc>
      </w:tr>
      <w:tr w:rsidR="00C55DDB" w:rsidRPr="00176D3F" w:rsidTr="00081A22">
        <w:tc>
          <w:tcPr>
            <w:tcW w:w="8771" w:type="dxa"/>
            <w:tcBorders>
              <w:top w:val="nil"/>
              <w:left w:val="nil"/>
              <w:bottom w:val="nil"/>
              <w:right w:val="nil"/>
            </w:tcBorders>
            <w:shd w:val="clear" w:color="auto" w:fill="auto"/>
          </w:tcPr>
          <w:p w:rsidR="00C55DDB" w:rsidRPr="00176D3F" w:rsidRDefault="00C55DDB" w:rsidP="00F2723D">
            <w:pPr>
              <w:pStyle w:val="Source"/>
              <w:keepNext/>
            </w:pPr>
            <w:r>
              <w:rPr>
                <w:i/>
              </w:rPr>
              <w:t>S</w:t>
            </w:r>
            <w:r w:rsidRPr="00784A05">
              <w:rPr>
                <w:i/>
              </w:rPr>
              <w:t>ource</w:t>
            </w:r>
            <w:r w:rsidRPr="00176D3F">
              <w:t xml:space="preserve">: </w:t>
            </w:r>
            <w:r w:rsidRPr="00C55DDB">
              <w:t>State and Territory governments (unpublished); tables 11A.</w:t>
            </w:r>
            <w:r w:rsidR="00111DF5">
              <w:t>10</w:t>
            </w:r>
            <w:r w:rsidR="00F2723D">
              <w:t>3</w:t>
            </w:r>
            <w:r w:rsidRPr="00C55DDB">
              <w:t>–1</w:t>
            </w:r>
            <w:r w:rsidR="00111DF5">
              <w:t>1</w:t>
            </w:r>
            <w:r w:rsidR="00F2723D">
              <w:t>0</w:t>
            </w:r>
            <w:r w:rsidRPr="00C55DDB">
              <w:t>.</w:t>
            </w:r>
          </w:p>
        </w:tc>
      </w:tr>
      <w:tr w:rsidR="00C55DDB" w:rsidTr="00081A22">
        <w:tc>
          <w:tcPr>
            <w:tcW w:w="8771" w:type="dxa"/>
            <w:tcBorders>
              <w:top w:val="nil"/>
              <w:left w:val="nil"/>
              <w:bottom w:val="single" w:sz="6" w:space="0" w:color="78A22F"/>
              <w:right w:val="nil"/>
            </w:tcBorders>
            <w:shd w:val="clear" w:color="auto" w:fill="auto"/>
          </w:tcPr>
          <w:p w:rsidR="00C55DDB" w:rsidRDefault="00C55DDB" w:rsidP="00E72D71">
            <w:pPr>
              <w:pStyle w:val="Figurespace"/>
              <w:keepLines/>
            </w:pPr>
          </w:p>
        </w:tc>
      </w:tr>
      <w:tr w:rsidR="00C55DDB" w:rsidRPr="000863A5" w:rsidTr="00081A22">
        <w:tc>
          <w:tcPr>
            <w:tcW w:w="8771" w:type="dxa"/>
            <w:tcBorders>
              <w:top w:val="single" w:sz="6" w:space="0" w:color="78A22F"/>
              <w:left w:val="nil"/>
              <w:bottom w:val="nil"/>
              <w:right w:val="nil"/>
            </w:tcBorders>
          </w:tcPr>
          <w:p w:rsidR="00C55DDB" w:rsidRPr="00626D32" w:rsidRDefault="00C55DDB" w:rsidP="00E72D71">
            <w:pPr>
              <w:pStyle w:val="BoxSpaceBelow"/>
              <w:keepNext/>
              <w:keepLines/>
            </w:pPr>
          </w:p>
        </w:tc>
      </w:tr>
    </w:tbl>
    <w:p w:rsidR="000B58BF" w:rsidRDefault="000B58BF" w:rsidP="000B58BF">
      <w:pPr>
        <w:pStyle w:val="Heading4"/>
      </w:pPr>
      <w:r>
        <w:t>Instrumental vaginal births</w:t>
      </w:r>
    </w:p>
    <w:p w:rsidR="00C55DDB" w:rsidRDefault="000B58BF" w:rsidP="000B58BF">
      <w:pPr>
        <w:pStyle w:val="BodyText"/>
      </w:pPr>
      <w:r>
        <w:t>‘Instrumental vaginal births’ is an indicator of the appropriateness of maternity services (box 11.18).</w:t>
      </w:r>
    </w:p>
    <w:p w:rsidR="000B58BF" w:rsidRDefault="000B58B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8BF" w:rsidTr="00081A22">
        <w:tc>
          <w:tcPr>
            <w:tcW w:w="8771" w:type="dxa"/>
            <w:tcBorders>
              <w:top w:val="single" w:sz="6" w:space="0" w:color="78A22F"/>
              <w:left w:val="nil"/>
              <w:bottom w:val="nil"/>
              <w:right w:val="nil"/>
            </w:tcBorders>
            <w:shd w:val="clear" w:color="auto" w:fill="F2F2F2"/>
          </w:tcPr>
          <w:p w:rsidR="000B58BF" w:rsidRDefault="000B58BF">
            <w:pPr>
              <w:pStyle w:val="BoxTitle"/>
            </w:pPr>
            <w:r>
              <w:rPr>
                <w:b w:val="0"/>
              </w:rPr>
              <w:t>Box 11.</w:t>
            </w:r>
            <w:r w:rsidR="009A53E9">
              <w:rPr>
                <w:b w:val="0"/>
                <w:noProof/>
              </w:rPr>
              <w:t>18</w:t>
            </w:r>
            <w:r>
              <w:tab/>
            </w:r>
            <w:r w:rsidRPr="000B58BF">
              <w:t>Instrumental vaginal births</w:t>
            </w:r>
          </w:p>
        </w:tc>
      </w:tr>
      <w:tr w:rsidR="000B58BF" w:rsidTr="00081A22">
        <w:trPr>
          <w:cantSplit/>
        </w:trPr>
        <w:tc>
          <w:tcPr>
            <w:tcW w:w="8771" w:type="dxa"/>
            <w:tcBorders>
              <w:top w:val="nil"/>
              <w:left w:val="nil"/>
              <w:bottom w:val="nil"/>
              <w:right w:val="nil"/>
            </w:tcBorders>
            <w:shd w:val="clear" w:color="auto" w:fill="F2F2F2"/>
          </w:tcPr>
          <w:p w:rsidR="00E4012C" w:rsidRDefault="000B58BF" w:rsidP="000B58BF">
            <w:pPr>
              <w:pStyle w:val="Box"/>
            </w:pPr>
            <w:r>
              <w:t xml:space="preserve">‘Instrumental vaginal births’ is defined as the number of </w:t>
            </w:r>
            <w:r w:rsidR="001901C0" w:rsidRPr="0083330D">
              <w:t>selected primiparas</w:t>
            </w:r>
            <w:r w:rsidR="001411FA" w:rsidRPr="002E10C1">
              <w:rPr>
                <w:rStyle w:val="NoteLabel"/>
              </w:rPr>
              <w:t>a</w:t>
            </w:r>
            <w:r w:rsidR="001901C0" w:rsidRPr="0083330D">
              <w:t xml:space="preserve"> </w:t>
            </w:r>
            <w:r w:rsidR="00FF0510" w:rsidRPr="0083330D">
              <w:t>who had</w:t>
            </w:r>
            <w:r w:rsidR="006F0609" w:rsidRPr="0083330D">
              <w:t xml:space="preserve"> an</w:t>
            </w:r>
            <w:r w:rsidR="00FF0510">
              <w:t xml:space="preserve"> </w:t>
            </w:r>
            <w:r>
              <w:t xml:space="preserve">instrumental vaginal birth as a percentage of </w:t>
            </w:r>
            <w:r w:rsidR="00FF0510" w:rsidRPr="0083330D">
              <w:t>all selected primiparas that gave</w:t>
            </w:r>
            <w:r w:rsidRPr="0083330D">
              <w:t xml:space="preserve"> birth. </w:t>
            </w:r>
            <w:r>
              <w:t xml:space="preserve">Instrumental vaginal births includes </w:t>
            </w:r>
            <w:r w:rsidR="00E72D71">
              <w:t xml:space="preserve">the use of </w:t>
            </w:r>
            <w:r>
              <w:t xml:space="preserve">forceps and vacuum extraction. </w:t>
            </w:r>
          </w:p>
          <w:p w:rsidR="00E4012C" w:rsidRDefault="00E4012C" w:rsidP="000B58BF">
            <w:pPr>
              <w:pStyle w:val="Box"/>
            </w:pPr>
            <w:r>
              <w:t xml:space="preserve">The indicator is calculated </w:t>
            </w:r>
            <w:r w:rsidRPr="00E4012C">
              <w:t xml:space="preserve">for women aged between 20 and 34 years who have had no previous deliveries, </w:t>
            </w:r>
            <w:r w:rsidR="00D86C30" w:rsidRPr="0083330D">
              <w:t>with a singleton baby</w:t>
            </w:r>
            <w:r w:rsidR="00D86C30" w:rsidRPr="00D86C30">
              <w:t xml:space="preserve"> </w:t>
            </w:r>
            <w:r w:rsidRPr="00E4012C">
              <w:t>with a vertex presentation (that is, the crown of the baby’s head is at the lower segment of the mother’s uterus) and a gestation length of 37 to 41 weeks.</w:t>
            </w:r>
          </w:p>
          <w:p w:rsidR="000B58BF" w:rsidRDefault="000B58BF" w:rsidP="000B58BF">
            <w:pPr>
              <w:pStyle w:val="Box"/>
            </w:pPr>
            <w:r>
              <w:t xml:space="preserve">While low or decreasing instrumental vaginal births can be desirable, a high rate does not necessarily indicate inappropriate care. Reasons for instrumental vaginal births often include: </w:t>
            </w:r>
          </w:p>
          <w:p w:rsidR="000B58BF" w:rsidRDefault="000B58BF" w:rsidP="000B58BF">
            <w:pPr>
              <w:pStyle w:val="BoxListBullet"/>
            </w:pPr>
            <w:r>
              <w:t>the first baby/birth of the mother</w:t>
            </w:r>
          </w:p>
          <w:p w:rsidR="000B58BF" w:rsidRDefault="000B58BF" w:rsidP="000B58BF">
            <w:pPr>
              <w:pStyle w:val="BoxListBullet"/>
            </w:pPr>
            <w:r>
              <w:t>the baby was becoming distressed during birth</w:t>
            </w:r>
          </w:p>
          <w:p w:rsidR="000B58BF" w:rsidRDefault="000B58BF" w:rsidP="000B58BF">
            <w:pPr>
              <w:pStyle w:val="BoxListBullet"/>
            </w:pPr>
            <w:r>
              <w:t xml:space="preserve">the baby was not moving down through the birth canal </w:t>
            </w:r>
          </w:p>
          <w:p w:rsidR="000B58BF" w:rsidRDefault="000B58BF" w:rsidP="000B58BF">
            <w:pPr>
              <w:pStyle w:val="BoxListBullet"/>
            </w:pPr>
            <w:r>
              <w:t xml:space="preserve">there was a medical reason why the mother should or could not push. </w:t>
            </w:r>
          </w:p>
          <w:p w:rsidR="000B58BF" w:rsidRDefault="000B58BF" w:rsidP="000B58BF">
            <w:pPr>
              <w:pStyle w:val="Box"/>
            </w:pPr>
            <w:r>
              <w:t>In these cases</w:t>
            </w:r>
            <w:r w:rsidR="00E72D71">
              <w:t>,</w:t>
            </w:r>
            <w:r>
              <w:t xml:space="preserve"> the use of instruments is often necessary and appropriate and can often have a better outcome for mother and baby than a caesarean section. A low or decreasing rate of instrumental vaginal births could be undesirable in situations such as this if there is a corresponding increase in the rate of caesarean sections.</w:t>
            </w:r>
          </w:p>
          <w:p w:rsidR="000B58BF" w:rsidRDefault="000B58BF" w:rsidP="000B58BF">
            <w:pPr>
              <w:pStyle w:val="Box"/>
            </w:pPr>
            <w:r>
              <w:t>Data reported for this indicator are:</w:t>
            </w:r>
          </w:p>
          <w:p w:rsidR="000B58BF" w:rsidRDefault="000B58BF" w:rsidP="000B58BF">
            <w:pPr>
              <w:pStyle w:val="BoxListBullet"/>
            </w:pPr>
            <w:r>
              <w:t>comparable (subject to caveats) across jurisdictions and over time</w:t>
            </w:r>
          </w:p>
          <w:p w:rsidR="00965547" w:rsidRPr="00965547" w:rsidRDefault="00965547" w:rsidP="00965547">
            <w:pPr>
              <w:pStyle w:val="BoxListBullet"/>
            </w:pPr>
            <w:r w:rsidRPr="00965547">
              <w:t>complete (subject to caveats) for the current reporting period. All required 2012 data are available for all jurisdictions.</w:t>
            </w:r>
          </w:p>
          <w:p w:rsidR="00081A22" w:rsidRDefault="00886C7D" w:rsidP="00965547">
            <w:pPr>
              <w:pStyle w:val="Box"/>
            </w:pPr>
            <w:r w:rsidRPr="00886C7D">
              <w:t>Data quality</w:t>
            </w:r>
            <w:r>
              <w:t xml:space="preserve"> information for this indicator</w:t>
            </w:r>
            <w:r w:rsidRPr="00886C7D">
              <w:t xml:space="preserve"> is at </w:t>
            </w:r>
            <w:r w:rsidR="008C0550">
              <w:t>www.pc.gov.au</w:t>
            </w:r>
            <w:r w:rsidR="00FF0510" w:rsidRPr="00FF0510">
              <w:t>/rogs/2015</w:t>
            </w:r>
            <w:r w:rsidRPr="00886C7D">
              <w:t>.</w:t>
            </w:r>
          </w:p>
          <w:p w:rsidR="00FF0510" w:rsidRDefault="00FF0510" w:rsidP="001411FA">
            <w:pPr>
              <w:pStyle w:val="Box"/>
            </w:pPr>
            <w:r w:rsidRPr="00FF0510">
              <w:rPr>
                <w:rStyle w:val="NoteLabel"/>
              </w:rPr>
              <w:t>a</w:t>
            </w:r>
            <w:r w:rsidRPr="00FF0510">
              <w:t xml:space="preserve"> </w:t>
            </w:r>
            <w:r w:rsidRPr="0083330D">
              <w:t>Primipara</w:t>
            </w:r>
            <w:r w:rsidR="001411FA" w:rsidRPr="0083330D">
              <w:t>s</w:t>
            </w:r>
            <w:r w:rsidRPr="0083330D">
              <w:t xml:space="preserve"> refers to women who have given birth to a liveborn or stillborn infant for the first time.</w:t>
            </w:r>
          </w:p>
        </w:tc>
      </w:tr>
      <w:tr w:rsidR="000B58BF" w:rsidTr="00081A22">
        <w:trPr>
          <w:cantSplit/>
        </w:trPr>
        <w:tc>
          <w:tcPr>
            <w:tcW w:w="8771" w:type="dxa"/>
            <w:tcBorders>
              <w:top w:val="nil"/>
              <w:left w:val="nil"/>
              <w:bottom w:val="single" w:sz="6" w:space="0" w:color="78A22F"/>
              <w:right w:val="nil"/>
            </w:tcBorders>
            <w:shd w:val="clear" w:color="auto" w:fill="F2F2F2"/>
          </w:tcPr>
          <w:p w:rsidR="000B58BF" w:rsidRDefault="000B58BF">
            <w:pPr>
              <w:pStyle w:val="Box"/>
              <w:spacing w:before="0" w:line="120" w:lineRule="exact"/>
            </w:pPr>
          </w:p>
        </w:tc>
      </w:tr>
      <w:tr w:rsidR="000B58BF" w:rsidRPr="000863A5" w:rsidTr="00081A22">
        <w:tc>
          <w:tcPr>
            <w:tcW w:w="8771" w:type="dxa"/>
            <w:tcBorders>
              <w:top w:val="single" w:sz="6" w:space="0" w:color="78A22F"/>
              <w:left w:val="nil"/>
              <w:bottom w:val="nil"/>
              <w:right w:val="nil"/>
            </w:tcBorders>
          </w:tcPr>
          <w:p w:rsidR="000B58BF" w:rsidRPr="00626D32" w:rsidRDefault="000B58BF" w:rsidP="00081A22">
            <w:pPr>
              <w:pStyle w:val="BoxSpaceBelow"/>
            </w:pPr>
          </w:p>
        </w:tc>
      </w:tr>
    </w:tbl>
    <w:p w:rsidR="000B58BF" w:rsidRDefault="000B58BF" w:rsidP="0083330D">
      <w:pPr>
        <w:pStyle w:val="BodyText"/>
      </w:pPr>
      <w:r w:rsidRPr="000B58BF">
        <w:t>In 201</w:t>
      </w:r>
      <w:r w:rsidR="004D447D">
        <w:t>2</w:t>
      </w:r>
      <w:r w:rsidRPr="000B58BF">
        <w:t xml:space="preserve"> across Australia</w:t>
      </w:r>
      <w:r w:rsidRPr="0083330D">
        <w:t xml:space="preserve">, </w:t>
      </w:r>
      <w:r w:rsidR="00187B63" w:rsidRPr="0083330D">
        <w:t>48.0</w:t>
      </w:r>
      <w:r w:rsidR="004D447D">
        <w:t xml:space="preserve"> per cent</w:t>
      </w:r>
      <w:r w:rsidRPr="000B58BF">
        <w:t xml:space="preserve"> of women giving birth for the first time gave birth with</w:t>
      </w:r>
      <w:r w:rsidR="004D447D">
        <w:t>out</w:t>
      </w:r>
      <w:r w:rsidRPr="000B58BF">
        <w:t xml:space="preserve"> the assistance of instruments</w:t>
      </w:r>
      <w:r w:rsidR="00E72D71">
        <w:t xml:space="preserve">, while </w:t>
      </w:r>
      <w:r w:rsidR="00187B63" w:rsidRPr="0083330D">
        <w:t>24.9</w:t>
      </w:r>
      <w:r w:rsidRPr="000B58BF">
        <w:t xml:space="preserve"> per cent gave birth with the use of instruments and </w:t>
      </w:r>
      <w:r w:rsidR="001B09E9" w:rsidRPr="0083330D">
        <w:t>27.0</w:t>
      </w:r>
      <w:r w:rsidR="001B09E9">
        <w:t xml:space="preserve"> per cent</w:t>
      </w:r>
      <w:r w:rsidRPr="000B58BF">
        <w:t xml:space="preserve"> had a caesarean section. There was significant variation </w:t>
      </w:r>
      <w:r w:rsidR="00E72D71">
        <w:t>across</w:t>
      </w:r>
      <w:r w:rsidRPr="000B58BF">
        <w:t xml:space="preserve"> states and territories (figure 11.2</w:t>
      </w:r>
      <w:r w:rsidR="00F10933">
        <w:t>9</w:t>
      </w:r>
      <w:r w:rsidRPr="000B58BF">
        <w:t>).</w:t>
      </w:r>
    </w:p>
    <w:p w:rsidR="000B58BF" w:rsidRDefault="000B58BF" w:rsidP="00081A2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8BF" w:rsidTr="0083330D">
        <w:tc>
          <w:tcPr>
            <w:tcW w:w="8771" w:type="dxa"/>
            <w:tcBorders>
              <w:top w:val="single" w:sz="6" w:space="0" w:color="78A22F"/>
              <w:left w:val="nil"/>
              <w:bottom w:val="nil"/>
              <w:right w:val="nil"/>
            </w:tcBorders>
            <w:shd w:val="clear" w:color="auto" w:fill="auto"/>
          </w:tcPr>
          <w:p w:rsidR="000B58BF" w:rsidRPr="00176D3F" w:rsidRDefault="000B58BF" w:rsidP="00BF1A08">
            <w:pPr>
              <w:pStyle w:val="FigureTitle"/>
            </w:pPr>
            <w:r w:rsidRPr="00784A05">
              <w:rPr>
                <w:b w:val="0"/>
              </w:rPr>
              <w:t xml:space="preserve">Figure </w:t>
            </w:r>
            <w:r w:rsidR="00F10933">
              <w:rPr>
                <w:b w:val="0"/>
              </w:rPr>
              <w:t>11.</w:t>
            </w:r>
            <w:r w:rsidR="009A53E9">
              <w:rPr>
                <w:b w:val="0"/>
                <w:noProof/>
              </w:rPr>
              <w:t>29</w:t>
            </w:r>
            <w:r>
              <w:tab/>
            </w:r>
            <w:r w:rsidRPr="000B58BF">
              <w:t>Method of birth for selected women giving birth for the first time, 201</w:t>
            </w:r>
            <w:r w:rsidR="00BF1A08">
              <w:t>2</w:t>
            </w:r>
            <w:r w:rsidR="00FE3FE5">
              <w:rPr>
                <w:rStyle w:val="NoteLabel"/>
                <w:b/>
              </w:rPr>
              <w:t>a, b</w:t>
            </w:r>
          </w:p>
        </w:tc>
      </w:tr>
      <w:tr w:rsidR="000B58BF" w:rsidTr="0083330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B58BF" w:rsidTr="00081A22">
              <w:trPr>
                <w:jc w:val="center"/>
              </w:trPr>
              <w:tc>
                <w:tcPr>
                  <w:tcW w:w="5000" w:type="pct"/>
                  <w:tcBorders>
                    <w:top w:val="nil"/>
                    <w:bottom w:val="nil"/>
                  </w:tcBorders>
                </w:tcPr>
                <w:p w:rsidR="000B58BF" w:rsidRDefault="001F000D" w:rsidP="00081A22">
                  <w:pPr>
                    <w:pStyle w:val="Figure"/>
                    <w:spacing w:before="60" w:after="60"/>
                  </w:pPr>
                  <w:r>
                    <w:rPr>
                      <w:noProof/>
                    </w:rPr>
                    <w:drawing>
                      <wp:inline distT="0" distB="0" distL="0" distR="0">
                        <wp:extent cx="5391150" cy="2695575"/>
                        <wp:effectExtent l="0" t="0" r="0" b="9525"/>
                        <wp:docPr id="32" name="Picture 32" descr="Figure 11.29 Method of birth for selected women giving birth for the first time,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0B58BF" w:rsidRDefault="000B58BF" w:rsidP="00081A22">
            <w:pPr>
              <w:pStyle w:val="Figure"/>
            </w:pPr>
          </w:p>
        </w:tc>
      </w:tr>
      <w:tr w:rsidR="000B58BF" w:rsidRPr="00176D3F" w:rsidTr="00081A22">
        <w:tc>
          <w:tcPr>
            <w:tcW w:w="8771" w:type="dxa"/>
            <w:tcBorders>
              <w:top w:val="nil"/>
              <w:left w:val="nil"/>
              <w:bottom w:val="nil"/>
              <w:right w:val="nil"/>
            </w:tcBorders>
            <w:shd w:val="clear" w:color="auto" w:fill="auto"/>
          </w:tcPr>
          <w:p w:rsidR="000B58BF" w:rsidRPr="00176D3F" w:rsidRDefault="000B58BF" w:rsidP="00FE3FE5">
            <w:pPr>
              <w:pStyle w:val="Note"/>
            </w:pPr>
            <w:r>
              <w:rPr>
                <w:rStyle w:val="NoteLabel"/>
              </w:rPr>
              <w:t>a</w:t>
            </w:r>
            <w:r>
              <w:t xml:space="preserve"> </w:t>
            </w:r>
            <w:r w:rsidRPr="000B58BF">
              <w:t xml:space="preserve">Selection criteria: women aged 20 to 34 years, with a singleton baby positioned with head towards the cervix at the onset of labour born between 37 and 41 weeks gestation. </w:t>
            </w:r>
            <w:r w:rsidRPr="000B58BF">
              <w:rPr>
                <w:rStyle w:val="NoteLabel"/>
              </w:rPr>
              <w:t>b</w:t>
            </w:r>
            <w:r w:rsidR="00FE3FE5">
              <w:t xml:space="preserve"> Data for Victoria are preliminary</w:t>
            </w:r>
            <w:r w:rsidRPr="000B58BF">
              <w:t xml:space="preserve">. </w:t>
            </w:r>
          </w:p>
        </w:tc>
      </w:tr>
      <w:tr w:rsidR="000B58BF" w:rsidRPr="00176D3F" w:rsidTr="00081A22">
        <w:tc>
          <w:tcPr>
            <w:tcW w:w="8771" w:type="dxa"/>
            <w:tcBorders>
              <w:top w:val="nil"/>
              <w:left w:val="nil"/>
              <w:bottom w:val="nil"/>
              <w:right w:val="nil"/>
            </w:tcBorders>
            <w:shd w:val="clear" w:color="auto" w:fill="auto"/>
          </w:tcPr>
          <w:p w:rsidR="000B58BF" w:rsidRPr="00176D3F" w:rsidRDefault="000B58BF" w:rsidP="00F2723D">
            <w:pPr>
              <w:pStyle w:val="Source"/>
            </w:pPr>
            <w:r>
              <w:rPr>
                <w:i/>
              </w:rPr>
              <w:t>S</w:t>
            </w:r>
            <w:r w:rsidRPr="00784A05">
              <w:rPr>
                <w:i/>
              </w:rPr>
              <w:t>ource</w:t>
            </w:r>
            <w:r w:rsidRPr="00176D3F">
              <w:t xml:space="preserve">: </w:t>
            </w:r>
            <w:r w:rsidRPr="000B58BF">
              <w:t>AIHW (unpublished) National Perinatal Data Collection; table 11A.1</w:t>
            </w:r>
            <w:r w:rsidR="00111DF5">
              <w:t>1</w:t>
            </w:r>
            <w:r w:rsidR="00F2723D">
              <w:t>1</w:t>
            </w:r>
            <w:r w:rsidRPr="000B58BF">
              <w:t>.</w:t>
            </w:r>
          </w:p>
        </w:tc>
      </w:tr>
      <w:tr w:rsidR="000B58BF" w:rsidTr="00081A22">
        <w:tc>
          <w:tcPr>
            <w:tcW w:w="8771" w:type="dxa"/>
            <w:tcBorders>
              <w:top w:val="nil"/>
              <w:left w:val="nil"/>
              <w:bottom w:val="single" w:sz="6" w:space="0" w:color="78A22F"/>
              <w:right w:val="nil"/>
            </w:tcBorders>
            <w:shd w:val="clear" w:color="auto" w:fill="auto"/>
          </w:tcPr>
          <w:p w:rsidR="000B58BF" w:rsidRDefault="000B58BF" w:rsidP="00081A22">
            <w:pPr>
              <w:pStyle w:val="Figurespace"/>
            </w:pPr>
          </w:p>
        </w:tc>
      </w:tr>
      <w:tr w:rsidR="000B58BF" w:rsidRPr="000863A5" w:rsidTr="00081A22">
        <w:tc>
          <w:tcPr>
            <w:tcW w:w="8771" w:type="dxa"/>
            <w:tcBorders>
              <w:top w:val="single" w:sz="6" w:space="0" w:color="78A22F"/>
              <w:left w:val="nil"/>
              <w:bottom w:val="nil"/>
              <w:right w:val="nil"/>
            </w:tcBorders>
          </w:tcPr>
          <w:p w:rsidR="000B58BF" w:rsidRPr="00626D32" w:rsidRDefault="000B58BF" w:rsidP="00081A22">
            <w:pPr>
              <w:pStyle w:val="BoxSpaceBelow"/>
            </w:pPr>
          </w:p>
        </w:tc>
      </w:tr>
    </w:tbl>
    <w:p w:rsidR="000B58BF" w:rsidRDefault="00746E4F" w:rsidP="000B58BF">
      <w:pPr>
        <w:pStyle w:val="Heading4"/>
      </w:pPr>
      <w:r w:rsidRPr="00746E4F">
        <w:t>Vaginal birth after caesarean section</w:t>
      </w:r>
    </w:p>
    <w:p w:rsidR="000B58BF" w:rsidRDefault="000B58BF" w:rsidP="000B58BF">
      <w:pPr>
        <w:pStyle w:val="BodyText"/>
      </w:pPr>
      <w:r w:rsidRPr="009B1642">
        <w:t>‘</w:t>
      </w:r>
      <w:r w:rsidR="00746E4F" w:rsidRPr="009B1642">
        <w:t>Vaginal birth after caesarean section</w:t>
      </w:r>
      <w:r w:rsidRPr="009B1642">
        <w:t>’ is an indicator of the appropriateness of maternity services (box 11.19).</w:t>
      </w:r>
      <w:r w:rsidR="000A736D" w:rsidRPr="009B1642">
        <w:t xml:space="preserve"> </w:t>
      </w:r>
      <w:r w:rsidR="000A736D">
        <w:t xml:space="preserve">This indicator was named ‘vaginal delivery following previous </w:t>
      </w:r>
      <w:r w:rsidR="000A736D" w:rsidRPr="000A736D">
        <w:t>caesarean</w:t>
      </w:r>
      <w:r w:rsidR="00980FDB">
        <w:t>’ in previous report editions</w:t>
      </w:r>
      <w:r w:rsidR="000A736D">
        <w:t>.</w:t>
      </w:r>
    </w:p>
    <w:p w:rsidR="00D22CE9" w:rsidRDefault="00D22CE9" w:rsidP="00D22CE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22CE9" w:rsidTr="004E023B">
        <w:tc>
          <w:tcPr>
            <w:tcW w:w="8771" w:type="dxa"/>
            <w:tcBorders>
              <w:top w:val="single" w:sz="6" w:space="0" w:color="78A22F"/>
              <w:left w:val="nil"/>
              <w:bottom w:val="nil"/>
              <w:right w:val="nil"/>
            </w:tcBorders>
            <w:shd w:val="clear" w:color="auto" w:fill="F2F2F2"/>
          </w:tcPr>
          <w:p w:rsidR="00D22CE9" w:rsidRDefault="00D22CE9" w:rsidP="004E023B">
            <w:pPr>
              <w:pStyle w:val="BoxTitle"/>
            </w:pPr>
            <w:r>
              <w:rPr>
                <w:b w:val="0"/>
              </w:rPr>
              <w:t>Box 11.</w:t>
            </w:r>
            <w:r>
              <w:rPr>
                <w:b w:val="0"/>
                <w:noProof/>
              </w:rPr>
              <w:t>19</w:t>
            </w:r>
            <w:r>
              <w:tab/>
            </w:r>
            <w:r w:rsidRPr="00081A22">
              <w:t xml:space="preserve">Vaginal </w:t>
            </w:r>
            <w:r>
              <w:t>birth after</w:t>
            </w:r>
            <w:r w:rsidRPr="00081A22">
              <w:t xml:space="preserve"> caesarean</w:t>
            </w:r>
            <w:r>
              <w:t xml:space="preserve"> section</w:t>
            </w:r>
          </w:p>
        </w:tc>
      </w:tr>
      <w:tr w:rsidR="00D22CE9" w:rsidTr="004E023B">
        <w:trPr>
          <w:cantSplit/>
        </w:trPr>
        <w:tc>
          <w:tcPr>
            <w:tcW w:w="8771" w:type="dxa"/>
            <w:tcBorders>
              <w:top w:val="nil"/>
              <w:left w:val="nil"/>
              <w:bottom w:val="nil"/>
              <w:right w:val="nil"/>
            </w:tcBorders>
            <w:shd w:val="clear" w:color="auto" w:fill="F2F2F2"/>
          </w:tcPr>
          <w:p w:rsidR="00D22CE9" w:rsidRDefault="00D22CE9" w:rsidP="004E023B">
            <w:pPr>
              <w:pStyle w:val="Box"/>
            </w:pPr>
            <w:r>
              <w:t>‘</w:t>
            </w:r>
            <w:r w:rsidRPr="00746E4F">
              <w:t>Vaginal birth after caesarean section</w:t>
            </w:r>
            <w:r>
              <w:t>’ is defined as the percentage of multiparous</w:t>
            </w:r>
            <w:r w:rsidRPr="00D22CE9">
              <w:rPr>
                <w:rStyle w:val="NoteLabel"/>
              </w:rPr>
              <w:t>a</w:t>
            </w:r>
            <w:r>
              <w:t xml:space="preserve"> mothers who have had a previous caesarean, whose current method of birth was either an instrumental or non-instrumental vaginal </w:t>
            </w:r>
            <w:r w:rsidRPr="009B1642">
              <w:t>birth.</w:t>
            </w:r>
          </w:p>
          <w:p w:rsidR="00D22CE9" w:rsidRDefault="00D22CE9" w:rsidP="00D22CE9">
            <w:pPr>
              <w:pStyle w:val="Box"/>
            </w:pPr>
            <w:r w:rsidRPr="009B1642">
              <w:t>Interpretation of this indicator is ambiguous. There is ongoing debate about the relative risks of a repeat caesarean section or vaginal birth following a caesarean section. The decision should always be based on clinical assessment. Low rates of vaginal birth following a caesarean may warrant investigation, or on the other hand, they can indicate appropriate clinical caution. When interpreting this indicator, emphasis needs to be given to the potential for improvement.</w:t>
            </w:r>
            <w:r>
              <w:t xml:space="preserve"> </w:t>
            </w:r>
          </w:p>
          <w:p w:rsidR="00D22CE9" w:rsidRDefault="00D22CE9" w:rsidP="00D22CE9">
            <w:pPr>
              <w:pStyle w:val="Box"/>
            </w:pPr>
            <w:r>
              <w:t>Data reported for this indicator are:</w:t>
            </w:r>
          </w:p>
          <w:p w:rsidR="00D22CE9" w:rsidRDefault="00D22CE9" w:rsidP="00D22CE9">
            <w:pPr>
              <w:pStyle w:val="BoxListBullet"/>
            </w:pPr>
            <w:r>
              <w:t>comparable (subject to caveats) across jurisdictions and over time</w:t>
            </w:r>
          </w:p>
          <w:p w:rsidR="00D22CE9" w:rsidRDefault="00D22CE9" w:rsidP="00D22CE9">
            <w:pPr>
              <w:pStyle w:val="Continued"/>
            </w:pPr>
            <w:r>
              <w:t>(Continued on next page)</w:t>
            </w:r>
          </w:p>
        </w:tc>
      </w:tr>
      <w:tr w:rsidR="00D22CE9" w:rsidTr="004E023B">
        <w:trPr>
          <w:cantSplit/>
        </w:trPr>
        <w:tc>
          <w:tcPr>
            <w:tcW w:w="8771" w:type="dxa"/>
            <w:tcBorders>
              <w:top w:val="nil"/>
              <w:left w:val="nil"/>
              <w:bottom w:val="single" w:sz="6" w:space="0" w:color="78A22F"/>
              <w:right w:val="nil"/>
            </w:tcBorders>
            <w:shd w:val="clear" w:color="auto" w:fill="F2F2F2"/>
          </w:tcPr>
          <w:p w:rsidR="00D22CE9" w:rsidRDefault="00D22CE9" w:rsidP="004E023B">
            <w:pPr>
              <w:pStyle w:val="Box"/>
              <w:spacing w:before="0" w:line="120" w:lineRule="exact"/>
            </w:pPr>
          </w:p>
        </w:tc>
      </w:tr>
      <w:tr w:rsidR="00D22CE9" w:rsidRPr="000863A5" w:rsidTr="004E023B">
        <w:tc>
          <w:tcPr>
            <w:tcW w:w="8771" w:type="dxa"/>
            <w:tcBorders>
              <w:top w:val="single" w:sz="6" w:space="0" w:color="78A22F"/>
              <w:left w:val="nil"/>
              <w:bottom w:val="nil"/>
              <w:right w:val="nil"/>
            </w:tcBorders>
          </w:tcPr>
          <w:p w:rsidR="00D22CE9" w:rsidRPr="00626D32" w:rsidRDefault="00D22CE9" w:rsidP="004E023B">
            <w:pPr>
              <w:pStyle w:val="BoxSpaceBelow"/>
            </w:pPr>
          </w:p>
        </w:tc>
      </w:tr>
    </w:tbl>
    <w:p w:rsidR="000B58BF" w:rsidRDefault="000B58B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8BF" w:rsidTr="00081A22">
        <w:tc>
          <w:tcPr>
            <w:tcW w:w="8771" w:type="dxa"/>
            <w:tcBorders>
              <w:top w:val="single" w:sz="6" w:space="0" w:color="78A22F"/>
              <w:left w:val="nil"/>
              <w:bottom w:val="nil"/>
              <w:right w:val="nil"/>
            </w:tcBorders>
            <w:shd w:val="clear" w:color="auto" w:fill="F2F2F2"/>
          </w:tcPr>
          <w:p w:rsidR="000B58BF" w:rsidRDefault="000B58BF" w:rsidP="00D22CE9">
            <w:pPr>
              <w:pStyle w:val="BoxTitle"/>
            </w:pPr>
            <w:r>
              <w:rPr>
                <w:b w:val="0"/>
              </w:rPr>
              <w:t>Box 11.</w:t>
            </w:r>
            <w:r w:rsidR="00D22CE9">
              <w:rPr>
                <w:b w:val="0"/>
              </w:rPr>
              <w:t>19</w:t>
            </w:r>
            <w:r>
              <w:tab/>
            </w:r>
            <w:r w:rsidR="00D22CE9" w:rsidRPr="00D22CE9">
              <w:rPr>
                <w:sz w:val="18"/>
                <w:szCs w:val="18"/>
              </w:rPr>
              <w:t>(continued)</w:t>
            </w:r>
          </w:p>
        </w:tc>
      </w:tr>
      <w:tr w:rsidR="000B58BF" w:rsidTr="00081A22">
        <w:trPr>
          <w:cantSplit/>
        </w:trPr>
        <w:tc>
          <w:tcPr>
            <w:tcW w:w="8771" w:type="dxa"/>
            <w:tcBorders>
              <w:top w:val="nil"/>
              <w:left w:val="nil"/>
              <w:bottom w:val="nil"/>
              <w:right w:val="nil"/>
            </w:tcBorders>
            <w:shd w:val="clear" w:color="auto" w:fill="F2F2F2"/>
          </w:tcPr>
          <w:p w:rsidR="00081A22" w:rsidRDefault="00081A22" w:rsidP="00081A22">
            <w:pPr>
              <w:pStyle w:val="BoxListBullet"/>
            </w:pPr>
            <w:r>
              <w:t>complete (subject to caveats) for the current reporting period. All required 201</w:t>
            </w:r>
            <w:r w:rsidR="00C21C9F">
              <w:t>2</w:t>
            </w:r>
            <w:r>
              <w:t xml:space="preserve"> data are available for all jurisdictions.</w:t>
            </w:r>
          </w:p>
          <w:p w:rsidR="00081A22" w:rsidRDefault="00886C7D" w:rsidP="00081A22">
            <w:pPr>
              <w:pStyle w:val="Box"/>
            </w:pPr>
            <w:r w:rsidRPr="00886C7D">
              <w:t>Data quality</w:t>
            </w:r>
            <w:r>
              <w:t xml:space="preserve"> information for this indicator</w:t>
            </w:r>
            <w:r w:rsidR="008C0550">
              <w:t xml:space="preserve"> is at www.pc.gov.au</w:t>
            </w:r>
            <w:r w:rsidRPr="00886C7D">
              <w:t>/rogs/2015.</w:t>
            </w:r>
          </w:p>
          <w:p w:rsidR="00081A22" w:rsidRDefault="00081A22" w:rsidP="00081A22">
            <w:pPr>
              <w:pStyle w:val="Note"/>
            </w:pPr>
            <w:r w:rsidRPr="00081A22">
              <w:rPr>
                <w:rStyle w:val="NoteLabel"/>
              </w:rPr>
              <w:t>a</w:t>
            </w:r>
            <w:r w:rsidRPr="00081A22">
              <w:t xml:space="preserve"> Multiparous means </w:t>
            </w:r>
            <w:r w:rsidR="00FE3FE5">
              <w:t xml:space="preserve">a </w:t>
            </w:r>
            <w:r w:rsidRPr="00081A22">
              <w:t>woman who has given birth from at least two pregnancies that each resulted in a live birth or stillbirth.</w:t>
            </w:r>
          </w:p>
        </w:tc>
      </w:tr>
      <w:tr w:rsidR="000B58BF" w:rsidTr="00081A22">
        <w:trPr>
          <w:cantSplit/>
        </w:trPr>
        <w:tc>
          <w:tcPr>
            <w:tcW w:w="8771" w:type="dxa"/>
            <w:tcBorders>
              <w:top w:val="nil"/>
              <w:left w:val="nil"/>
              <w:bottom w:val="single" w:sz="6" w:space="0" w:color="78A22F"/>
              <w:right w:val="nil"/>
            </w:tcBorders>
            <w:shd w:val="clear" w:color="auto" w:fill="F2F2F2"/>
          </w:tcPr>
          <w:p w:rsidR="000B58BF" w:rsidRDefault="000B58BF">
            <w:pPr>
              <w:pStyle w:val="Box"/>
              <w:spacing w:before="0" w:line="120" w:lineRule="exact"/>
            </w:pPr>
          </w:p>
        </w:tc>
      </w:tr>
      <w:tr w:rsidR="000B58BF" w:rsidRPr="000863A5" w:rsidTr="00081A22">
        <w:tc>
          <w:tcPr>
            <w:tcW w:w="8771" w:type="dxa"/>
            <w:tcBorders>
              <w:top w:val="single" w:sz="6" w:space="0" w:color="78A22F"/>
              <w:left w:val="nil"/>
              <w:bottom w:val="nil"/>
              <w:right w:val="nil"/>
            </w:tcBorders>
          </w:tcPr>
          <w:p w:rsidR="000B58BF" w:rsidRPr="00626D32" w:rsidRDefault="000B58BF" w:rsidP="00081A22">
            <w:pPr>
              <w:pStyle w:val="BoxSpaceBelow"/>
            </w:pPr>
          </w:p>
        </w:tc>
      </w:tr>
    </w:tbl>
    <w:p w:rsidR="000B58BF" w:rsidRDefault="00081A22" w:rsidP="000B58BF">
      <w:pPr>
        <w:pStyle w:val="BodyText"/>
      </w:pPr>
      <w:r w:rsidRPr="00081A22">
        <w:t>Nationally in 201</w:t>
      </w:r>
      <w:r w:rsidR="00B245FF">
        <w:t>2</w:t>
      </w:r>
      <w:r w:rsidRPr="00081A22">
        <w:t>, 15.</w:t>
      </w:r>
      <w:r w:rsidR="00B245FF">
        <w:t>6</w:t>
      </w:r>
      <w:r w:rsidRPr="00081A22">
        <w:t xml:space="preserve"> per cent </w:t>
      </w:r>
      <w:r w:rsidR="001D061E">
        <w:t xml:space="preserve">of women </w:t>
      </w:r>
      <w:r w:rsidRPr="00081A22">
        <w:t>had either an instrumental or non</w:t>
      </w:r>
      <w:r w:rsidR="00B81EBB">
        <w:t>-</w:t>
      </w:r>
      <w:r w:rsidRPr="00081A22">
        <w:t xml:space="preserve">instrumental vaginal delivery </w:t>
      </w:r>
      <w:r w:rsidR="001D061E">
        <w:t xml:space="preserve">after a </w:t>
      </w:r>
      <w:r w:rsidR="001D061E" w:rsidRPr="001D061E">
        <w:t>caesarean section</w:t>
      </w:r>
      <w:r w:rsidRPr="00081A22">
        <w:t>, while 84.</w:t>
      </w:r>
      <w:r w:rsidR="00B245FF">
        <w:t>4</w:t>
      </w:r>
      <w:r w:rsidRPr="00081A22">
        <w:t xml:space="preserve"> per cent had another caesarean section (figure 11.</w:t>
      </w:r>
      <w:r w:rsidR="00F10933">
        <w:t>30</w:t>
      </w:r>
      <w:r w:rsidRPr="00081A22">
        <w:t xml:space="preserve"> and table 11A.1</w:t>
      </w:r>
      <w:r w:rsidR="00111DF5">
        <w:t>1</w:t>
      </w:r>
      <w:r w:rsidR="00F2723D">
        <w:t>2</w:t>
      </w:r>
      <w:r w:rsidRPr="00081A22">
        <w:t>).</w:t>
      </w:r>
    </w:p>
    <w:p w:rsidR="00081A22" w:rsidRDefault="00081A22" w:rsidP="00980FDB">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81A22" w:rsidTr="00081A22">
        <w:tc>
          <w:tcPr>
            <w:tcW w:w="8771" w:type="dxa"/>
            <w:tcBorders>
              <w:top w:val="single" w:sz="6" w:space="0" w:color="78A22F"/>
              <w:left w:val="nil"/>
              <w:bottom w:val="nil"/>
              <w:right w:val="nil"/>
            </w:tcBorders>
            <w:shd w:val="clear" w:color="auto" w:fill="auto"/>
          </w:tcPr>
          <w:p w:rsidR="00081A22" w:rsidRPr="00176D3F" w:rsidRDefault="00081A22" w:rsidP="00980FDB">
            <w:pPr>
              <w:pStyle w:val="FigureTitle"/>
            </w:pPr>
            <w:r w:rsidRPr="00784A05">
              <w:rPr>
                <w:b w:val="0"/>
              </w:rPr>
              <w:t xml:space="preserve">Figure </w:t>
            </w:r>
            <w:r w:rsidR="00F10933">
              <w:rPr>
                <w:b w:val="0"/>
              </w:rPr>
              <w:t>11.</w:t>
            </w:r>
            <w:r w:rsidR="009A53E9">
              <w:rPr>
                <w:b w:val="0"/>
                <w:noProof/>
              </w:rPr>
              <w:t>30</w:t>
            </w:r>
            <w:r>
              <w:tab/>
            </w:r>
            <w:r w:rsidRPr="00081A22">
              <w:t xml:space="preserve">Women who had a vaginal birth after </w:t>
            </w:r>
            <w:r w:rsidR="001D061E">
              <w:t>a</w:t>
            </w:r>
            <w:r w:rsidRPr="00081A22">
              <w:t xml:space="preserve"> caesarean </w:t>
            </w:r>
            <w:r w:rsidR="00E847EB">
              <w:br/>
            </w:r>
            <w:r w:rsidRPr="00081A22">
              <w:t>section</w:t>
            </w:r>
            <w:r w:rsidRPr="00AA1A38">
              <w:rPr>
                <w:rStyle w:val="NoteLabel"/>
                <w:b/>
              </w:rPr>
              <w:t>a, b, c, d, e</w:t>
            </w:r>
          </w:p>
        </w:tc>
      </w:tr>
      <w:tr w:rsidR="00081A22" w:rsidTr="00081A22">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81A22" w:rsidTr="00081A22">
              <w:trPr>
                <w:jc w:val="center"/>
              </w:trPr>
              <w:tc>
                <w:tcPr>
                  <w:tcW w:w="5000" w:type="pct"/>
                  <w:tcBorders>
                    <w:top w:val="nil"/>
                    <w:bottom w:val="nil"/>
                  </w:tcBorders>
                </w:tcPr>
                <w:p w:rsidR="00081A22" w:rsidRDefault="001F000D" w:rsidP="00980FDB">
                  <w:pPr>
                    <w:pStyle w:val="Figure"/>
                    <w:keepLines/>
                    <w:spacing w:before="60" w:after="60"/>
                  </w:pPr>
                  <w:r>
                    <w:rPr>
                      <w:noProof/>
                    </w:rPr>
                    <w:drawing>
                      <wp:inline distT="0" distB="0" distL="0" distR="0">
                        <wp:extent cx="5391150" cy="2886075"/>
                        <wp:effectExtent l="0" t="0" r="0" b="9525"/>
                        <wp:docPr id="33" name="Picture 33" descr="Figure 11.30 Women who had a vaginal birth after a caesarean &#10;sectio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91150" cy="2886075"/>
                                </a:xfrm>
                                <a:prstGeom prst="rect">
                                  <a:avLst/>
                                </a:prstGeom>
                                <a:noFill/>
                                <a:ln>
                                  <a:noFill/>
                                </a:ln>
                              </pic:spPr>
                            </pic:pic>
                          </a:graphicData>
                        </a:graphic>
                      </wp:inline>
                    </w:drawing>
                  </w:r>
                </w:p>
              </w:tc>
            </w:tr>
          </w:tbl>
          <w:p w:rsidR="00081A22" w:rsidRDefault="00081A22" w:rsidP="00980FDB">
            <w:pPr>
              <w:pStyle w:val="Figure"/>
              <w:keepLines/>
            </w:pPr>
          </w:p>
        </w:tc>
      </w:tr>
      <w:tr w:rsidR="00081A22" w:rsidRPr="00176D3F" w:rsidTr="00081A22">
        <w:tc>
          <w:tcPr>
            <w:tcW w:w="8771" w:type="dxa"/>
            <w:tcBorders>
              <w:top w:val="nil"/>
              <w:left w:val="nil"/>
              <w:bottom w:val="nil"/>
              <w:right w:val="nil"/>
            </w:tcBorders>
            <w:shd w:val="clear" w:color="auto" w:fill="auto"/>
          </w:tcPr>
          <w:p w:rsidR="00081A22" w:rsidRPr="00176D3F" w:rsidRDefault="00081A22" w:rsidP="009551A6">
            <w:pPr>
              <w:pStyle w:val="Note"/>
              <w:keepNext/>
            </w:pPr>
            <w:r>
              <w:rPr>
                <w:rStyle w:val="NoteLabel"/>
              </w:rPr>
              <w:t>a</w:t>
            </w:r>
            <w:r>
              <w:t xml:space="preserve"> </w:t>
            </w:r>
            <w:r w:rsidR="00AA1A38" w:rsidRPr="00AA1A38">
              <w:t xml:space="preserve">Vaginal birth comprises both instrumental and non-instrumental vaginal births. </w:t>
            </w:r>
            <w:r w:rsidR="00AA1A38" w:rsidRPr="00AA1A38">
              <w:rPr>
                <w:rStyle w:val="NoteLabel"/>
              </w:rPr>
              <w:t>b</w:t>
            </w:r>
            <w:r w:rsidR="00AA1A38">
              <w:t xml:space="preserve"> </w:t>
            </w:r>
            <w:r w:rsidR="00AA1A38" w:rsidRPr="00AA1A38">
              <w:t xml:space="preserve">For multiple births, the method of birth of the first born baby was used. </w:t>
            </w:r>
            <w:r w:rsidR="00AA1A38" w:rsidRPr="00AA1A38">
              <w:rPr>
                <w:rStyle w:val="NoteLabel"/>
              </w:rPr>
              <w:t>c</w:t>
            </w:r>
            <w:r w:rsidR="00AA1A38" w:rsidRPr="00AA1A38">
              <w:t xml:space="preserve"> For NSW, Victoria, WA and the NT</w:t>
            </w:r>
            <w:r w:rsidR="00FE3FE5">
              <w:t>,</w:t>
            </w:r>
            <w:r w:rsidR="00AA1A38" w:rsidRPr="00AA1A38">
              <w:t xml:space="preserve"> non-instrumental vaginal birth includes all women who had a vaginal breech birth, whether or not instruments were used. For the remaining jurisdictions, vaginal breech births are only included where instruments were not used. </w:t>
            </w:r>
            <w:r w:rsidR="00AA1A38" w:rsidRPr="00AA1A38">
              <w:rPr>
                <w:rStyle w:val="NoteLabel"/>
              </w:rPr>
              <w:t>d</w:t>
            </w:r>
            <w:r w:rsidR="002333C8">
              <w:rPr>
                <w:rStyle w:val="NoteLabel"/>
              </w:rPr>
              <w:t> </w:t>
            </w:r>
            <w:r w:rsidR="00AA1A38" w:rsidRPr="00AA1A38">
              <w:t xml:space="preserve">Instrumental vaginal birth includes forceps and vacuum extraction. </w:t>
            </w:r>
            <w:r w:rsidR="00AA1A38" w:rsidRPr="00AA1A38">
              <w:rPr>
                <w:rStyle w:val="NoteLabel"/>
              </w:rPr>
              <w:t>e</w:t>
            </w:r>
            <w:r w:rsidR="00AA1A38" w:rsidRPr="00AA1A38">
              <w:t xml:space="preserve"> </w:t>
            </w:r>
            <w:r w:rsidR="004B2356" w:rsidRPr="009B1642">
              <w:t>Between 12 and 15 per cent of births each year in the ACT are to non-residents of the ACT.</w:t>
            </w:r>
          </w:p>
        </w:tc>
      </w:tr>
      <w:tr w:rsidR="00081A22" w:rsidRPr="00176D3F" w:rsidTr="00081A22">
        <w:tc>
          <w:tcPr>
            <w:tcW w:w="8771" w:type="dxa"/>
            <w:tcBorders>
              <w:top w:val="nil"/>
              <w:left w:val="nil"/>
              <w:bottom w:val="nil"/>
              <w:right w:val="nil"/>
            </w:tcBorders>
            <w:shd w:val="clear" w:color="auto" w:fill="auto"/>
          </w:tcPr>
          <w:p w:rsidR="00081A22" w:rsidRPr="00176D3F" w:rsidRDefault="00081A22" w:rsidP="00F2723D">
            <w:pPr>
              <w:pStyle w:val="Source"/>
              <w:keepNext/>
            </w:pPr>
            <w:r>
              <w:rPr>
                <w:i/>
              </w:rPr>
              <w:t>S</w:t>
            </w:r>
            <w:r w:rsidRPr="00784A05">
              <w:rPr>
                <w:i/>
              </w:rPr>
              <w:t>ource</w:t>
            </w:r>
            <w:r w:rsidRPr="00176D3F">
              <w:t xml:space="preserve">: </w:t>
            </w:r>
            <w:r w:rsidRPr="00081A22">
              <w:t>Li, Z., McNally, L., Hilder, L. and Sullivan, EA. (various years), Australia’s mothers and babies, Perinatal statistics series Cat nos. PER 50, 52 and 56; table 11A.1</w:t>
            </w:r>
            <w:r w:rsidR="00111DF5">
              <w:t>1</w:t>
            </w:r>
            <w:r w:rsidR="00F2723D">
              <w:t>2</w:t>
            </w:r>
            <w:r w:rsidRPr="00081A22">
              <w:t>.</w:t>
            </w:r>
          </w:p>
        </w:tc>
      </w:tr>
      <w:tr w:rsidR="00081A22" w:rsidTr="00081A22">
        <w:tc>
          <w:tcPr>
            <w:tcW w:w="8771" w:type="dxa"/>
            <w:tcBorders>
              <w:top w:val="nil"/>
              <w:left w:val="nil"/>
              <w:bottom w:val="single" w:sz="6" w:space="0" w:color="78A22F"/>
              <w:right w:val="nil"/>
            </w:tcBorders>
            <w:shd w:val="clear" w:color="auto" w:fill="auto"/>
          </w:tcPr>
          <w:p w:rsidR="00081A22" w:rsidRDefault="00081A22" w:rsidP="00980FDB">
            <w:pPr>
              <w:pStyle w:val="Figurespace"/>
              <w:keepLines/>
            </w:pPr>
          </w:p>
        </w:tc>
      </w:tr>
      <w:tr w:rsidR="00081A22" w:rsidRPr="000863A5" w:rsidTr="00081A22">
        <w:tc>
          <w:tcPr>
            <w:tcW w:w="8771" w:type="dxa"/>
            <w:tcBorders>
              <w:top w:val="single" w:sz="6" w:space="0" w:color="78A22F"/>
              <w:left w:val="nil"/>
              <w:bottom w:val="nil"/>
              <w:right w:val="nil"/>
            </w:tcBorders>
          </w:tcPr>
          <w:p w:rsidR="00081A22" w:rsidRPr="00626D32" w:rsidRDefault="00081A22" w:rsidP="00980FDB">
            <w:pPr>
              <w:pStyle w:val="BoxSpaceBelow"/>
              <w:keepNext/>
              <w:keepLines/>
            </w:pPr>
          </w:p>
        </w:tc>
      </w:tr>
    </w:tbl>
    <w:p w:rsidR="00AA1A38" w:rsidRDefault="00AA1A38" w:rsidP="00AA1A38">
      <w:pPr>
        <w:pStyle w:val="Heading3"/>
      </w:pPr>
      <w:r>
        <w:t>Effectiveness — quality</w:t>
      </w:r>
    </w:p>
    <w:p w:rsidR="00AA1A38" w:rsidRDefault="00AA1A38" w:rsidP="00AA1A38">
      <w:pPr>
        <w:pStyle w:val="BodyText"/>
      </w:pPr>
      <w:r>
        <w:t xml:space="preserve">The performance indicator framework for maternity services identifies three subdimensions of quality for health services: safety; responsiveness and continuity. For </w:t>
      </w:r>
      <w:r>
        <w:lastRenderedPageBreak/>
        <w:t>maternity services in this Report, data are reported against the subdimension of safety only. Other subdimensions of quality have been identified by the Steering Committee for future development.</w:t>
      </w:r>
    </w:p>
    <w:p w:rsidR="00AA1A38" w:rsidRDefault="00AA1A38" w:rsidP="00AA1A38">
      <w:pPr>
        <w:pStyle w:val="Heading4"/>
      </w:pPr>
      <w:r>
        <w:t xml:space="preserve">Safety — perineal status after vaginal birth </w:t>
      </w:r>
    </w:p>
    <w:p w:rsidR="00081A22" w:rsidRDefault="00AA1A38" w:rsidP="00AA1A38">
      <w:pPr>
        <w:pStyle w:val="BodyText"/>
      </w:pPr>
      <w:r>
        <w:t>‘Perineal status after vaginal birth’ is an indicator of governments’ objective to provide safe and high quality services (box 11.20). Perineal lacerations caused by childbirth are painful, take time to heal and can result in ongoing discomfort and debilitating conditions such as faecal incontinence.</w:t>
      </w:r>
    </w:p>
    <w:p w:rsidR="00AA1A38" w:rsidRDefault="00AA1A3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A1A38" w:rsidTr="00AE264A">
        <w:tc>
          <w:tcPr>
            <w:tcW w:w="8771" w:type="dxa"/>
            <w:tcBorders>
              <w:top w:val="single" w:sz="6" w:space="0" w:color="78A22F"/>
              <w:left w:val="nil"/>
              <w:bottom w:val="nil"/>
              <w:right w:val="nil"/>
            </w:tcBorders>
            <w:shd w:val="clear" w:color="auto" w:fill="F2F2F2"/>
          </w:tcPr>
          <w:p w:rsidR="00AA1A38" w:rsidRDefault="00AA1A38">
            <w:pPr>
              <w:pStyle w:val="BoxTitle"/>
            </w:pPr>
            <w:r>
              <w:rPr>
                <w:b w:val="0"/>
              </w:rPr>
              <w:t>Box 11.</w:t>
            </w:r>
            <w:r w:rsidR="009A53E9">
              <w:rPr>
                <w:b w:val="0"/>
                <w:noProof/>
              </w:rPr>
              <w:t>20</w:t>
            </w:r>
            <w:r>
              <w:tab/>
            </w:r>
            <w:r w:rsidRPr="00AA1A38">
              <w:t>Perineal status after vaginal birth</w:t>
            </w:r>
          </w:p>
        </w:tc>
      </w:tr>
      <w:tr w:rsidR="00AA1A38" w:rsidTr="00AE264A">
        <w:trPr>
          <w:cantSplit/>
        </w:trPr>
        <w:tc>
          <w:tcPr>
            <w:tcW w:w="8771" w:type="dxa"/>
            <w:tcBorders>
              <w:top w:val="nil"/>
              <w:left w:val="nil"/>
              <w:bottom w:val="nil"/>
              <w:right w:val="nil"/>
            </w:tcBorders>
            <w:shd w:val="clear" w:color="auto" w:fill="F2F2F2"/>
          </w:tcPr>
          <w:p w:rsidR="00AA1A38" w:rsidRDefault="00AA1A38" w:rsidP="00AA1A38">
            <w:pPr>
              <w:pStyle w:val="Box"/>
            </w:pPr>
            <w:r>
              <w:t>‘Perineal status after vaginal birth’ is defined as the state of the perineum following a vaginal birth (HDSC 2008). A third or fourth degree laceration is a perineal laceration or rupture (or tear following episiotomy) extending to, or beyond, the anal sphincter (see section 11.8 for definitions) (NCCH 2008). It is measured by the proportion of women giving birth with third or fourth degree lacerations to their perineum following vaginal birth.</w:t>
            </w:r>
          </w:p>
          <w:p w:rsidR="00AA1A38" w:rsidRDefault="00AA1A38" w:rsidP="00AA1A38">
            <w:pPr>
              <w:pStyle w:val="Box"/>
            </w:pPr>
            <w:r>
              <w:t xml:space="preserve">A low or decreasing rate of women giving birth with third or fourth degree lacerations after vaginal birth is desirable. Maternity services staff aim to minimise lacerations, particularly more severe lacerations (third and fourth degree), through labour management practices. Severe lacerations (third and fourth degree laceration) of the perineum are not avoidable in all cases and so safe labour management is associated with a low (rather than zero) proportion of third or fourth degree lacerations. </w:t>
            </w:r>
          </w:p>
          <w:p w:rsidR="00AA1A38" w:rsidRDefault="00AA1A38" w:rsidP="00AA1A38">
            <w:pPr>
              <w:pStyle w:val="Box"/>
            </w:pPr>
            <w:r>
              <w:t>Data reported for this indicator are:</w:t>
            </w:r>
          </w:p>
          <w:p w:rsidR="00AA1A38" w:rsidRDefault="00AA1A38" w:rsidP="00AA1A38">
            <w:pPr>
              <w:pStyle w:val="BoxListBullet"/>
            </w:pPr>
            <w:r>
              <w:t xml:space="preserve">comparable (subject to caveats) across jurisdictions and over time </w:t>
            </w:r>
          </w:p>
          <w:p w:rsidR="00AA1A38" w:rsidRDefault="00AA1A38" w:rsidP="00AA1A38">
            <w:pPr>
              <w:pStyle w:val="BoxListBullet"/>
            </w:pPr>
            <w:r>
              <w:t>complete (subject to caveats) for the current reporting period. All required 201</w:t>
            </w:r>
            <w:r w:rsidR="00C21C9F">
              <w:t>2</w:t>
            </w:r>
            <w:r>
              <w:t xml:space="preserve"> data are available for all jurisdictions.</w:t>
            </w:r>
          </w:p>
          <w:p w:rsidR="00AA1A38" w:rsidRDefault="00886C7D" w:rsidP="00886C7D">
            <w:pPr>
              <w:pStyle w:val="Box"/>
            </w:pPr>
            <w:r w:rsidRPr="00886C7D">
              <w:t>Data quality</w:t>
            </w:r>
            <w:r>
              <w:t xml:space="preserve"> information for this indicator</w:t>
            </w:r>
            <w:r w:rsidR="008C0550">
              <w:t xml:space="preserve"> is at www.pc.gov.au</w:t>
            </w:r>
            <w:r w:rsidRPr="00886C7D">
              <w:t>/rogs/2015.</w:t>
            </w:r>
          </w:p>
        </w:tc>
      </w:tr>
      <w:tr w:rsidR="00AA1A38" w:rsidTr="00AE264A">
        <w:trPr>
          <w:cantSplit/>
        </w:trPr>
        <w:tc>
          <w:tcPr>
            <w:tcW w:w="8771" w:type="dxa"/>
            <w:tcBorders>
              <w:top w:val="nil"/>
              <w:left w:val="nil"/>
              <w:bottom w:val="single" w:sz="6" w:space="0" w:color="78A22F"/>
              <w:right w:val="nil"/>
            </w:tcBorders>
            <w:shd w:val="clear" w:color="auto" w:fill="F2F2F2"/>
          </w:tcPr>
          <w:p w:rsidR="00AA1A38" w:rsidRDefault="00AA1A38">
            <w:pPr>
              <w:pStyle w:val="Box"/>
              <w:spacing w:before="0" w:line="120" w:lineRule="exact"/>
            </w:pPr>
          </w:p>
        </w:tc>
      </w:tr>
      <w:tr w:rsidR="00AA1A38" w:rsidRPr="000863A5" w:rsidTr="00AE264A">
        <w:tc>
          <w:tcPr>
            <w:tcW w:w="8771" w:type="dxa"/>
            <w:tcBorders>
              <w:top w:val="single" w:sz="6" w:space="0" w:color="78A22F"/>
              <w:left w:val="nil"/>
              <w:bottom w:val="nil"/>
              <w:right w:val="nil"/>
            </w:tcBorders>
          </w:tcPr>
          <w:p w:rsidR="00AA1A38" w:rsidRPr="00626D32" w:rsidRDefault="00AA1A38" w:rsidP="00AE264A">
            <w:pPr>
              <w:pStyle w:val="BoxSpaceBelow"/>
            </w:pPr>
          </w:p>
        </w:tc>
      </w:tr>
    </w:tbl>
    <w:p w:rsidR="00AA1A38" w:rsidRDefault="00AA1A38" w:rsidP="00AA1A38">
      <w:pPr>
        <w:pStyle w:val="BodyText"/>
      </w:pPr>
      <w:r w:rsidRPr="00AA1A38">
        <w:t>The proportion of mothers with third or fourth degree lacerations to their perineum following vaginal births is shown in figure 11.</w:t>
      </w:r>
      <w:r w:rsidR="00F10933">
        <w:t>31</w:t>
      </w:r>
      <w:r w:rsidRPr="00AA1A38">
        <w:t>. More information on perineal status after vaginal birth (including the proportion of mothers with intact perineum following vaginal births) is contained in table 11A.1</w:t>
      </w:r>
      <w:r w:rsidR="00111DF5">
        <w:t>1</w:t>
      </w:r>
      <w:r w:rsidR="00F2723D">
        <w:t>3</w:t>
      </w:r>
      <w:r w:rsidRPr="00AA1A38">
        <w:t>.</w:t>
      </w:r>
    </w:p>
    <w:p w:rsidR="00AA1A38" w:rsidRDefault="00AA1A38" w:rsidP="00980FDB">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A1A38" w:rsidTr="00AE264A">
        <w:tc>
          <w:tcPr>
            <w:tcW w:w="8771" w:type="dxa"/>
            <w:tcBorders>
              <w:top w:val="single" w:sz="6" w:space="0" w:color="78A22F"/>
              <w:left w:val="nil"/>
              <w:bottom w:val="nil"/>
              <w:right w:val="nil"/>
            </w:tcBorders>
            <w:shd w:val="clear" w:color="auto" w:fill="auto"/>
          </w:tcPr>
          <w:p w:rsidR="00AA1A38" w:rsidRPr="00176D3F" w:rsidRDefault="00AA1A38" w:rsidP="00980FDB">
            <w:pPr>
              <w:pStyle w:val="FigureTitle"/>
            </w:pPr>
            <w:r w:rsidRPr="00784A05">
              <w:rPr>
                <w:b w:val="0"/>
              </w:rPr>
              <w:t xml:space="preserve">Figure </w:t>
            </w:r>
            <w:r w:rsidR="00F10933">
              <w:rPr>
                <w:b w:val="0"/>
              </w:rPr>
              <w:t>11.</w:t>
            </w:r>
            <w:r w:rsidR="009A53E9">
              <w:rPr>
                <w:b w:val="0"/>
                <w:noProof/>
              </w:rPr>
              <w:t>31</w:t>
            </w:r>
            <w:r>
              <w:tab/>
            </w:r>
            <w:r w:rsidRPr="00AA1A38">
              <w:t>Perineal status — mothers with third or fourth degree lacerations after vaginal births</w:t>
            </w:r>
            <w:r w:rsidRPr="00AA1A38">
              <w:rPr>
                <w:rStyle w:val="NoteLabel"/>
                <w:b/>
                <w:szCs w:val="20"/>
              </w:rPr>
              <w:t>a, b, c</w:t>
            </w:r>
          </w:p>
        </w:tc>
      </w:tr>
      <w:tr w:rsidR="00AA1A38" w:rsidTr="00AE264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A1A38" w:rsidTr="00AE264A">
              <w:trPr>
                <w:jc w:val="center"/>
              </w:trPr>
              <w:tc>
                <w:tcPr>
                  <w:tcW w:w="5000" w:type="pct"/>
                  <w:tcBorders>
                    <w:top w:val="nil"/>
                    <w:bottom w:val="nil"/>
                  </w:tcBorders>
                </w:tcPr>
                <w:p w:rsidR="00AA1A38" w:rsidRDefault="001F000D" w:rsidP="00980FDB">
                  <w:pPr>
                    <w:pStyle w:val="Figure"/>
                    <w:keepLines/>
                    <w:spacing w:before="60" w:after="60"/>
                  </w:pPr>
                  <w:r>
                    <w:rPr>
                      <w:noProof/>
                    </w:rPr>
                    <w:drawing>
                      <wp:inline distT="0" distB="0" distL="0" distR="0">
                        <wp:extent cx="5391150" cy="2638425"/>
                        <wp:effectExtent l="0" t="0" r="0" b="9525"/>
                        <wp:docPr id="34" name="Picture 34" descr="Figure 11.31 Perineal status — mothers with third or fourth degree lacerations after vaginal birth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391150" cy="2638425"/>
                                </a:xfrm>
                                <a:prstGeom prst="rect">
                                  <a:avLst/>
                                </a:prstGeom>
                                <a:noFill/>
                                <a:ln>
                                  <a:noFill/>
                                </a:ln>
                              </pic:spPr>
                            </pic:pic>
                          </a:graphicData>
                        </a:graphic>
                      </wp:inline>
                    </w:drawing>
                  </w:r>
                </w:p>
              </w:tc>
            </w:tr>
          </w:tbl>
          <w:p w:rsidR="00AA1A38" w:rsidRDefault="00AA1A38" w:rsidP="00980FDB">
            <w:pPr>
              <w:pStyle w:val="Figure"/>
              <w:keepLines/>
            </w:pPr>
          </w:p>
        </w:tc>
      </w:tr>
      <w:tr w:rsidR="00AA1A38" w:rsidRPr="00176D3F" w:rsidTr="00AE264A">
        <w:tc>
          <w:tcPr>
            <w:tcW w:w="8771" w:type="dxa"/>
            <w:tcBorders>
              <w:top w:val="nil"/>
              <w:left w:val="nil"/>
              <w:bottom w:val="nil"/>
              <w:right w:val="nil"/>
            </w:tcBorders>
            <w:shd w:val="clear" w:color="auto" w:fill="auto"/>
          </w:tcPr>
          <w:p w:rsidR="00AA1A38" w:rsidRPr="00176D3F" w:rsidRDefault="00AA1A38" w:rsidP="002B0DE6">
            <w:pPr>
              <w:pStyle w:val="Note"/>
              <w:keepNext/>
            </w:pPr>
            <w:r>
              <w:rPr>
                <w:rStyle w:val="NoteLabel"/>
              </w:rPr>
              <w:t>a</w:t>
            </w:r>
            <w:r>
              <w:t xml:space="preserve"> </w:t>
            </w:r>
            <w:r w:rsidRPr="00AA1A38">
              <w:t xml:space="preserve">For multiple births, the perineal status </w:t>
            </w:r>
            <w:r w:rsidR="002B0DE6" w:rsidRPr="009B1642">
              <w:t>recorded against the</w:t>
            </w:r>
            <w:r w:rsidRPr="00AA1A38">
              <w:t xml:space="preserve"> birth of the first child was used. </w:t>
            </w:r>
            <w:r w:rsidRPr="00AA1A38">
              <w:rPr>
                <w:rStyle w:val="NoteLabel"/>
              </w:rPr>
              <w:t>b</w:t>
            </w:r>
            <w:r w:rsidRPr="00AA1A38">
              <w:t xml:space="preserve"> Data include all women who gave birth vaginally, including births in public hospitals, private hospitals and outside of hospital, such as homebirths.</w:t>
            </w:r>
            <w:r w:rsidRPr="009B1642">
              <w:rPr>
                <w:rStyle w:val="NoteLabel"/>
              </w:rPr>
              <w:t xml:space="preserve">c </w:t>
            </w:r>
            <w:r w:rsidR="004B2356" w:rsidRPr="009B1642">
              <w:t>Between 12 and 15 per cent of births each year in the ACT are to non-residents of the ACT.</w:t>
            </w:r>
          </w:p>
        </w:tc>
      </w:tr>
      <w:tr w:rsidR="00AA1A38" w:rsidRPr="00176D3F" w:rsidTr="00AE264A">
        <w:tc>
          <w:tcPr>
            <w:tcW w:w="8771" w:type="dxa"/>
            <w:tcBorders>
              <w:top w:val="nil"/>
              <w:left w:val="nil"/>
              <w:bottom w:val="nil"/>
              <w:right w:val="nil"/>
            </w:tcBorders>
            <w:shd w:val="clear" w:color="auto" w:fill="auto"/>
          </w:tcPr>
          <w:p w:rsidR="00AA1A38" w:rsidRPr="00176D3F" w:rsidRDefault="00AA1A38" w:rsidP="00E677EB">
            <w:pPr>
              <w:pStyle w:val="Source"/>
              <w:keepNext/>
            </w:pPr>
            <w:r>
              <w:rPr>
                <w:i/>
              </w:rPr>
              <w:t>S</w:t>
            </w:r>
            <w:r w:rsidRPr="00784A05">
              <w:rPr>
                <w:i/>
              </w:rPr>
              <w:t>ource</w:t>
            </w:r>
            <w:r w:rsidRPr="00176D3F">
              <w:t xml:space="preserve">: </w:t>
            </w:r>
            <w:r w:rsidRPr="00AA1A38">
              <w:t xml:space="preserve">Li, Z., McNally, L., Hilder, L. and Sullivan, EA. (various years), </w:t>
            </w:r>
            <w:r w:rsidRPr="00AA1A38">
              <w:rPr>
                <w:i/>
              </w:rPr>
              <w:t>Australia’s mothers and babies</w:t>
            </w:r>
            <w:r w:rsidRPr="00AA1A38">
              <w:t>, Perinatal statistics series Cat nos. PER 22, 48, 50, 52 and 56; table 11A.1</w:t>
            </w:r>
            <w:r w:rsidR="00111DF5">
              <w:t>1</w:t>
            </w:r>
            <w:r w:rsidR="00E677EB">
              <w:t>3</w:t>
            </w:r>
            <w:r w:rsidRPr="00AA1A38">
              <w:t>.</w:t>
            </w:r>
          </w:p>
        </w:tc>
      </w:tr>
      <w:tr w:rsidR="00AA1A38" w:rsidTr="00AE264A">
        <w:tc>
          <w:tcPr>
            <w:tcW w:w="8771" w:type="dxa"/>
            <w:tcBorders>
              <w:top w:val="nil"/>
              <w:left w:val="nil"/>
              <w:bottom w:val="single" w:sz="6" w:space="0" w:color="78A22F"/>
              <w:right w:val="nil"/>
            </w:tcBorders>
            <w:shd w:val="clear" w:color="auto" w:fill="auto"/>
          </w:tcPr>
          <w:p w:rsidR="00AA1A38" w:rsidRDefault="00AA1A38" w:rsidP="00980FDB">
            <w:pPr>
              <w:pStyle w:val="Figurespace"/>
              <w:keepLines/>
            </w:pPr>
          </w:p>
        </w:tc>
      </w:tr>
      <w:tr w:rsidR="00AA1A38" w:rsidRPr="000863A5" w:rsidTr="00AE264A">
        <w:tc>
          <w:tcPr>
            <w:tcW w:w="8771" w:type="dxa"/>
            <w:tcBorders>
              <w:top w:val="single" w:sz="6" w:space="0" w:color="78A22F"/>
              <w:left w:val="nil"/>
              <w:bottom w:val="nil"/>
              <w:right w:val="nil"/>
            </w:tcBorders>
          </w:tcPr>
          <w:p w:rsidR="00AA1A38" w:rsidRPr="00626D32" w:rsidRDefault="00AA1A38" w:rsidP="00980FDB">
            <w:pPr>
              <w:pStyle w:val="BoxSpaceBelow"/>
              <w:keepNext/>
              <w:keepLines/>
            </w:pPr>
          </w:p>
        </w:tc>
      </w:tr>
    </w:tbl>
    <w:p w:rsidR="00AA1A38" w:rsidRDefault="00AA1A38" w:rsidP="00AA1A38">
      <w:pPr>
        <w:pStyle w:val="Heading4"/>
      </w:pPr>
      <w:r>
        <w:t>Responsiveness, continuity</w:t>
      </w:r>
    </w:p>
    <w:p w:rsidR="00AA1A38" w:rsidRDefault="00AA1A38" w:rsidP="00AA1A38">
      <w:pPr>
        <w:pStyle w:val="BodyText"/>
      </w:pPr>
      <w:r>
        <w:t xml:space="preserve">The Steering Committee has identified the responsiveness and continuity of care of maternity services as an area for development in future Reports. </w:t>
      </w:r>
    </w:p>
    <w:p w:rsidR="00AA1A38" w:rsidRDefault="00AA1A38" w:rsidP="00AA1A38">
      <w:pPr>
        <w:pStyle w:val="Heading3"/>
      </w:pPr>
      <w:r>
        <w:t>Efficiency — sustainability</w:t>
      </w:r>
    </w:p>
    <w:p w:rsidR="00AA1A38" w:rsidRDefault="00AA1A38" w:rsidP="00AA1A38">
      <w:pPr>
        <w:pStyle w:val="BodyText"/>
      </w:pPr>
      <w:r>
        <w:t>The Steering Committee has identified the sustainability of maternity services as an area for development in future Reports.</w:t>
      </w:r>
    </w:p>
    <w:p w:rsidR="00AA1A38" w:rsidRDefault="00AA1A38" w:rsidP="00AA1A38">
      <w:pPr>
        <w:pStyle w:val="Heading3"/>
      </w:pPr>
      <w:r>
        <w:t>Efficiency</w:t>
      </w:r>
    </w:p>
    <w:p w:rsidR="00AA1A38" w:rsidRDefault="00AA1A38" w:rsidP="00AA1A38">
      <w:pPr>
        <w:pStyle w:val="Heading4"/>
      </w:pPr>
      <w:r>
        <w:t>Recurrent cost per maternity separation</w:t>
      </w:r>
    </w:p>
    <w:p w:rsidR="00AA1A38" w:rsidRDefault="00AA1A38" w:rsidP="00AA1A38">
      <w:pPr>
        <w:pStyle w:val="BodyText"/>
      </w:pPr>
      <w:r>
        <w:t>‘Recurrent cost per maternity separation’ is an indicator of governments’ objective to deliver cost effective services (box 11.21).</w:t>
      </w:r>
    </w:p>
    <w:p w:rsidR="00E14510" w:rsidRDefault="00E1451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14510" w:rsidTr="00AE264A">
        <w:tc>
          <w:tcPr>
            <w:tcW w:w="8771" w:type="dxa"/>
            <w:tcBorders>
              <w:top w:val="single" w:sz="6" w:space="0" w:color="78A22F"/>
              <w:left w:val="nil"/>
              <w:bottom w:val="nil"/>
              <w:right w:val="nil"/>
            </w:tcBorders>
            <w:shd w:val="clear" w:color="auto" w:fill="F2F2F2"/>
          </w:tcPr>
          <w:p w:rsidR="00E14510" w:rsidRDefault="00E14510">
            <w:pPr>
              <w:pStyle w:val="BoxTitle"/>
            </w:pPr>
            <w:r>
              <w:rPr>
                <w:b w:val="0"/>
              </w:rPr>
              <w:t>Box 11.</w:t>
            </w:r>
            <w:r w:rsidR="009A53E9">
              <w:rPr>
                <w:b w:val="0"/>
                <w:noProof/>
              </w:rPr>
              <w:t>21</w:t>
            </w:r>
            <w:r>
              <w:tab/>
            </w:r>
            <w:r w:rsidRPr="00E14510">
              <w:t>Recurrent cost per maternity separation</w:t>
            </w:r>
          </w:p>
        </w:tc>
      </w:tr>
      <w:tr w:rsidR="00E14510" w:rsidTr="00AE264A">
        <w:trPr>
          <w:cantSplit/>
        </w:trPr>
        <w:tc>
          <w:tcPr>
            <w:tcW w:w="8771" w:type="dxa"/>
            <w:tcBorders>
              <w:top w:val="nil"/>
              <w:left w:val="nil"/>
              <w:bottom w:val="nil"/>
              <w:right w:val="nil"/>
            </w:tcBorders>
            <w:shd w:val="clear" w:color="auto" w:fill="F2F2F2"/>
          </w:tcPr>
          <w:p w:rsidR="00E14510" w:rsidRDefault="00E14510" w:rsidP="00E14510">
            <w:pPr>
              <w:pStyle w:val="Box"/>
            </w:pPr>
            <w:r>
              <w:t>‘Recurrent cost per maternity separation’ is presented for the two AR</w:t>
            </w:r>
            <w:r w:rsidR="004D0FB7">
              <w:t>-</w:t>
            </w:r>
            <w:r>
              <w:t>DRGs that account for the largest number of maternity patient days: caesarean delivery without catastrophic or severe complications and comorbidities; and vaginal delivery without catastrophic or severe complications and comorbidities.</w:t>
            </w:r>
          </w:p>
          <w:p w:rsidR="00E14510" w:rsidRDefault="00E14510" w:rsidP="00E14510">
            <w:pPr>
              <w:pStyle w:val="Box"/>
            </w:pPr>
            <w:r>
              <w:t xml:space="preserve">Low or decreasing recurrent costs per maternity separation can reflect high or increasing efficiency in providing maternity services to admitted patients. However, this is only likely to be the case where the low cost maternity services are provided at equal or superior effectiveness. </w:t>
            </w:r>
          </w:p>
          <w:p w:rsidR="00E14510" w:rsidRDefault="00E14510" w:rsidP="00E14510">
            <w:pPr>
              <w:pStyle w:val="Box"/>
            </w:pPr>
            <w:r>
              <w:t>Data reported for this indicator are:</w:t>
            </w:r>
          </w:p>
          <w:p w:rsidR="00E14510" w:rsidRDefault="00E14510" w:rsidP="00E14510">
            <w:pPr>
              <w:pStyle w:val="BoxListBullet"/>
            </w:pPr>
            <w:r>
              <w:t>comparable (subject to caveats) within some jurisdictions over time but are not comparable across jurisdictions or over time for other jurisdictions (see caveats in attachment tables for specific jurisdictions)</w:t>
            </w:r>
          </w:p>
          <w:p w:rsidR="00E14510" w:rsidRDefault="00E14510" w:rsidP="00E14510">
            <w:pPr>
              <w:pStyle w:val="BoxListBullet"/>
            </w:pPr>
            <w:r>
              <w:t>complete (subject to caveats) for the current reporting period. All required 201</w:t>
            </w:r>
            <w:r w:rsidR="00C21C9F">
              <w:t>1-</w:t>
            </w:r>
            <w:r>
              <w:t>1</w:t>
            </w:r>
            <w:r w:rsidR="00C21C9F">
              <w:t>2</w:t>
            </w:r>
            <w:r>
              <w:t xml:space="preserve"> data are available for all jurisdictions.</w:t>
            </w:r>
          </w:p>
          <w:p w:rsidR="00E14510" w:rsidRPr="00886C7D" w:rsidRDefault="000D0370" w:rsidP="000D0370">
            <w:pPr>
              <w:pStyle w:val="Box"/>
              <w:rPr>
                <w:b/>
              </w:rPr>
            </w:pPr>
            <w:r w:rsidRPr="000D0370">
              <w:t>Data quality information for this indicator is under development.</w:t>
            </w:r>
          </w:p>
        </w:tc>
      </w:tr>
      <w:tr w:rsidR="00E14510" w:rsidTr="00AE264A">
        <w:trPr>
          <w:cantSplit/>
        </w:trPr>
        <w:tc>
          <w:tcPr>
            <w:tcW w:w="8771" w:type="dxa"/>
            <w:tcBorders>
              <w:top w:val="nil"/>
              <w:left w:val="nil"/>
              <w:bottom w:val="single" w:sz="6" w:space="0" w:color="78A22F"/>
              <w:right w:val="nil"/>
            </w:tcBorders>
            <w:shd w:val="clear" w:color="auto" w:fill="F2F2F2"/>
          </w:tcPr>
          <w:p w:rsidR="00E14510" w:rsidRDefault="00E14510">
            <w:pPr>
              <w:pStyle w:val="Box"/>
              <w:spacing w:before="0" w:line="120" w:lineRule="exact"/>
            </w:pPr>
          </w:p>
        </w:tc>
      </w:tr>
      <w:tr w:rsidR="00E14510" w:rsidRPr="000863A5" w:rsidTr="00AE264A">
        <w:tc>
          <w:tcPr>
            <w:tcW w:w="8771" w:type="dxa"/>
            <w:tcBorders>
              <w:top w:val="single" w:sz="6" w:space="0" w:color="78A22F"/>
              <w:left w:val="nil"/>
              <w:bottom w:val="nil"/>
              <w:right w:val="nil"/>
            </w:tcBorders>
          </w:tcPr>
          <w:p w:rsidR="00E14510" w:rsidRPr="00626D32" w:rsidRDefault="00E14510" w:rsidP="00AE264A">
            <w:pPr>
              <w:pStyle w:val="BoxSpaceBelow"/>
            </w:pPr>
          </w:p>
        </w:tc>
      </w:tr>
    </w:tbl>
    <w:p w:rsidR="00AA1A38" w:rsidRDefault="00E14510" w:rsidP="0033286A">
      <w:pPr>
        <w:pStyle w:val="BodyText"/>
        <w:spacing w:before="180"/>
      </w:pPr>
      <w:r w:rsidRPr="00E14510">
        <w:t>Data are reported for the two most common maternity AR</w:t>
      </w:r>
      <w:r w:rsidR="004D0FB7">
        <w:t>-</w:t>
      </w:r>
      <w:r w:rsidRPr="00E14510">
        <w:t>DRGs: caesarean delivery without catastrophic or severe complications and comorbidities; and vaginal delivery without catastrophic or severe complications and comorbidities (figure 11.3</w:t>
      </w:r>
      <w:r w:rsidR="00F10933">
        <w:t>2</w:t>
      </w:r>
      <w:r w:rsidRPr="00E14510">
        <w:t xml:space="preserve">). </w:t>
      </w:r>
    </w:p>
    <w:p w:rsidR="00E14510" w:rsidRDefault="00E14510" w:rsidP="0033286A">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14510" w:rsidTr="009B1642">
        <w:tc>
          <w:tcPr>
            <w:tcW w:w="8771" w:type="dxa"/>
            <w:tcBorders>
              <w:top w:val="single" w:sz="6" w:space="0" w:color="78A22F"/>
              <w:left w:val="nil"/>
              <w:bottom w:val="nil"/>
              <w:right w:val="nil"/>
            </w:tcBorders>
            <w:shd w:val="clear" w:color="auto" w:fill="auto"/>
          </w:tcPr>
          <w:p w:rsidR="00E14510" w:rsidRPr="00176D3F" w:rsidRDefault="00E14510" w:rsidP="004D0FB7">
            <w:pPr>
              <w:pStyle w:val="FigureTitle"/>
            </w:pPr>
            <w:r w:rsidRPr="00784A05">
              <w:rPr>
                <w:b w:val="0"/>
              </w:rPr>
              <w:t xml:space="preserve">Figure </w:t>
            </w:r>
            <w:r w:rsidR="00F10933">
              <w:rPr>
                <w:b w:val="0"/>
              </w:rPr>
              <w:t>11.</w:t>
            </w:r>
            <w:r w:rsidR="009A53E9">
              <w:rPr>
                <w:b w:val="0"/>
                <w:noProof/>
              </w:rPr>
              <w:t>32</w:t>
            </w:r>
            <w:r>
              <w:tab/>
            </w:r>
            <w:r w:rsidR="000E06A7" w:rsidRPr="000E06A7">
              <w:t>Estimated average cost per separation for selected maternity related AR</w:t>
            </w:r>
            <w:r w:rsidR="004D0FB7">
              <w:t>-</w:t>
            </w:r>
            <w:r w:rsidR="000E06A7" w:rsidRPr="000E06A7">
              <w:t>DRGs, public hospitals, 201</w:t>
            </w:r>
            <w:r w:rsidR="000E06A7">
              <w:t>1</w:t>
            </w:r>
            <w:r w:rsidR="000E06A7" w:rsidRPr="000E06A7">
              <w:t>-1</w:t>
            </w:r>
            <w:r w:rsidR="000E06A7">
              <w:t>2</w:t>
            </w:r>
            <w:r w:rsidR="00C17391">
              <w:rPr>
                <w:rStyle w:val="NoteLabel"/>
                <w:b/>
                <w:szCs w:val="20"/>
              </w:rPr>
              <w:t>a, b</w:t>
            </w:r>
          </w:p>
        </w:tc>
      </w:tr>
      <w:tr w:rsidR="00E14510" w:rsidTr="009B1642">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14510" w:rsidTr="00AE264A">
              <w:trPr>
                <w:jc w:val="center"/>
              </w:trPr>
              <w:tc>
                <w:tcPr>
                  <w:tcW w:w="5000" w:type="pct"/>
                  <w:tcBorders>
                    <w:top w:val="nil"/>
                    <w:bottom w:val="nil"/>
                  </w:tcBorders>
                </w:tcPr>
                <w:p w:rsidR="00E14510" w:rsidRDefault="001F000D" w:rsidP="00AE264A">
                  <w:pPr>
                    <w:pStyle w:val="Figure"/>
                    <w:spacing w:before="60" w:after="60"/>
                  </w:pPr>
                  <w:r>
                    <w:rPr>
                      <w:noProof/>
                    </w:rPr>
                    <w:drawing>
                      <wp:inline distT="0" distB="0" distL="0" distR="0">
                        <wp:extent cx="5391150" cy="2619375"/>
                        <wp:effectExtent l="0" t="0" r="0" b="9525"/>
                        <wp:docPr id="35" name="Picture 35" descr="Figure 11.32 Estimated average cost per separation for selected maternity related AR-DRGs, public hospital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91150" cy="2619375"/>
                                </a:xfrm>
                                <a:prstGeom prst="rect">
                                  <a:avLst/>
                                </a:prstGeom>
                                <a:noFill/>
                                <a:ln>
                                  <a:noFill/>
                                </a:ln>
                              </pic:spPr>
                            </pic:pic>
                          </a:graphicData>
                        </a:graphic>
                      </wp:inline>
                    </w:drawing>
                  </w:r>
                </w:p>
              </w:tc>
            </w:tr>
          </w:tbl>
          <w:p w:rsidR="00E14510" w:rsidRDefault="00E14510" w:rsidP="00AE264A">
            <w:pPr>
              <w:pStyle w:val="Figure"/>
            </w:pPr>
          </w:p>
        </w:tc>
      </w:tr>
      <w:tr w:rsidR="00E14510" w:rsidRPr="00176D3F" w:rsidTr="00AE264A">
        <w:tc>
          <w:tcPr>
            <w:tcW w:w="8771" w:type="dxa"/>
            <w:tcBorders>
              <w:top w:val="nil"/>
              <w:left w:val="nil"/>
              <w:bottom w:val="nil"/>
              <w:right w:val="nil"/>
            </w:tcBorders>
            <w:shd w:val="clear" w:color="auto" w:fill="auto"/>
          </w:tcPr>
          <w:p w:rsidR="00E14510" w:rsidRPr="00176D3F" w:rsidRDefault="00E14510" w:rsidP="00C17391">
            <w:pPr>
              <w:pStyle w:val="Note"/>
            </w:pPr>
            <w:r>
              <w:rPr>
                <w:rStyle w:val="NoteLabel"/>
              </w:rPr>
              <w:t>a</w:t>
            </w:r>
            <w:r>
              <w:t xml:space="preserve"> </w:t>
            </w:r>
            <w:r w:rsidR="000E06A7" w:rsidRPr="000E06A7">
              <w:t xml:space="preserve">Includes AR-DRG O01C caesarean delivery without catastrophic or severe complications and comorbidities and AR-DRG O60B vaginal delivery without catastrophic or severe complications and comorbidities. </w:t>
            </w:r>
            <w:r w:rsidR="000E06A7" w:rsidRPr="000E06A7">
              <w:rPr>
                <w:rStyle w:val="NoteLabel"/>
              </w:rPr>
              <w:t>b</w:t>
            </w:r>
            <w:r w:rsidR="000E06A7" w:rsidRPr="000E06A7">
              <w:t xml:space="preserve"> Average cost is affected by a number of factors including admission practices, sample size, remoteness and the types of hospital contributing to the collection. Caution must be used in making direct comparisons </w:t>
            </w:r>
            <w:r w:rsidR="009551A6">
              <w:t>across</w:t>
            </w:r>
            <w:r w:rsidR="000E06A7" w:rsidRPr="000E06A7">
              <w:t xml:space="preserve"> jurisdictions, because of differences in hospital costing systems. </w:t>
            </w:r>
          </w:p>
        </w:tc>
      </w:tr>
      <w:tr w:rsidR="00E14510" w:rsidRPr="00176D3F" w:rsidTr="00AE264A">
        <w:tc>
          <w:tcPr>
            <w:tcW w:w="8771" w:type="dxa"/>
            <w:tcBorders>
              <w:top w:val="nil"/>
              <w:left w:val="nil"/>
              <w:bottom w:val="nil"/>
              <w:right w:val="nil"/>
            </w:tcBorders>
            <w:shd w:val="clear" w:color="auto" w:fill="auto"/>
          </w:tcPr>
          <w:p w:rsidR="00E14510" w:rsidRPr="00176D3F" w:rsidRDefault="00E14510" w:rsidP="00F2723D">
            <w:pPr>
              <w:pStyle w:val="Source"/>
            </w:pPr>
            <w:r>
              <w:rPr>
                <w:i/>
              </w:rPr>
              <w:t>S</w:t>
            </w:r>
            <w:r w:rsidRPr="00784A05">
              <w:rPr>
                <w:i/>
              </w:rPr>
              <w:t>ource</w:t>
            </w:r>
            <w:r w:rsidRPr="00176D3F">
              <w:t xml:space="preserve">: </w:t>
            </w:r>
            <w:r w:rsidRPr="00E14510">
              <w:t>IHPA (unpublished), National Hospital Cost Data Collection; table 11A.1</w:t>
            </w:r>
            <w:r w:rsidR="00111DF5">
              <w:t>1</w:t>
            </w:r>
            <w:r w:rsidR="00F2723D">
              <w:t>4</w:t>
            </w:r>
            <w:r w:rsidRPr="00E14510">
              <w:t>.</w:t>
            </w:r>
          </w:p>
        </w:tc>
      </w:tr>
      <w:tr w:rsidR="00E14510" w:rsidTr="00AE264A">
        <w:tc>
          <w:tcPr>
            <w:tcW w:w="8771" w:type="dxa"/>
            <w:tcBorders>
              <w:top w:val="nil"/>
              <w:left w:val="nil"/>
              <w:bottom w:val="single" w:sz="6" w:space="0" w:color="78A22F"/>
              <w:right w:val="nil"/>
            </w:tcBorders>
            <w:shd w:val="clear" w:color="auto" w:fill="auto"/>
          </w:tcPr>
          <w:p w:rsidR="00E14510" w:rsidRDefault="00E14510" w:rsidP="00AE264A">
            <w:pPr>
              <w:pStyle w:val="Figurespace"/>
            </w:pPr>
          </w:p>
        </w:tc>
      </w:tr>
      <w:tr w:rsidR="00E14510" w:rsidRPr="000863A5" w:rsidTr="00AE264A">
        <w:tc>
          <w:tcPr>
            <w:tcW w:w="8771" w:type="dxa"/>
            <w:tcBorders>
              <w:top w:val="single" w:sz="6" w:space="0" w:color="78A22F"/>
              <w:left w:val="nil"/>
              <w:bottom w:val="nil"/>
              <w:right w:val="nil"/>
            </w:tcBorders>
          </w:tcPr>
          <w:p w:rsidR="00E14510" w:rsidRPr="00626D32" w:rsidRDefault="00E14510" w:rsidP="00AE264A">
            <w:pPr>
              <w:pStyle w:val="BoxSpaceBelow"/>
            </w:pPr>
          </w:p>
        </w:tc>
      </w:tr>
    </w:tbl>
    <w:p w:rsidR="0033286A" w:rsidRDefault="0033286A" w:rsidP="0033286A">
      <w:pPr>
        <w:pStyle w:val="BodyText"/>
      </w:pPr>
      <w:r w:rsidRPr="00E14510">
        <w:lastRenderedPageBreak/>
        <w:t>Data for a number of other maternity related AR</w:t>
      </w:r>
      <w:r>
        <w:t>-</w:t>
      </w:r>
      <w:r w:rsidRPr="00E14510">
        <w:t>DRGs are shown in table 11A.1</w:t>
      </w:r>
      <w:r>
        <w:t>14</w:t>
      </w:r>
      <w:r w:rsidRPr="00E14510">
        <w:t>. Data are sourced from the NHCDC. The NHCDC is a voluntary annual collection, the purpose of which is to calculate DRG cost weights. The samples are not necessarily representative of the set of hospitals in each jurisdiction. An estimation process has been carried out to create representative national activity figures from the sample data.</w:t>
      </w:r>
    </w:p>
    <w:p w:rsidR="000E06A7" w:rsidRDefault="000E06A7" w:rsidP="000E06A7">
      <w:pPr>
        <w:pStyle w:val="Heading4"/>
      </w:pPr>
      <w:r>
        <w:t>Mother’s average length of stay</w:t>
      </w:r>
    </w:p>
    <w:p w:rsidR="00E14510" w:rsidRDefault="000E06A7" w:rsidP="000E06A7">
      <w:pPr>
        <w:pStyle w:val="BodyText"/>
      </w:pPr>
      <w:r>
        <w:t>‘Mother’s average length of stay’ is an indicator of governments’ objective to deliver services efficiently (box 11.22).</w:t>
      </w:r>
    </w:p>
    <w:p w:rsidR="000E06A7" w:rsidRDefault="000E06A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E06A7" w:rsidTr="00AE264A">
        <w:tc>
          <w:tcPr>
            <w:tcW w:w="8771" w:type="dxa"/>
            <w:tcBorders>
              <w:top w:val="single" w:sz="6" w:space="0" w:color="78A22F"/>
              <w:left w:val="nil"/>
              <w:bottom w:val="nil"/>
              <w:right w:val="nil"/>
            </w:tcBorders>
            <w:shd w:val="clear" w:color="auto" w:fill="F2F2F2"/>
          </w:tcPr>
          <w:p w:rsidR="000E06A7" w:rsidRDefault="000E06A7">
            <w:pPr>
              <w:pStyle w:val="BoxTitle"/>
            </w:pPr>
            <w:r>
              <w:rPr>
                <w:b w:val="0"/>
              </w:rPr>
              <w:t>Box 11.</w:t>
            </w:r>
            <w:r w:rsidR="009A53E9">
              <w:rPr>
                <w:b w:val="0"/>
                <w:noProof/>
              </w:rPr>
              <w:t>22</w:t>
            </w:r>
            <w:r>
              <w:tab/>
            </w:r>
            <w:r w:rsidRPr="000E06A7">
              <w:t>Mother’s average length of stay</w:t>
            </w:r>
          </w:p>
        </w:tc>
      </w:tr>
      <w:tr w:rsidR="000E06A7" w:rsidTr="00AE264A">
        <w:trPr>
          <w:cantSplit/>
        </w:trPr>
        <w:tc>
          <w:tcPr>
            <w:tcW w:w="8771" w:type="dxa"/>
            <w:tcBorders>
              <w:top w:val="nil"/>
              <w:left w:val="nil"/>
              <w:bottom w:val="nil"/>
              <w:right w:val="nil"/>
            </w:tcBorders>
            <w:shd w:val="clear" w:color="auto" w:fill="F2F2F2"/>
          </w:tcPr>
          <w:p w:rsidR="000E06A7" w:rsidRDefault="000E06A7" w:rsidP="000E06A7">
            <w:pPr>
              <w:pStyle w:val="Box"/>
            </w:pPr>
            <w:r>
              <w:t>‘Mother’s average length of stay’ is defined as the total number of patient days for the selected maternity AR-DRG, divided by the number of separations for that AR</w:t>
            </w:r>
            <w:r w:rsidR="004D0FB7">
              <w:t>-</w:t>
            </w:r>
            <w:r>
              <w:t xml:space="preserve">DRG. </w:t>
            </w:r>
          </w:p>
          <w:p w:rsidR="000E06A7" w:rsidRDefault="000E06A7" w:rsidP="000E06A7">
            <w:pPr>
              <w:pStyle w:val="Box"/>
            </w:pPr>
            <w:r>
              <w:t>Shorter stays for mothers reduce hospital costs but whether they represent genuine efficiency improvements depends on a number of factors. Shorter stays can, for example, have an adverse effect on the health of some mothers and result in additional costs for in-home care and potential readmissions. The indicator is not adjusted for multiple births born vaginally and without complications but requiring a longer stay to manage breastfeeding.</w:t>
            </w:r>
          </w:p>
          <w:p w:rsidR="000E06A7" w:rsidRDefault="000E06A7" w:rsidP="000E06A7">
            <w:pPr>
              <w:pStyle w:val="Box"/>
            </w:pPr>
            <w:r>
              <w:t>Data reported for this indicator are:</w:t>
            </w:r>
          </w:p>
          <w:p w:rsidR="000E06A7" w:rsidRDefault="000E06A7" w:rsidP="000E06A7">
            <w:pPr>
              <w:pStyle w:val="BoxListBullet"/>
            </w:pPr>
            <w:r>
              <w:t>comparable (subject to caveats) across jurisdictions and over time</w:t>
            </w:r>
          </w:p>
          <w:p w:rsidR="000E06A7" w:rsidRDefault="000E06A7" w:rsidP="000E06A7">
            <w:pPr>
              <w:pStyle w:val="BoxListBullet"/>
            </w:pPr>
            <w:r>
              <w:t>complete (subject to caveats) for the current reporting period. All required 201</w:t>
            </w:r>
            <w:r w:rsidR="00C21C9F">
              <w:t>2-</w:t>
            </w:r>
            <w:r>
              <w:t>1</w:t>
            </w:r>
            <w:r w:rsidR="00C21C9F">
              <w:t>3</w:t>
            </w:r>
            <w:r>
              <w:t xml:space="preserve"> data are available for all jurisdictions.</w:t>
            </w:r>
          </w:p>
          <w:p w:rsidR="000E06A7" w:rsidRPr="00886C7D" w:rsidRDefault="0084035E" w:rsidP="000D0370">
            <w:pPr>
              <w:pStyle w:val="Box"/>
              <w:rPr>
                <w:b/>
              </w:rPr>
            </w:pPr>
            <w:r w:rsidRPr="0084035E">
              <w:t>Data quality information for this indicator</w:t>
            </w:r>
            <w:r w:rsidR="008C0550">
              <w:t xml:space="preserve"> is at www.pc.gov.au</w:t>
            </w:r>
            <w:r w:rsidRPr="0084035E">
              <w:t>/rogs/2015.</w:t>
            </w:r>
          </w:p>
        </w:tc>
      </w:tr>
      <w:tr w:rsidR="000E06A7" w:rsidTr="00AE264A">
        <w:trPr>
          <w:cantSplit/>
        </w:trPr>
        <w:tc>
          <w:tcPr>
            <w:tcW w:w="8771" w:type="dxa"/>
            <w:tcBorders>
              <w:top w:val="nil"/>
              <w:left w:val="nil"/>
              <w:bottom w:val="single" w:sz="6" w:space="0" w:color="78A22F"/>
              <w:right w:val="nil"/>
            </w:tcBorders>
            <w:shd w:val="clear" w:color="auto" w:fill="F2F2F2"/>
          </w:tcPr>
          <w:p w:rsidR="000E06A7" w:rsidRDefault="000E06A7">
            <w:pPr>
              <w:pStyle w:val="Box"/>
              <w:spacing w:before="0" w:line="120" w:lineRule="exact"/>
            </w:pPr>
          </w:p>
        </w:tc>
      </w:tr>
      <w:tr w:rsidR="000E06A7" w:rsidRPr="000863A5" w:rsidTr="00AE264A">
        <w:tc>
          <w:tcPr>
            <w:tcW w:w="8771" w:type="dxa"/>
            <w:tcBorders>
              <w:top w:val="single" w:sz="6" w:space="0" w:color="78A22F"/>
              <w:left w:val="nil"/>
              <w:bottom w:val="nil"/>
              <w:right w:val="nil"/>
            </w:tcBorders>
          </w:tcPr>
          <w:p w:rsidR="000E06A7" w:rsidRPr="00626D32" w:rsidRDefault="000E06A7" w:rsidP="00AE264A">
            <w:pPr>
              <w:pStyle w:val="BoxSpaceBelow"/>
            </w:pPr>
          </w:p>
        </w:tc>
      </w:tr>
    </w:tbl>
    <w:p w:rsidR="000E06A7" w:rsidRDefault="000E06A7" w:rsidP="000E06A7">
      <w:pPr>
        <w:pStyle w:val="BodyText"/>
      </w:pPr>
      <w:r w:rsidRPr="000E06A7">
        <w:t>Data are reported for two selected maternity AR</w:t>
      </w:r>
      <w:r w:rsidR="004D0FB7">
        <w:t>-</w:t>
      </w:r>
      <w:r w:rsidRPr="000E06A7">
        <w:t>DRGs: caesarean delivery without catastrophic or severe complications and comorbidities; and vaginal</w:t>
      </w:r>
      <w:r w:rsidR="00BC2582">
        <w:t xml:space="preserve"> delivery single uncomplicated </w:t>
      </w:r>
      <w:r>
        <w:t>(figure </w:t>
      </w:r>
      <w:r w:rsidRPr="000E06A7">
        <w:t>11.3</w:t>
      </w:r>
      <w:r w:rsidR="00F10933">
        <w:t>3</w:t>
      </w:r>
      <w:r w:rsidRPr="000E06A7">
        <w:t>).</w:t>
      </w:r>
    </w:p>
    <w:p w:rsidR="000E06A7" w:rsidRDefault="000E06A7" w:rsidP="00AE26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E06A7" w:rsidTr="00AE264A">
        <w:tc>
          <w:tcPr>
            <w:tcW w:w="8771" w:type="dxa"/>
            <w:tcBorders>
              <w:top w:val="single" w:sz="6" w:space="0" w:color="78A22F"/>
              <w:left w:val="nil"/>
              <w:bottom w:val="nil"/>
              <w:right w:val="nil"/>
            </w:tcBorders>
            <w:shd w:val="clear" w:color="auto" w:fill="auto"/>
          </w:tcPr>
          <w:p w:rsidR="000E06A7" w:rsidRPr="00176D3F" w:rsidRDefault="000E06A7" w:rsidP="004D0FB7">
            <w:pPr>
              <w:pStyle w:val="FigureTitle"/>
            </w:pPr>
            <w:r w:rsidRPr="00784A05">
              <w:rPr>
                <w:b w:val="0"/>
              </w:rPr>
              <w:t xml:space="preserve">Figure </w:t>
            </w:r>
            <w:r w:rsidR="00F10933">
              <w:rPr>
                <w:b w:val="0"/>
              </w:rPr>
              <w:t>11.</w:t>
            </w:r>
            <w:r w:rsidR="009A53E9">
              <w:rPr>
                <w:b w:val="0"/>
                <w:noProof/>
              </w:rPr>
              <w:t>33</w:t>
            </w:r>
            <w:r>
              <w:tab/>
            </w:r>
            <w:r w:rsidRPr="000E06A7">
              <w:t xml:space="preserve">Average length of stay for selected maternity-related </w:t>
            </w:r>
            <w:r w:rsidR="004D0FB7">
              <w:br/>
            </w:r>
            <w:r w:rsidRPr="000E06A7">
              <w:t>AR</w:t>
            </w:r>
            <w:r w:rsidR="004D0FB7">
              <w:t>-</w:t>
            </w:r>
            <w:r w:rsidRPr="000E06A7">
              <w:t>DRGs, public hospitals, 201</w:t>
            </w:r>
            <w:r>
              <w:t>2</w:t>
            </w:r>
            <w:r w:rsidRPr="000E06A7">
              <w:t>-1</w:t>
            </w:r>
            <w:r>
              <w:t>3</w:t>
            </w:r>
            <w:r w:rsidRPr="000E06A7">
              <w:rPr>
                <w:rStyle w:val="NoteLabel"/>
                <w:b/>
                <w:szCs w:val="20"/>
              </w:rPr>
              <w:t>a</w:t>
            </w:r>
          </w:p>
        </w:tc>
      </w:tr>
      <w:tr w:rsidR="000E06A7" w:rsidTr="00AE264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E06A7" w:rsidTr="00AE264A">
              <w:trPr>
                <w:jc w:val="center"/>
              </w:trPr>
              <w:tc>
                <w:tcPr>
                  <w:tcW w:w="5000" w:type="pct"/>
                  <w:tcBorders>
                    <w:top w:val="nil"/>
                    <w:bottom w:val="nil"/>
                  </w:tcBorders>
                </w:tcPr>
                <w:p w:rsidR="000E06A7" w:rsidRDefault="001F000D" w:rsidP="00AE264A">
                  <w:pPr>
                    <w:pStyle w:val="Figure"/>
                    <w:spacing w:before="60" w:after="60"/>
                  </w:pPr>
                  <w:r>
                    <w:rPr>
                      <w:noProof/>
                    </w:rPr>
                    <w:drawing>
                      <wp:inline distT="0" distB="0" distL="0" distR="0">
                        <wp:extent cx="5391150" cy="2705100"/>
                        <wp:effectExtent l="0" t="0" r="0" b="0"/>
                        <wp:docPr id="36" name="Picture 36" descr="Figure 11.33 Average length of stay for selected maternity-related AR-DRGs, public hospitals,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0E06A7" w:rsidRDefault="000E06A7" w:rsidP="00AE264A">
            <w:pPr>
              <w:pStyle w:val="Figure"/>
            </w:pPr>
          </w:p>
        </w:tc>
      </w:tr>
      <w:tr w:rsidR="000E06A7" w:rsidRPr="00176D3F" w:rsidTr="00AE264A">
        <w:tc>
          <w:tcPr>
            <w:tcW w:w="8771" w:type="dxa"/>
            <w:tcBorders>
              <w:top w:val="nil"/>
              <w:left w:val="nil"/>
              <w:bottom w:val="nil"/>
              <w:right w:val="nil"/>
            </w:tcBorders>
            <w:shd w:val="clear" w:color="auto" w:fill="auto"/>
          </w:tcPr>
          <w:p w:rsidR="000E06A7" w:rsidRPr="00176D3F" w:rsidRDefault="000E06A7" w:rsidP="00AE264A">
            <w:pPr>
              <w:pStyle w:val="Note"/>
            </w:pPr>
            <w:r>
              <w:rPr>
                <w:rStyle w:val="NoteLabel"/>
              </w:rPr>
              <w:t>a</w:t>
            </w:r>
            <w:r>
              <w:t xml:space="preserve"> </w:t>
            </w:r>
            <w:r w:rsidRPr="000E06A7">
              <w:t>Includes AR-DRG O01C caesarean delivery without catastrophic or severe complications and comorbidities and AR-DRG O60C vaginal delivery single uncomplicated.</w:t>
            </w:r>
          </w:p>
        </w:tc>
      </w:tr>
      <w:tr w:rsidR="000E06A7" w:rsidRPr="00176D3F" w:rsidTr="00AE264A">
        <w:tc>
          <w:tcPr>
            <w:tcW w:w="8771" w:type="dxa"/>
            <w:tcBorders>
              <w:top w:val="nil"/>
              <w:left w:val="nil"/>
              <w:bottom w:val="nil"/>
              <w:right w:val="nil"/>
            </w:tcBorders>
            <w:shd w:val="clear" w:color="auto" w:fill="auto"/>
          </w:tcPr>
          <w:p w:rsidR="000E06A7" w:rsidRPr="00176D3F" w:rsidRDefault="000E06A7" w:rsidP="00F2723D">
            <w:pPr>
              <w:pStyle w:val="Source"/>
            </w:pPr>
            <w:r w:rsidRPr="00784A05">
              <w:rPr>
                <w:i/>
              </w:rPr>
              <w:t>Data source</w:t>
            </w:r>
            <w:r w:rsidRPr="00176D3F">
              <w:t xml:space="preserve">: </w:t>
            </w:r>
            <w:r w:rsidR="00816E0B" w:rsidRPr="00816E0B">
              <w:t xml:space="preserve">AIHW (2014), </w:t>
            </w:r>
            <w:r w:rsidR="00816E0B" w:rsidRPr="00816E0B">
              <w:rPr>
                <w:i/>
              </w:rPr>
              <w:t>Australian Hospital Statistics 2012-13</w:t>
            </w:r>
            <w:r w:rsidR="00816E0B" w:rsidRPr="00816E0B">
              <w:t xml:space="preserve">, Health </w:t>
            </w:r>
            <w:r w:rsidR="009551A6">
              <w:t>Services Series No. 54, Cat no. </w:t>
            </w:r>
            <w:r w:rsidR="00816E0B" w:rsidRPr="00816E0B">
              <w:t>HSE 145</w:t>
            </w:r>
            <w:r w:rsidRPr="000E06A7">
              <w:t>; table 11A.11</w:t>
            </w:r>
            <w:r w:rsidR="00F2723D">
              <w:t>5</w:t>
            </w:r>
            <w:r w:rsidRPr="000E06A7">
              <w:t>.</w:t>
            </w:r>
          </w:p>
        </w:tc>
      </w:tr>
      <w:tr w:rsidR="000E06A7" w:rsidTr="00AE264A">
        <w:tc>
          <w:tcPr>
            <w:tcW w:w="8771" w:type="dxa"/>
            <w:tcBorders>
              <w:top w:val="nil"/>
              <w:left w:val="nil"/>
              <w:bottom w:val="single" w:sz="6" w:space="0" w:color="78A22F"/>
              <w:right w:val="nil"/>
            </w:tcBorders>
            <w:shd w:val="clear" w:color="auto" w:fill="auto"/>
          </w:tcPr>
          <w:p w:rsidR="000E06A7" w:rsidRDefault="000E06A7" w:rsidP="00AE264A">
            <w:pPr>
              <w:pStyle w:val="Figurespace"/>
            </w:pPr>
          </w:p>
        </w:tc>
      </w:tr>
      <w:tr w:rsidR="000E06A7" w:rsidRPr="000863A5" w:rsidTr="00AE264A">
        <w:tc>
          <w:tcPr>
            <w:tcW w:w="8771" w:type="dxa"/>
            <w:tcBorders>
              <w:top w:val="single" w:sz="6" w:space="0" w:color="78A22F"/>
              <w:left w:val="nil"/>
              <w:bottom w:val="nil"/>
              <w:right w:val="nil"/>
            </w:tcBorders>
          </w:tcPr>
          <w:p w:rsidR="000E06A7" w:rsidRPr="00626D32" w:rsidRDefault="000E06A7" w:rsidP="00AE264A">
            <w:pPr>
              <w:pStyle w:val="BoxSpaceBelow"/>
            </w:pPr>
          </w:p>
        </w:tc>
      </w:tr>
    </w:tbl>
    <w:p w:rsidR="000E06A7" w:rsidRDefault="000E06A7" w:rsidP="000E06A7">
      <w:pPr>
        <w:pStyle w:val="Heading3"/>
      </w:pPr>
      <w:r>
        <w:t>Outcomes</w:t>
      </w:r>
    </w:p>
    <w:p w:rsidR="000E06A7" w:rsidRDefault="000E06A7" w:rsidP="000E06A7">
      <w:pPr>
        <w:pStyle w:val="BodyText"/>
      </w:pPr>
      <w:r>
        <w:t xml:space="preserve">Outcomes are the impact of services on the status of an individual or group (while outputs are the services delivered) (see chapter 1, section 1.5). </w:t>
      </w:r>
    </w:p>
    <w:p w:rsidR="000E06A7" w:rsidRDefault="000E06A7" w:rsidP="000E06A7">
      <w:pPr>
        <w:pStyle w:val="Heading4"/>
      </w:pPr>
      <w:r>
        <w:t>Baby’s Apgar score</w:t>
      </w:r>
    </w:p>
    <w:p w:rsidR="000E06A7" w:rsidRDefault="000E06A7" w:rsidP="000E06A7">
      <w:pPr>
        <w:pStyle w:val="BodyText"/>
      </w:pPr>
      <w:r>
        <w:t>‘Baby’s Apgar score at five minutes’ is an indicator of governments’ objective to deliver maternity services that are safe and of high quality (box 11.23). The future health of babies with lower Apgar scores is often poorer than those with higher scores.</w:t>
      </w:r>
    </w:p>
    <w:p w:rsidR="000E06A7" w:rsidRDefault="000E06A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E06A7" w:rsidTr="00AE264A">
        <w:tc>
          <w:tcPr>
            <w:tcW w:w="8771" w:type="dxa"/>
            <w:tcBorders>
              <w:top w:val="single" w:sz="6" w:space="0" w:color="78A22F"/>
              <w:left w:val="nil"/>
              <w:bottom w:val="nil"/>
              <w:right w:val="nil"/>
            </w:tcBorders>
            <w:shd w:val="clear" w:color="auto" w:fill="F2F2F2"/>
          </w:tcPr>
          <w:p w:rsidR="000E06A7" w:rsidRDefault="000E06A7">
            <w:pPr>
              <w:pStyle w:val="BoxTitle"/>
            </w:pPr>
            <w:r>
              <w:rPr>
                <w:b w:val="0"/>
              </w:rPr>
              <w:t>Box 11.</w:t>
            </w:r>
            <w:r w:rsidR="009A53E9">
              <w:rPr>
                <w:b w:val="0"/>
                <w:noProof/>
              </w:rPr>
              <w:t>23</w:t>
            </w:r>
            <w:r>
              <w:tab/>
            </w:r>
            <w:r w:rsidRPr="000E06A7">
              <w:t>Baby’s Apgar score at five minutes</w:t>
            </w:r>
          </w:p>
        </w:tc>
      </w:tr>
      <w:tr w:rsidR="000E06A7" w:rsidTr="00AE264A">
        <w:trPr>
          <w:cantSplit/>
        </w:trPr>
        <w:tc>
          <w:tcPr>
            <w:tcW w:w="8771" w:type="dxa"/>
            <w:tcBorders>
              <w:top w:val="nil"/>
              <w:left w:val="nil"/>
              <w:bottom w:val="nil"/>
              <w:right w:val="nil"/>
            </w:tcBorders>
            <w:shd w:val="clear" w:color="auto" w:fill="F2F2F2"/>
          </w:tcPr>
          <w:p w:rsidR="000E06A7" w:rsidRDefault="000E06A7" w:rsidP="000E06A7">
            <w:pPr>
              <w:pStyle w:val="Box"/>
            </w:pPr>
            <w:r>
              <w:t>Baby’s Apgar score at five minutes is defined as the number of live births with an Apgar score of less than 4, at 5 minutes post-delivery, as a proportion of the total number of live births by specified birthweight categories. The Apgar score is a numerical score that indicates a baby’s condition shortly after birth. Apgar scores are based on an assessment of the baby’s heart rate, breathing, colour, muscle tone and reflex irritability</w:t>
            </w:r>
            <w:r w:rsidRPr="009B1642">
              <w:t>. Between 0 and 2 points are given for each of these five characteristics and the total score is between 0 and 1</w:t>
            </w:r>
            <w:r w:rsidR="00FD7CBA" w:rsidRPr="009B1642">
              <w:t>0</w:t>
            </w:r>
            <w:r w:rsidRPr="009B1642">
              <w:t>.</w:t>
            </w:r>
            <w:r>
              <w:t xml:space="preserve"> The Apgar score is routinely assessed at 1 and 5 minutes after birth, and subsequently at 5 minute intervals if it is still low at 5 minutes (Day et al. 1999). </w:t>
            </w:r>
          </w:p>
          <w:p w:rsidR="000E06A7" w:rsidRDefault="000E06A7" w:rsidP="000E06A7">
            <w:pPr>
              <w:pStyle w:val="Box"/>
            </w:pPr>
            <w:r>
              <w:t xml:space="preserve">A high or increasing Apgar score is desirable. </w:t>
            </w:r>
          </w:p>
          <w:p w:rsidR="000E06A7" w:rsidRDefault="000E06A7" w:rsidP="000E06A7">
            <w:pPr>
              <w:pStyle w:val="Box"/>
            </w:pPr>
            <w:r>
              <w:t xml:space="preserve">Low Apgar scores (defined as less than 4) are strongly associated with </w:t>
            </w:r>
            <w:r w:rsidR="009551A6">
              <w:t>low birthweights</w:t>
            </w:r>
            <w:r>
              <w:t>. The management of labour in hospitals does not usually affect birthweights, but can affect the prevalence of low Apgar scores for babies with similar birthweights. Apgar scores can therefore indicate relative performance within birthweight categories, although factors other than hospital maternity services can influence Apgar scores within birthweight categories — for example</w:t>
            </w:r>
            <w:r w:rsidR="009551A6">
              <w:t>,</w:t>
            </w:r>
            <w:r>
              <w:t xml:space="preserve"> antenatal care, multiple births and socioeconomic factors.</w:t>
            </w:r>
          </w:p>
          <w:p w:rsidR="000E06A7" w:rsidRDefault="000E06A7" w:rsidP="000E06A7">
            <w:pPr>
              <w:pStyle w:val="Box"/>
            </w:pPr>
            <w:r>
              <w:t>Data reported for this indicator are:</w:t>
            </w:r>
          </w:p>
          <w:p w:rsidR="000E06A7" w:rsidRDefault="000E06A7" w:rsidP="000E06A7">
            <w:pPr>
              <w:pStyle w:val="BoxListBullet"/>
            </w:pPr>
            <w:r>
              <w:t>comparable (subject to caveats) within jurisdictions over time but are not comparable across jurisdictions</w:t>
            </w:r>
          </w:p>
          <w:p w:rsidR="000E06A7" w:rsidRDefault="000E06A7" w:rsidP="000E06A7">
            <w:pPr>
              <w:pStyle w:val="BoxListBullet"/>
            </w:pPr>
            <w:r>
              <w:t>incomplete for the current reporting period. All required data were not available for Tasmania.</w:t>
            </w:r>
          </w:p>
          <w:p w:rsidR="000E06A7" w:rsidRDefault="00886C7D" w:rsidP="00886C7D">
            <w:pPr>
              <w:pStyle w:val="Box"/>
            </w:pPr>
            <w:r w:rsidRPr="00886C7D">
              <w:t>Data quality</w:t>
            </w:r>
            <w:r>
              <w:t xml:space="preserve"> information for this indicator</w:t>
            </w:r>
            <w:r w:rsidRPr="00886C7D">
              <w:t xml:space="preserve"> i</w:t>
            </w:r>
            <w:r w:rsidR="008C0550">
              <w:t>s at www.pc.gov.au</w:t>
            </w:r>
            <w:r w:rsidRPr="00886C7D">
              <w:t>/rogs/2015.</w:t>
            </w:r>
          </w:p>
        </w:tc>
      </w:tr>
      <w:tr w:rsidR="000E06A7" w:rsidTr="00AE264A">
        <w:trPr>
          <w:cantSplit/>
        </w:trPr>
        <w:tc>
          <w:tcPr>
            <w:tcW w:w="8771" w:type="dxa"/>
            <w:tcBorders>
              <w:top w:val="nil"/>
              <w:left w:val="nil"/>
              <w:bottom w:val="single" w:sz="6" w:space="0" w:color="78A22F"/>
              <w:right w:val="nil"/>
            </w:tcBorders>
            <w:shd w:val="clear" w:color="auto" w:fill="F2F2F2"/>
          </w:tcPr>
          <w:p w:rsidR="000E06A7" w:rsidRDefault="000E06A7">
            <w:pPr>
              <w:pStyle w:val="Box"/>
              <w:spacing w:before="0" w:line="120" w:lineRule="exact"/>
            </w:pPr>
          </w:p>
        </w:tc>
      </w:tr>
      <w:tr w:rsidR="000E06A7" w:rsidRPr="000863A5" w:rsidTr="00AE264A">
        <w:tc>
          <w:tcPr>
            <w:tcW w:w="8771" w:type="dxa"/>
            <w:tcBorders>
              <w:top w:val="single" w:sz="6" w:space="0" w:color="78A22F"/>
              <w:left w:val="nil"/>
              <w:bottom w:val="nil"/>
              <w:right w:val="nil"/>
            </w:tcBorders>
          </w:tcPr>
          <w:p w:rsidR="000E06A7" w:rsidRPr="00626D32" w:rsidRDefault="000E06A7" w:rsidP="00AE264A">
            <w:pPr>
              <w:pStyle w:val="BoxSpaceBelow"/>
            </w:pPr>
          </w:p>
        </w:tc>
      </w:tr>
    </w:tbl>
    <w:p w:rsidR="000E06A7" w:rsidRDefault="000E06A7" w:rsidP="000E06A7">
      <w:pPr>
        <w:pStyle w:val="BodyText"/>
      </w:pPr>
      <w:r w:rsidRPr="000E06A7">
        <w:t xml:space="preserve">‘Low’ (less than 4) Apgar scores for babies by birthweight category are </w:t>
      </w:r>
      <w:r w:rsidR="009551A6">
        <w:t>reported</w:t>
      </w:r>
      <w:r w:rsidR="00BC2582">
        <w:t xml:space="preserve"> in table </w:t>
      </w:r>
      <w:r w:rsidRPr="000E06A7">
        <w:t>11.11. The full range of Apgar scores for 200</w:t>
      </w:r>
      <w:r w:rsidR="00BC2582">
        <w:t>4</w:t>
      </w:r>
      <w:r w:rsidRPr="000E06A7">
        <w:t xml:space="preserve"> to 201</w:t>
      </w:r>
      <w:r w:rsidR="00BC2582">
        <w:t>3</w:t>
      </w:r>
      <w:r w:rsidRPr="000E06A7">
        <w:t xml:space="preserve"> are reported in table 11A.11</w:t>
      </w:r>
      <w:r w:rsidR="00F2723D">
        <w:t>6</w:t>
      </w:r>
      <w:r w:rsidRPr="000E06A7">
        <w:t>.</w:t>
      </w:r>
    </w:p>
    <w:p w:rsidR="000E06A7" w:rsidRDefault="000E06A7" w:rsidP="00AE264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E06A7" w:rsidTr="00AE264A">
        <w:tc>
          <w:tcPr>
            <w:tcW w:w="8771" w:type="dxa"/>
            <w:tcBorders>
              <w:top w:val="single" w:sz="6" w:space="0" w:color="78A22F"/>
              <w:left w:val="nil"/>
              <w:bottom w:val="nil"/>
              <w:right w:val="nil"/>
            </w:tcBorders>
            <w:shd w:val="clear" w:color="auto" w:fill="auto"/>
          </w:tcPr>
          <w:p w:rsidR="000E06A7" w:rsidRPr="00784A05" w:rsidRDefault="000E06A7" w:rsidP="000E06A7">
            <w:pPr>
              <w:pStyle w:val="TableTitle"/>
            </w:pPr>
            <w:r>
              <w:rPr>
                <w:b w:val="0"/>
              </w:rPr>
              <w:t>Table 11.</w:t>
            </w:r>
            <w:r w:rsidR="009A53E9">
              <w:rPr>
                <w:b w:val="0"/>
                <w:noProof/>
              </w:rPr>
              <w:t>11</w:t>
            </w:r>
            <w:r>
              <w:tab/>
            </w:r>
            <w:r w:rsidRPr="000E06A7">
              <w:t>Live births with an Apgar score of less than 4, 5 minutes post delivery, public hospitals, 201</w:t>
            </w:r>
            <w:r>
              <w:t>3</w:t>
            </w:r>
          </w:p>
        </w:tc>
      </w:tr>
      <w:tr w:rsidR="000E06A7" w:rsidTr="00AE264A">
        <w:trPr>
          <w:cantSplit/>
        </w:trPr>
        <w:tc>
          <w:tcPr>
            <w:tcW w:w="8771" w:type="dxa"/>
            <w:tcBorders>
              <w:top w:val="nil"/>
              <w:left w:val="nil"/>
              <w:bottom w:val="nil"/>
              <w:right w:val="nil"/>
            </w:tcBorders>
            <w:shd w:val="clear" w:color="auto" w:fill="auto"/>
          </w:tcPr>
          <w:tbl>
            <w:tblPr>
              <w:tblW w:w="4998" w:type="pct"/>
              <w:tblCellMar>
                <w:top w:w="28" w:type="dxa"/>
                <w:left w:w="0" w:type="dxa"/>
                <w:right w:w="0" w:type="dxa"/>
              </w:tblCellMar>
              <w:tblLook w:val="0000" w:firstRow="0" w:lastRow="0" w:firstColumn="0" w:lastColumn="0" w:noHBand="0" w:noVBand="0"/>
            </w:tblPr>
            <w:tblGrid>
              <w:gridCol w:w="1395"/>
              <w:gridCol w:w="445"/>
              <w:gridCol w:w="833"/>
              <w:gridCol w:w="852"/>
              <w:gridCol w:w="852"/>
              <w:gridCol w:w="852"/>
              <w:gridCol w:w="986"/>
              <w:gridCol w:w="708"/>
              <w:gridCol w:w="852"/>
              <w:gridCol w:w="709"/>
            </w:tblGrid>
            <w:tr w:rsidR="009B4896" w:rsidTr="009B4896">
              <w:tc>
                <w:tcPr>
                  <w:tcW w:w="823" w:type="pct"/>
                  <w:tcBorders>
                    <w:top w:val="single" w:sz="6" w:space="0" w:color="BFBFBF"/>
                    <w:bottom w:val="single" w:sz="6" w:space="0" w:color="BFBFBF"/>
                  </w:tcBorders>
                  <w:shd w:val="clear" w:color="auto" w:fill="auto"/>
                  <w:tcMar>
                    <w:top w:w="28" w:type="dxa"/>
                  </w:tcMar>
                </w:tcPr>
                <w:p w:rsidR="009B4896" w:rsidRDefault="009B4896" w:rsidP="00AE264A">
                  <w:pPr>
                    <w:pStyle w:val="TableColumnHeading"/>
                    <w:jc w:val="left"/>
                  </w:pPr>
                  <w:r w:rsidRPr="006E1461">
                    <w:t>Birthweight (grams)</w:t>
                  </w:r>
                </w:p>
              </w:tc>
              <w:tc>
                <w:tcPr>
                  <w:tcW w:w="262" w:type="pct"/>
                  <w:tcBorders>
                    <w:top w:val="single" w:sz="6" w:space="0" w:color="BFBFBF"/>
                    <w:bottom w:val="single" w:sz="6" w:space="0" w:color="BFBFBF"/>
                  </w:tcBorders>
                  <w:vAlign w:val="bottom"/>
                </w:tcPr>
                <w:p w:rsidR="009B4896" w:rsidRDefault="009B4896" w:rsidP="00A52A23">
                  <w:pPr>
                    <w:pStyle w:val="TableColumnHeading"/>
                  </w:pPr>
                  <w:r>
                    <w:t>Unit</w:t>
                  </w:r>
                </w:p>
              </w:tc>
              <w:tc>
                <w:tcPr>
                  <w:tcW w:w="491" w:type="pct"/>
                  <w:tcBorders>
                    <w:top w:val="single" w:sz="6" w:space="0" w:color="BFBFBF"/>
                    <w:bottom w:val="single" w:sz="6" w:space="0" w:color="BFBFBF"/>
                  </w:tcBorders>
                  <w:vAlign w:val="bottom"/>
                </w:tcPr>
                <w:p w:rsidR="009B4896" w:rsidRDefault="009B4896" w:rsidP="00AE264A">
                  <w:pPr>
                    <w:pStyle w:val="TableColumnHeading"/>
                  </w:pPr>
                  <w:r>
                    <w:t>NSW</w:t>
                  </w:r>
                </w:p>
              </w:tc>
              <w:tc>
                <w:tcPr>
                  <w:tcW w:w="502" w:type="pct"/>
                  <w:tcBorders>
                    <w:top w:val="single" w:sz="6" w:space="0" w:color="BFBFBF"/>
                    <w:bottom w:val="single" w:sz="6" w:space="0" w:color="BFBFBF"/>
                  </w:tcBorders>
                  <w:vAlign w:val="bottom"/>
                </w:tcPr>
                <w:p w:rsidR="009B4896" w:rsidRDefault="009B4896" w:rsidP="00AE264A">
                  <w:pPr>
                    <w:pStyle w:val="TableColumnHeading"/>
                  </w:pPr>
                  <w:r>
                    <w:t>Vic</w:t>
                  </w:r>
                  <w:r w:rsidRPr="004E127C">
                    <w:rPr>
                      <w:rStyle w:val="NoteLabel"/>
                      <w:i w:val="0"/>
                    </w:rPr>
                    <w:t>a</w:t>
                  </w:r>
                </w:p>
              </w:tc>
              <w:tc>
                <w:tcPr>
                  <w:tcW w:w="502" w:type="pct"/>
                  <w:tcBorders>
                    <w:top w:val="single" w:sz="6" w:space="0" w:color="BFBFBF"/>
                    <w:bottom w:val="single" w:sz="6" w:space="0" w:color="BFBFBF"/>
                  </w:tcBorders>
                  <w:vAlign w:val="bottom"/>
                </w:tcPr>
                <w:p w:rsidR="009B4896" w:rsidRDefault="009B4896" w:rsidP="00AE264A">
                  <w:pPr>
                    <w:pStyle w:val="TableColumnHeading"/>
                  </w:pPr>
                  <w:r>
                    <w:t>Qld</w:t>
                  </w:r>
                </w:p>
              </w:tc>
              <w:tc>
                <w:tcPr>
                  <w:tcW w:w="502" w:type="pct"/>
                  <w:tcBorders>
                    <w:top w:val="single" w:sz="6" w:space="0" w:color="BFBFBF"/>
                    <w:bottom w:val="single" w:sz="6" w:space="0" w:color="BFBFBF"/>
                  </w:tcBorders>
                  <w:vAlign w:val="bottom"/>
                </w:tcPr>
                <w:p w:rsidR="009B4896" w:rsidRDefault="009B4896" w:rsidP="006E1461">
                  <w:pPr>
                    <w:pStyle w:val="TableColumnHeading"/>
                  </w:pPr>
                  <w:r>
                    <w:t>WA</w:t>
                  </w:r>
                  <w:r w:rsidR="009551A6">
                    <w:rPr>
                      <w:rStyle w:val="NoteLabel"/>
                      <w:i w:val="0"/>
                    </w:rPr>
                    <w:t>a</w:t>
                  </w:r>
                </w:p>
              </w:tc>
              <w:tc>
                <w:tcPr>
                  <w:tcW w:w="581" w:type="pct"/>
                  <w:tcBorders>
                    <w:top w:val="single" w:sz="6" w:space="0" w:color="BFBFBF"/>
                    <w:bottom w:val="single" w:sz="6" w:space="0" w:color="BFBFBF"/>
                  </w:tcBorders>
                  <w:vAlign w:val="bottom"/>
                </w:tcPr>
                <w:p w:rsidR="009B4896" w:rsidRDefault="009B4896" w:rsidP="006E1461">
                  <w:pPr>
                    <w:pStyle w:val="TableColumnHeading"/>
                  </w:pPr>
                  <w:r>
                    <w:t>SA</w:t>
                  </w:r>
                  <w:r w:rsidR="009551A6">
                    <w:rPr>
                      <w:rStyle w:val="NoteLabel"/>
                      <w:i w:val="0"/>
                    </w:rPr>
                    <w:t>a</w:t>
                  </w:r>
                </w:p>
              </w:tc>
              <w:tc>
                <w:tcPr>
                  <w:tcW w:w="417" w:type="pct"/>
                  <w:tcBorders>
                    <w:top w:val="single" w:sz="6" w:space="0" w:color="BFBFBF"/>
                    <w:bottom w:val="single" w:sz="6" w:space="0" w:color="BFBFBF"/>
                  </w:tcBorders>
                  <w:vAlign w:val="bottom"/>
                </w:tcPr>
                <w:p w:rsidR="009B4896" w:rsidRDefault="009B4896" w:rsidP="00AE264A">
                  <w:pPr>
                    <w:pStyle w:val="TableColumnHeading"/>
                  </w:pPr>
                  <w:r>
                    <w:t>Tas</w:t>
                  </w:r>
                </w:p>
              </w:tc>
              <w:tc>
                <w:tcPr>
                  <w:tcW w:w="502" w:type="pct"/>
                  <w:tcBorders>
                    <w:top w:val="single" w:sz="6" w:space="0" w:color="BFBFBF"/>
                    <w:bottom w:val="single" w:sz="6" w:space="0" w:color="BFBFBF"/>
                  </w:tcBorders>
                  <w:vAlign w:val="bottom"/>
                </w:tcPr>
                <w:p w:rsidR="009B4896" w:rsidRDefault="009B4896" w:rsidP="006E1461">
                  <w:pPr>
                    <w:pStyle w:val="TableColumnHeading"/>
                  </w:pPr>
                  <w:r>
                    <w:t>ACT</w:t>
                  </w:r>
                  <w:r w:rsidR="009551A6">
                    <w:rPr>
                      <w:rStyle w:val="NoteLabel"/>
                      <w:i w:val="0"/>
                    </w:rPr>
                    <w:t>a, b</w:t>
                  </w:r>
                </w:p>
              </w:tc>
              <w:tc>
                <w:tcPr>
                  <w:tcW w:w="418" w:type="pct"/>
                  <w:tcBorders>
                    <w:top w:val="single" w:sz="6" w:space="0" w:color="BFBFBF"/>
                    <w:bottom w:val="single" w:sz="6" w:space="0" w:color="BFBFBF"/>
                  </w:tcBorders>
                  <w:shd w:val="clear" w:color="auto" w:fill="auto"/>
                  <w:tcMar>
                    <w:top w:w="28" w:type="dxa"/>
                  </w:tcMar>
                  <w:vAlign w:val="bottom"/>
                </w:tcPr>
                <w:p w:rsidR="009B4896" w:rsidRDefault="009B4896" w:rsidP="00AE264A">
                  <w:pPr>
                    <w:pStyle w:val="TableColumnHeading"/>
                  </w:pPr>
                  <w:r>
                    <w:t>NT</w:t>
                  </w:r>
                </w:p>
              </w:tc>
            </w:tr>
            <w:tr w:rsidR="009B4896" w:rsidTr="009B4896">
              <w:tc>
                <w:tcPr>
                  <w:tcW w:w="823" w:type="pct"/>
                  <w:tcBorders>
                    <w:top w:val="single" w:sz="6" w:space="0" w:color="BFBFBF"/>
                  </w:tcBorders>
                </w:tcPr>
                <w:p w:rsidR="009B4896" w:rsidRDefault="009B4896" w:rsidP="00AE264A">
                  <w:pPr>
                    <w:pStyle w:val="TableUnitsRow"/>
                    <w:jc w:val="left"/>
                  </w:pPr>
                  <w:r>
                    <w:t>Less than 1500</w:t>
                  </w:r>
                </w:p>
              </w:tc>
              <w:tc>
                <w:tcPr>
                  <w:tcW w:w="262" w:type="pct"/>
                  <w:tcBorders>
                    <w:top w:val="single" w:sz="6" w:space="0" w:color="BFBFBF"/>
                  </w:tcBorders>
                </w:tcPr>
                <w:p w:rsidR="009B4896" w:rsidRDefault="009B4896" w:rsidP="00AE264A">
                  <w:pPr>
                    <w:pStyle w:val="TableUnitsRow"/>
                  </w:pPr>
                  <w:r>
                    <w:t>no.</w:t>
                  </w:r>
                </w:p>
              </w:tc>
              <w:tc>
                <w:tcPr>
                  <w:tcW w:w="491" w:type="pct"/>
                  <w:tcBorders>
                    <w:top w:val="single" w:sz="6" w:space="0" w:color="BFBFBF"/>
                  </w:tcBorders>
                  <w:vAlign w:val="bottom"/>
                </w:tcPr>
                <w:p w:rsidR="009B4896" w:rsidRPr="009B4896" w:rsidRDefault="009B4896" w:rsidP="009B4896">
                  <w:pPr>
                    <w:pStyle w:val="TableBodyText"/>
                  </w:pPr>
                  <w:r w:rsidRPr="009B4896">
                    <w:t xml:space="preserve">  846</w:t>
                  </w:r>
                </w:p>
              </w:tc>
              <w:tc>
                <w:tcPr>
                  <w:tcW w:w="502" w:type="pct"/>
                  <w:tcBorders>
                    <w:top w:val="single" w:sz="6" w:space="0" w:color="BFBFBF"/>
                  </w:tcBorders>
                  <w:vAlign w:val="bottom"/>
                </w:tcPr>
                <w:p w:rsidR="009B4896" w:rsidRPr="009B4896" w:rsidRDefault="009B4896" w:rsidP="009B4896">
                  <w:pPr>
                    <w:pStyle w:val="TableBodyText"/>
                  </w:pPr>
                  <w:r w:rsidRPr="009B4896">
                    <w:t xml:space="preserve">  726</w:t>
                  </w:r>
                </w:p>
              </w:tc>
              <w:tc>
                <w:tcPr>
                  <w:tcW w:w="502" w:type="pct"/>
                  <w:tcBorders>
                    <w:top w:val="single" w:sz="6" w:space="0" w:color="BFBFBF"/>
                  </w:tcBorders>
                  <w:vAlign w:val="bottom"/>
                </w:tcPr>
                <w:p w:rsidR="009B4896" w:rsidRPr="009B4896" w:rsidRDefault="009B4896" w:rsidP="009B4896">
                  <w:pPr>
                    <w:pStyle w:val="TableBodyText"/>
                  </w:pPr>
                  <w:r w:rsidRPr="009B4896">
                    <w:t xml:space="preserve">  544</w:t>
                  </w:r>
                </w:p>
              </w:tc>
              <w:tc>
                <w:tcPr>
                  <w:tcW w:w="502" w:type="pct"/>
                  <w:tcBorders>
                    <w:top w:val="single" w:sz="6" w:space="0" w:color="BFBFBF"/>
                  </w:tcBorders>
                  <w:vAlign w:val="bottom"/>
                </w:tcPr>
                <w:p w:rsidR="009B4896" w:rsidRPr="009B4896" w:rsidRDefault="009B4896" w:rsidP="009B4896">
                  <w:pPr>
                    <w:pStyle w:val="TableBodyText"/>
                  </w:pPr>
                  <w:r w:rsidRPr="009B4896">
                    <w:t xml:space="preserve">  294</w:t>
                  </w:r>
                </w:p>
              </w:tc>
              <w:tc>
                <w:tcPr>
                  <w:tcW w:w="581" w:type="pct"/>
                  <w:tcBorders>
                    <w:top w:val="single" w:sz="6" w:space="0" w:color="BFBFBF"/>
                  </w:tcBorders>
                  <w:vAlign w:val="bottom"/>
                </w:tcPr>
                <w:p w:rsidR="009B4896" w:rsidRPr="009B4896" w:rsidRDefault="009B4896" w:rsidP="009B4896">
                  <w:pPr>
                    <w:pStyle w:val="TableBodyText"/>
                  </w:pPr>
                  <w:r w:rsidRPr="009B4896">
                    <w:t xml:space="preserve">  225</w:t>
                  </w:r>
                </w:p>
              </w:tc>
              <w:tc>
                <w:tcPr>
                  <w:tcW w:w="417" w:type="pct"/>
                  <w:tcBorders>
                    <w:top w:val="single" w:sz="6" w:space="0" w:color="BFBFBF"/>
                  </w:tcBorders>
                  <w:vAlign w:val="bottom"/>
                </w:tcPr>
                <w:p w:rsidR="009B4896" w:rsidRPr="009B4896" w:rsidRDefault="009B4896" w:rsidP="009B4896">
                  <w:pPr>
                    <w:pStyle w:val="TableBodyText"/>
                  </w:pPr>
                  <w:r w:rsidRPr="009B4896">
                    <w:t>na</w:t>
                  </w:r>
                </w:p>
              </w:tc>
              <w:tc>
                <w:tcPr>
                  <w:tcW w:w="502" w:type="pct"/>
                  <w:tcBorders>
                    <w:top w:val="single" w:sz="6" w:space="0" w:color="BFBFBF"/>
                  </w:tcBorders>
                  <w:vAlign w:val="bottom"/>
                </w:tcPr>
                <w:p w:rsidR="009B4896" w:rsidRPr="009B4896" w:rsidRDefault="009B4896" w:rsidP="009B4896">
                  <w:pPr>
                    <w:pStyle w:val="TableBodyText"/>
                  </w:pPr>
                  <w:r w:rsidRPr="009B4896">
                    <w:t xml:space="preserve">  80</w:t>
                  </w:r>
                </w:p>
              </w:tc>
              <w:tc>
                <w:tcPr>
                  <w:tcW w:w="418" w:type="pct"/>
                  <w:tcBorders>
                    <w:top w:val="single" w:sz="6" w:space="0" w:color="BFBFBF"/>
                  </w:tcBorders>
                  <w:vAlign w:val="bottom"/>
                </w:tcPr>
                <w:p w:rsidR="009B4896" w:rsidRPr="009B4896" w:rsidRDefault="009B4896" w:rsidP="009B4896">
                  <w:pPr>
                    <w:pStyle w:val="TableBodyText"/>
                  </w:pPr>
                  <w:r w:rsidRPr="009B4896">
                    <w:t xml:space="preserve">  50</w:t>
                  </w:r>
                </w:p>
              </w:tc>
            </w:tr>
            <w:tr w:rsidR="009B4896" w:rsidTr="009B4896">
              <w:tc>
                <w:tcPr>
                  <w:tcW w:w="823" w:type="pct"/>
                </w:tcPr>
                <w:p w:rsidR="009B4896" w:rsidRDefault="009B4896" w:rsidP="006E1461">
                  <w:pPr>
                    <w:pStyle w:val="TableBodyText"/>
                    <w:ind w:left="120"/>
                    <w:jc w:val="left"/>
                  </w:pPr>
                  <w:r>
                    <w:t>Low Apgar</w:t>
                  </w:r>
                </w:p>
              </w:tc>
              <w:tc>
                <w:tcPr>
                  <w:tcW w:w="262" w:type="pct"/>
                </w:tcPr>
                <w:p w:rsidR="009B4896" w:rsidRDefault="009B4896" w:rsidP="00AE264A">
                  <w:pPr>
                    <w:pStyle w:val="TableBodyText"/>
                  </w:pPr>
                  <w:r>
                    <w:t>%</w:t>
                  </w:r>
                </w:p>
              </w:tc>
              <w:tc>
                <w:tcPr>
                  <w:tcW w:w="491" w:type="pct"/>
                  <w:vAlign w:val="bottom"/>
                </w:tcPr>
                <w:p w:rsidR="009B4896" w:rsidRPr="009B4896" w:rsidRDefault="009B4896" w:rsidP="009B4896">
                  <w:pPr>
                    <w:pStyle w:val="TableBodyText"/>
                  </w:pPr>
                  <w:r w:rsidRPr="009B4896">
                    <w:t xml:space="preserve">  15.1</w:t>
                  </w:r>
                </w:p>
              </w:tc>
              <w:tc>
                <w:tcPr>
                  <w:tcW w:w="502" w:type="pct"/>
                  <w:vAlign w:val="bottom"/>
                </w:tcPr>
                <w:p w:rsidR="009B4896" w:rsidRPr="009B4896" w:rsidRDefault="009B4896" w:rsidP="009B4896">
                  <w:pPr>
                    <w:pStyle w:val="TableBodyText"/>
                  </w:pPr>
                  <w:r w:rsidRPr="009B4896">
                    <w:t xml:space="preserve">  18.7</w:t>
                  </w:r>
                </w:p>
              </w:tc>
              <w:tc>
                <w:tcPr>
                  <w:tcW w:w="502" w:type="pct"/>
                  <w:vAlign w:val="bottom"/>
                </w:tcPr>
                <w:p w:rsidR="009B4896" w:rsidRPr="009B4896" w:rsidRDefault="009B4896" w:rsidP="009B4896">
                  <w:pPr>
                    <w:pStyle w:val="TableBodyText"/>
                  </w:pPr>
                  <w:r w:rsidRPr="009B4896">
                    <w:t xml:space="preserve">  18.6</w:t>
                  </w:r>
                </w:p>
              </w:tc>
              <w:tc>
                <w:tcPr>
                  <w:tcW w:w="502" w:type="pct"/>
                  <w:vAlign w:val="bottom"/>
                </w:tcPr>
                <w:p w:rsidR="009B4896" w:rsidRPr="009B4896" w:rsidRDefault="009B4896" w:rsidP="009B4896">
                  <w:pPr>
                    <w:pStyle w:val="TableBodyText"/>
                  </w:pPr>
                  <w:r w:rsidRPr="009B4896">
                    <w:t xml:space="preserve">  5.4</w:t>
                  </w:r>
                </w:p>
              </w:tc>
              <w:tc>
                <w:tcPr>
                  <w:tcW w:w="581" w:type="pct"/>
                  <w:vAlign w:val="bottom"/>
                </w:tcPr>
                <w:p w:rsidR="009B4896" w:rsidRPr="009B4896" w:rsidRDefault="009B4896" w:rsidP="009B4896">
                  <w:pPr>
                    <w:pStyle w:val="TableBodyText"/>
                  </w:pPr>
                  <w:r w:rsidRPr="009B4896">
                    <w:t xml:space="preserve">  8.0</w:t>
                  </w:r>
                </w:p>
              </w:tc>
              <w:tc>
                <w:tcPr>
                  <w:tcW w:w="417" w:type="pct"/>
                  <w:vAlign w:val="bottom"/>
                </w:tcPr>
                <w:p w:rsidR="009B4896" w:rsidRPr="009B4896" w:rsidRDefault="002333C8" w:rsidP="009B4896">
                  <w:pPr>
                    <w:pStyle w:val="TableBodyText"/>
                  </w:pPr>
                  <w:r>
                    <w:t>na</w:t>
                  </w:r>
                </w:p>
              </w:tc>
              <w:tc>
                <w:tcPr>
                  <w:tcW w:w="502" w:type="pct"/>
                  <w:vAlign w:val="bottom"/>
                </w:tcPr>
                <w:p w:rsidR="009B4896" w:rsidRPr="009B4896" w:rsidRDefault="009B4896" w:rsidP="009B4896">
                  <w:pPr>
                    <w:pStyle w:val="TableBodyText"/>
                  </w:pPr>
                  <w:r w:rsidRPr="009B4896">
                    <w:t xml:space="preserve">  13.8</w:t>
                  </w:r>
                </w:p>
              </w:tc>
              <w:tc>
                <w:tcPr>
                  <w:tcW w:w="418" w:type="pct"/>
                  <w:vAlign w:val="bottom"/>
                </w:tcPr>
                <w:p w:rsidR="009B4896" w:rsidRPr="009B4896" w:rsidRDefault="009B4896" w:rsidP="009B4896">
                  <w:pPr>
                    <w:pStyle w:val="TableBodyText"/>
                  </w:pPr>
                  <w:r w:rsidRPr="009B4896">
                    <w:t xml:space="preserve">  26.0</w:t>
                  </w:r>
                </w:p>
              </w:tc>
            </w:tr>
            <w:tr w:rsidR="009B4896" w:rsidTr="009B4896">
              <w:tc>
                <w:tcPr>
                  <w:tcW w:w="823" w:type="pct"/>
                </w:tcPr>
                <w:p w:rsidR="009B4896" w:rsidRDefault="009B4896" w:rsidP="00AE264A">
                  <w:pPr>
                    <w:pStyle w:val="TableBodyText"/>
                    <w:jc w:val="left"/>
                  </w:pPr>
                  <w:r>
                    <w:t>1500-1999</w:t>
                  </w:r>
                </w:p>
              </w:tc>
              <w:tc>
                <w:tcPr>
                  <w:tcW w:w="262" w:type="pct"/>
                </w:tcPr>
                <w:p w:rsidR="009B4896" w:rsidRDefault="009B4896" w:rsidP="00AE264A">
                  <w:pPr>
                    <w:pStyle w:val="TableUnitsRow"/>
                  </w:pPr>
                  <w:r>
                    <w:t>no.</w:t>
                  </w:r>
                </w:p>
              </w:tc>
              <w:tc>
                <w:tcPr>
                  <w:tcW w:w="491" w:type="pct"/>
                  <w:vAlign w:val="bottom"/>
                </w:tcPr>
                <w:p w:rsidR="009B4896" w:rsidRPr="009B4896" w:rsidRDefault="009B4896" w:rsidP="009B4896">
                  <w:pPr>
                    <w:pStyle w:val="TableBodyText"/>
                  </w:pPr>
                  <w:r w:rsidRPr="009B4896">
                    <w:t xml:space="preserve">  965</w:t>
                  </w:r>
                </w:p>
              </w:tc>
              <w:tc>
                <w:tcPr>
                  <w:tcW w:w="502" w:type="pct"/>
                  <w:vAlign w:val="bottom"/>
                </w:tcPr>
                <w:p w:rsidR="009B4896" w:rsidRPr="009B4896" w:rsidRDefault="009B4896" w:rsidP="009B4896">
                  <w:pPr>
                    <w:pStyle w:val="TableBodyText"/>
                  </w:pPr>
                  <w:r w:rsidRPr="009B4896">
                    <w:t xml:space="preserve">  757</w:t>
                  </w:r>
                </w:p>
              </w:tc>
              <w:tc>
                <w:tcPr>
                  <w:tcW w:w="502" w:type="pct"/>
                  <w:vAlign w:val="bottom"/>
                </w:tcPr>
                <w:p w:rsidR="009B4896" w:rsidRPr="009B4896" w:rsidRDefault="009B4896" w:rsidP="009B4896">
                  <w:pPr>
                    <w:pStyle w:val="TableBodyText"/>
                  </w:pPr>
                  <w:r w:rsidRPr="009B4896">
                    <w:t xml:space="preserve">  648</w:t>
                  </w:r>
                </w:p>
              </w:tc>
              <w:tc>
                <w:tcPr>
                  <w:tcW w:w="502" w:type="pct"/>
                  <w:vAlign w:val="bottom"/>
                </w:tcPr>
                <w:p w:rsidR="009B4896" w:rsidRPr="009B4896" w:rsidRDefault="009B4896" w:rsidP="009B4896">
                  <w:pPr>
                    <w:pStyle w:val="TableBodyText"/>
                  </w:pPr>
                  <w:r w:rsidRPr="009B4896">
                    <w:t xml:space="preserve">  374</w:t>
                  </w:r>
                </w:p>
              </w:tc>
              <w:tc>
                <w:tcPr>
                  <w:tcW w:w="581" w:type="pct"/>
                  <w:vAlign w:val="bottom"/>
                </w:tcPr>
                <w:p w:rsidR="009B4896" w:rsidRPr="009B4896" w:rsidRDefault="009B4896" w:rsidP="009B4896">
                  <w:pPr>
                    <w:pStyle w:val="TableBodyText"/>
                  </w:pPr>
                  <w:r w:rsidRPr="009B4896">
                    <w:t xml:space="preserve">  297</w:t>
                  </w:r>
                </w:p>
              </w:tc>
              <w:tc>
                <w:tcPr>
                  <w:tcW w:w="417" w:type="pct"/>
                  <w:vAlign w:val="bottom"/>
                </w:tcPr>
                <w:p w:rsidR="009B4896" w:rsidRPr="009B4896" w:rsidRDefault="009B4896" w:rsidP="009B4896">
                  <w:pPr>
                    <w:pStyle w:val="TableBodyText"/>
                  </w:pPr>
                  <w:r w:rsidRPr="009B4896">
                    <w:t>na</w:t>
                  </w:r>
                </w:p>
              </w:tc>
              <w:tc>
                <w:tcPr>
                  <w:tcW w:w="502" w:type="pct"/>
                  <w:vAlign w:val="bottom"/>
                </w:tcPr>
                <w:p w:rsidR="009B4896" w:rsidRPr="009B4896" w:rsidRDefault="009B4896" w:rsidP="009B4896">
                  <w:pPr>
                    <w:pStyle w:val="TableBodyText"/>
                  </w:pPr>
                  <w:r w:rsidRPr="009B4896">
                    <w:t xml:space="preserve">  70</w:t>
                  </w:r>
                </w:p>
              </w:tc>
              <w:tc>
                <w:tcPr>
                  <w:tcW w:w="418" w:type="pct"/>
                  <w:vAlign w:val="bottom"/>
                </w:tcPr>
                <w:p w:rsidR="009B4896" w:rsidRPr="009B4896" w:rsidRDefault="009B4896" w:rsidP="009B4896">
                  <w:pPr>
                    <w:pStyle w:val="TableBodyText"/>
                  </w:pPr>
                  <w:r w:rsidRPr="009B4896">
                    <w:t xml:space="preserve">  64</w:t>
                  </w:r>
                </w:p>
              </w:tc>
            </w:tr>
            <w:tr w:rsidR="009B4896" w:rsidTr="009B4896">
              <w:tc>
                <w:tcPr>
                  <w:tcW w:w="823" w:type="pct"/>
                </w:tcPr>
                <w:p w:rsidR="009B4896" w:rsidRDefault="009B4896" w:rsidP="006E1461">
                  <w:pPr>
                    <w:pStyle w:val="TableBodyText"/>
                    <w:ind w:left="120"/>
                    <w:jc w:val="left"/>
                  </w:pPr>
                  <w:r>
                    <w:t>Low Apgar</w:t>
                  </w:r>
                </w:p>
              </w:tc>
              <w:tc>
                <w:tcPr>
                  <w:tcW w:w="262" w:type="pct"/>
                </w:tcPr>
                <w:p w:rsidR="009B4896" w:rsidRDefault="009B4896" w:rsidP="00AE264A">
                  <w:pPr>
                    <w:pStyle w:val="TableBodyText"/>
                  </w:pPr>
                  <w:r>
                    <w:t>%</w:t>
                  </w:r>
                </w:p>
              </w:tc>
              <w:tc>
                <w:tcPr>
                  <w:tcW w:w="491" w:type="pct"/>
                  <w:vAlign w:val="bottom"/>
                </w:tcPr>
                <w:p w:rsidR="009B4896" w:rsidRPr="009B4896" w:rsidRDefault="009B4896" w:rsidP="009B4896">
                  <w:pPr>
                    <w:pStyle w:val="TableBodyText"/>
                  </w:pPr>
                  <w:r w:rsidRPr="009B4896">
                    <w:t xml:space="preserve">  1.7</w:t>
                  </w:r>
                </w:p>
              </w:tc>
              <w:tc>
                <w:tcPr>
                  <w:tcW w:w="502" w:type="pct"/>
                  <w:vAlign w:val="bottom"/>
                </w:tcPr>
                <w:p w:rsidR="009B4896" w:rsidRPr="009B4896" w:rsidRDefault="009B4896" w:rsidP="009B4896">
                  <w:pPr>
                    <w:pStyle w:val="TableBodyText"/>
                  </w:pPr>
                  <w:r w:rsidRPr="009B4896">
                    <w:t xml:space="preserve">  1.3</w:t>
                  </w:r>
                </w:p>
              </w:tc>
              <w:tc>
                <w:tcPr>
                  <w:tcW w:w="502" w:type="pct"/>
                  <w:vAlign w:val="bottom"/>
                </w:tcPr>
                <w:p w:rsidR="009B4896" w:rsidRPr="009B4896" w:rsidRDefault="009B4896" w:rsidP="009B4896">
                  <w:pPr>
                    <w:pStyle w:val="TableBodyText"/>
                  </w:pPr>
                  <w:r w:rsidRPr="009B4896">
                    <w:t xml:space="preserve">  1.5</w:t>
                  </w:r>
                </w:p>
              </w:tc>
              <w:tc>
                <w:tcPr>
                  <w:tcW w:w="502" w:type="pct"/>
                  <w:vAlign w:val="bottom"/>
                </w:tcPr>
                <w:p w:rsidR="009B4896" w:rsidRPr="009B4896" w:rsidRDefault="009B4896" w:rsidP="009B4896">
                  <w:pPr>
                    <w:pStyle w:val="TableBodyText"/>
                  </w:pPr>
                  <w:r w:rsidRPr="009B4896">
                    <w:t xml:space="preserve">  1.1</w:t>
                  </w:r>
                </w:p>
              </w:tc>
              <w:tc>
                <w:tcPr>
                  <w:tcW w:w="581" w:type="pct"/>
                  <w:vAlign w:val="bottom"/>
                </w:tcPr>
                <w:p w:rsidR="009B4896" w:rsidRPr="009B4896" w:rsidRDefault="009B4896" w:rsidP="009B4896">
                  <w:pPr>
                    <w:pStyle w:val="TableBodyText"/>
                  </w:pPr>
                  <w:r w:rsidRPr="009B4896">
                    <w:t xml:space="preserve">  0.6</w:t>
                  </w:r>
                </w:p>
              </w:tc>
              <w:tc>
                <w:tcPr>
                  <w:tcW w:w="417" w:type="pct"/>
                  <w:vAlign w:val="bottom"/>
                </w:tcPr>
                <w:p w:rsidR="009B4896" w:rsidRPr="009B4896" w:rsidRDefault="002333C8" w:rsidP="009B4896">
                  <w:pPr>
                    <w:pStyle w:val="TableBodyText"/>
                  </w:pPr>
                  <w:r>
                    <w:t>na</w:t>
                  </w:r>
                </w:p>
              </w:tc>
              <w:tc>
                <w:tcPr>
                  <w:tcW w:w="502" w:type="pct"/>
                  <w:vAlign w:val="bottom"/>
                </w:tcPr>
                <w:p w:rsidR="009B4896" w:rsidRPr="009B4896" w:rsidRDefault="009B4896" w:rsidP="009B4896">
                  <w:pPr>
                    <w:pStyle w:val="TableBodyText"/>
                  </w:pPr>
                  <w:r w:rsidRPr="009B4896">
                    <w:t xml:space="preserve">  1.4</w:t>
                  </w:r>
                </w:p>
              </w:tc>
              <w:tc>
                <w:tcPr>
                  <w:tcW w:w="418" w:type="pct"/>
                  <w:vAlign w:val="bottom"/>
                </w:tcPr>
                <w:p w:rsidR="009B4896" w:rsidRPr="009B4896" w:rsidRDefault="00320EE9" w:rsidP="009B4896">
                  <w:pPr>
                    <w:pStyle w:val="TableBodyText"/>
                  </w:pPr>
                  <w:r>
                    <w:t>np</w:t>
                  </w:r>
                </w:p>
              </w:tc>
            </w:tr>
            <w:tr w:rsidR="009B4896" w:rsidTr="009B4896">
              <w:tc>
                <w:tcPr>
                  <w:tcW w:w="823" w:type="pct"/>
                </w:tcPr>
                <w:p w:rsidR="009B4896" w:rsidRDefault="009B4896" w:rsidP="00AE264A">
                  <w:pPr>
                    <w:pStyle w:val="TableBodyText"/>
                    <w:jc w:val="left"/>
                  </w:pPr>
                  <w:r>
                    <w:t>2000-2499</w:t>
                  </w:r>
                </w:p>
              </w:tc>
              <w:tc>
                <w:tcPr>
                  <w:tcW w:w="262" w:type="pct"/>
                </w:tcPr>
                <w:p w:rsidR="009B4896" w:rsidRDefault="009B4896" w:rsidP="00AE264A">
                  <w:pPr>
                    <w:pStyle w:val="TableUnitsRow"/>
                  </w:pPr>
                  <w:r>
                    <w:t>no.</w:t>
                  </w:r>
                </w:p>
              </w:tc>
              <w:tc>
                <w:tcPr>
                  <w:tcW w:w="491" w:type="pct"/>
                  <w:vAlign w:val="bottom"/>
                </w:tcPr>
                <w:p w:rsidR="009B4896" w:rsidRPr="009B4896" w:rsidRDefault="009B4896" w:rsidP="009B4896">
                  <w:pPr>
                    <w:pStyle w:val="TableBodyText"/>
                  </w:pPr>
                  <w:r w:rsidRPr="009B4896">
                    <w:t xml:space="preserve"> 3 021</w:t>
                  </w:r>
                </w:p>
              </w:tc>
              <w:tc>
                <w:tcPr>
                  <w:tcW w:w="502" w:type="pct"/>
                  <w:vAlign w:val="bottom"/>
                </w:tcPr>
                <w:p w:rsidR="009B4896" w:rsidRPr="009B4896" w:rsidRDefault="009B4896" w:rsidP="009B4896">
                  <w:pPr>
                    <w:pStyle w:val="TableBodyText"/>
                  </w:pPr>
                  <w:r w:rsidRPr="009B4896">
                    <w:t xml:space="preserve"> 2 407</w:t>
                  </w:r>
                </w:p>
              </w:tc>
              <w:tc>
                <w:tcPr>
                  <w:tcW w:w="502" w:type="pct"/>
                  <w:vAlign w:val="bottom"/>
                </w:tcPr>
                <w:p w:rsidR="009B4896" w:rsidRPr="009B4896" w:rsidRDefault="009B4896" w:rsidP="009B4896">
                  <w:pPr>
                    <w:pStyle w:val="TableBodyText"/>
                  </w:pPr>
                  <w:r w:rsidRPr="009B4896">
                    <w:t xml:space="preserve"> 1 815</w:t>
                  </w:r>
                </w:p>
              </w:tc>
              <w:tc>
                <w:tcPr>
                  <w:tcW w:w="502" w:type="pct"/>
                  <w:vAlign w:val="bottom"/>
                </w:tcPr>
                <w:p w:rsidR="009B4896" w:rsidRPr="009B4896" w:rsidRDefault="009B4896" w:rsidP="009B4896">
                  <w:pPr>
                    <w:pStyle w:val="TableBodyText"/>
                  </w:pPr>
                  <w:r w:rsidRPr="009B4896">
                    <w:t xml:space="preserve">  904</w:t>
                  </w:r>
                </w:p>
              </w:tc>
              <w:tc>
                <w:tcPr>
                  <w:tcW w:w="581" w:type="pct"/>
                  <w:vAlign w:val="bottom"/>
                </w:tcPr>
                <w:p w:rsidR="009B4896" w:rsidRPr="009B4896" w:rsidRDefault="009B4896" w:rsidP="009B4896">
                  <w:pPr>
                    <w:pStyle w:val="TableBodyText"/>
                  </w:pPr>
                  <w:r w:rsidRPr="009B4896">
                    <w:t xml:space="preserve">  708</w:t>
                  </w:r>
                </w:p>
              </w:tc>
              <w:tc>
                <w:tcPr>
                  <w:tcW w:w="417" w:type="pct"/>
                  <w:vAlign w:val="bottom"/>
                </w:tcPr>
                <w:p w:rsidR="009B4896" w:rsidRPr="009B4896" w:rsidRDefault="009B4896" w:rsidP="009B4896">
                  <w:pPr>
                    <w:pStyle w:val="TableBodyText"/>
                  </w:pPr>
                  <w:r w:rsidRPr="009B4896">
                    <w:t>na</w:t>
                  </w:r>
                </w:p>
              </w:tc>
              <w:tc>
                <w:tcPr>
                  <w:tcW w:w="502" w:type="pct"/>
                  <w:vAlign w:val="bottom"/>
                </w:tcPr>
                <w:p w:rsidR="009B4896" w:rsidRPr="009B4896" w:rsidRDefault="009B4896" w:rsidP="009B4896">
                  <w:pPr>
                    <w:pStyle w:val="TableBodyText"/>
                  </w:pPr>
                  <w:r w:rsidRPr="009B4896">
                    <w:t xml:space="preserve">  210</w:t>
                  </w:r>
                </w:p>
              </w:tc>
              <w:tc>
                <w:tcPr>
                  <w:tcW w:w="418" w:type="pct"/>
                  <w:vAlign w:val="bottom"/>
                </w:tcPr>
                <w:p w:rsidR="009B4896" w:rsidRPr="009B4896" w:rsidRDefault="009B4896" w:rsidP="009B4896">
                  <w:pPr>
                    <w:pStyle w:val="TableBodyText"/>
                  </w:pPr>
                  <w:r w:rsidRPr="009B4896">
                    <w:t xml:space="preserve">  172</w:t>
                  </w:r>
                </w:p>
              </w:tc>
            </w:tr>
            <w:tr w:rsidR="009B4896" w:rsidTr="009B4896">
              <w:tc>
                <w:tcPr>
                  <w:tcW w:w="823" w:type="pct"/>
                </w:tcPr>
                <w:p w:rsidR="009B4896" w:rsidRDefault="009B4896" w:rsidP="006E1461">
                  <w:pPr>
                    <w:pStyle w:val="TableBodyText"/>
                    <w:ind w:left="120"/>
                    <w:jc w:val="left"/>
                  </w:pPr>
                  <w:r>
                    <w:t>Low Apgar</w:t>
                  </w:r>
                </w:p>
              </w:tc>
              <w:tc>
                <w:tcPr>
                  <w:tcW w:w="262" w:type="pct"/>
                </w:tcPr>
                <w:p w:rsidR="009B4896" w:rsidRDefault="009B4896" w:rsidP="00AE264A">
                  <w:pPr>
                    <w:pStyle w:val="TableBodyText"/>
                  </w:pPr>
                  <w:r>
                    <w:t>%</w:t>
                  </w:r>
                </w:p>
              </w:tc>
              <w:tc>
                <w:tcPr>
                  <w:tcW w:w="491" w:type="pct"/>
                  <w:vAlign w:val="bottom"/>
                </w:tcPr>
                <w:p w:rsidR="009B4896" w:rsidRPr="009B4896" w:rsidRDefault="009B4896" w:rsidP="009B4896">
                  <w:pPr>
                    <w:pStyle w:val="TableBodyText"/>
                  </w:pPr>
                  <w:r w:rsidRPr="009B4896">
                    <w:t>0.8</w:t>
                  </w:r>
                </w:p>
              </w:tc>
              <w:tc>
                <w:tcPr>
                  <w:tcW w:w="502" w:type="pct"/>
                  <w:vAlign w:val="bottom"/>
                </w:tcPr>
                <w:p w:rsidR="009B4896" w:rsidRPr="009B4896" w:rsidRDefault="009B4896" w:rsidP="009B4896">
                  <w:pPr>
                    <w:pStyle w:val="TableBodyText"/>
                  </w:pPr>
                  <w:r w:rsidRPr="009B4896">
                    <w:t>0.3</w:t>
                  </w:r>
                </w:p>
              </w:tc>
              <w:tc>
                <w:tcPr>
                  <w:tcW w:w="502" w:type="pct"/>
                  <w:vAlign w:val="bottom"/>
                </w:tcPr>
                <w:p w:rsidR="009B4896" w:rsidRPr="009B4896" w:rsidRDefault="009B4896" w:rsidP="009B4896">
                  <w:pPr>
                    <w:pStyle w:val="TableBodyText"/>
                  </w:pPr>
                  <w:r w:rsidRPr="009B4896">
                    <w:t>0.6</w:t>
                  </w:r>
                </w:p>
              </w:tc>
              <w:tc>
                <w:tcPr>
                  <w:tcW w:w="502" w:type="pct"/>
                  <w:vAlign w:val="bottom"/>
                </w:tcPr>
                <w:p w:rsidR="009B4896" w:rsidRPr="009B4896" w:rsidRDefault="009B4896" w:rsidP="009B4896">
                  <w:pPr>
                    <w:pStyle w:val="TableBodyText"/>
                  </w:pPr>
                  <w:r w:rsidRPr="009B4896">
                    <w:t>0.6</w:t>
                  </w:r>
                </w:p>
              </w:tc>
              <w:tc>
                <w:tcPr>
                  <w:tcW w:w="581" w:type="pct"/>
                  <w:vAlign w:val="bottom"/>
                </w:tcPr>
                <w:p w:rsidR="009B4896" w:rsidRPr="009B4896" w:rsidRDefault="009B4896" w:rsidP="009B4896">
                  <w:pPr>
                    <w:pStyle w:val="TableBodyText"/>
                  </w:pPr>
                  <w:r w:rsidRPr="009B4896">
                    <w:t>0.6</w:t>
                  </w:r>
                </w:p>
              </w:tc>
              <w:tc>
                <w:tcPr>
                  <w:tcW w:w="417" w:type="pct"/>
                  <w:vAlign w:val="bottom"/>
                </w:tcPr>
                <w:p w:rsidR="009B4896" w:rsidRPr="009B4896" w:rsidRDefault="002333C8" w:rsidP="009B4896">
                  <w:pPr>
                    <w:pStyle w:val="TableBodyText"/>
                  </w:pPr>
                  <w:r>
                    <w:t>na</w:t>
                  </w:r>
                </w:p>
              </w:tc>
              <w:tc>
                <w:tcPr>
                  <w:tcW w:w="502" w:type="pct"/>
                  <w:vAlign w:val="bottom"/>
                </w:tcPr>
                <w:p w:rsidR="009B4896" w:rsidRPr="009B4896" w:rsidRDefault="009B4896" w:rsidP="009B4896">
                  <w:pPr>
                    <w:pStyle w:val="TableBodyText"/>
                  </w:pPr>
                  <w:r w:rsidRPr="009B4896">
                    <w:t xml:space="preserve">  1.0</w:t>
                  </w:r>
                </w:p>
              </w:tc>
              <w:tc>
                <w:tcPr>
                  <w:tcW w:w="418" w:type="pct"/>
                  <w:vAlign w:val="bottom"/>
                </w:tcPr>
                <w:p w:rsidR="009B4896" w:rsidRPr="009B4896" w:rsidRDefault="00320EE9" w:rsidP="009B4896">
                  <w:pPr>
                    <w:pStyle w:val="TableBodyText"/>
                  </w:pPr>
                  <w:r>
                    <w:t>np</w:t>
                  </w:r>
                </w:p>
              </w:tc>
            </w:tr>
            <w:tr w:rsidR="009B4896" w:rsidTr="009B4896">
              <w:tc>
                <w:tcPr>
                  <w:tcW w:w="823" w:type="pct"/>
                </w:tcPr>
                <w:p w:rsidR="009B4896" w:rsidRDefault="009B4896" w:rsidP="00AE264A">
                  <w:pPr>
                    <w:pStyle w:val="TableBodyText"/>
                    <w:jc w:val="left"/>
                  </w:pPr>
                  <w:r>
                    <w:t>2500 and over</w:t>
                  </w:r>
                </w:p>
              </w:tc>
              <w:tc>
                <w:tcPr>
                  <w:tcW w:w="262" w:type="pct"/>
                </w:tcPr>
                <w:p w:rsidR="009B4896" w:rsidRDefault="009B4896" w:rsidP="00AE264A">
                  <w:pPr>
                    <w:pStyle w:val="TableUnitsRow"/>
                  </w:pPr>
                  <w:r>
                    <w:t>no.</w:t>
                  </w:r>
                </w:p>
              </w:tc>
              <w:tc>
                <w:tcPr>
                  <w:tcW w:w="491" w:type="pct"/>
                  <w:vAlign w:val="bottom"/>
                </w:tcPr>
                <w:p w:rsidR="009B4896" w:rsidRPr="009B4896" w:rsidRDefault="009B4896" w:rsidP="009B4896">
                  <w:pPr>
                    <w:pStyle w:val="TableBodyText"/>
                  </w:pPr>
                  <w:r w:rsidRPr="009B4896">
                    <w:t>67 065</w:t>
                  </w:r>
                </w:p>
              </w:tc>
              <w:tc>
                <w:tcPr>
                  <w:tcW w:w="502" w:type="pct"/>
                  <w:vAlign w:val="bottom"/>
                </w:tcPr>
                <w:p w:rsidR="009B4896" w:rsidRPr="009B4896" w:rsidRDefault="009B4896" w:rsidP="009B4896">
                  <w:pPr>
                    <w:pStyle w:val="TableBodyText"/>
                  </w:pPr>
                  <w:r w:rsidRPr="009B4896">
                    <w:t>53 069</w:t>
                  </w:r>
                </w:p>
              </w:tc>
              <w:tc>
                <w:tcPr>
                  <w:tcW w:w="502" w:type="pct"/>
                  <w:vAlign w:val="bottom"/>
                </w:tcPr>
                <w:p w:rsidR="009B4896" w:rsidRPr="009B4896" w:rsidRDefault="009B4896" w:rsidP="009B4896">
                  <w:pPr>
                    <w:pStyle w:val="TableBodyText"/>
                  </w:pPr>
                  <w:r w:rsidRPr="009B4896">
                    <w:t>41 458</w:t>
                  </w:r>
                </w:p>
              </w:tc>
              <w:tc>
                <w:tcPr>
                  <w:tcW w:w="502" w:type="pct"/>
                  <w:vAlign w:val="bottom"/>
                </w:tcPr>
                <w:p w:rsidR="009B4896" w:rsidRPr="009B4896" w:rsidRDefault="009B4896" w:rsidP="009B4896">
                  <w:pPr>
                    <w:pStyle w:val="TableBodyText"/>
                  </w:pPr>
                  <w:r w:rsidRPr="009B4896">
                    <w:t>18 485</w:t>
                  </w:r>
                </w:p>
              </w:tc>
              <w:tc>
                <w:tcPr>
                  <w:tcW w:w="581" w:type="pct"/>
                  <w:vAlign w:val="bottom"/>
                </w:tcPr>
                <w:p w:rsidR="009B4896" w:rsidRPr="009B4896" w:rsidRDefault="009B4896" w:rsidP="009B4896">
                  <w:pPr>
                    <w:pStyle w:val="TableBodyText"/>
                  </w:pPr>
                  <w:r w:rsidRPr="009B4896">
                    <w:t>14 046</w:t>
                  </w:r>
                </w:p>
              </w:tc>
              <w:tc>
                <w:tcPr>
                  <w:tcW w:w="417" w:type="pct"/>
                  <w:vAlign w:val="bottom"/>
                </w:tcPr>
                <w:p w:rsidR="009B4896" w:rsidRPr="009B4896" w:rsidRDefault="009B4896" w:rsidP="009B4896">
                  <w:pPr>
                    <w:pStyle w:val="TableBodyText"/>
                  </w:pPr>
                  <w:r w:rsidRPr="009B4896">
                    <w:t>na</w:t>
                  </w:r>
                </w:p>
              </w:tc>
              <w:tc>
                <w:tcPr>
                  <w:tcW w:w="502" w:type="pct"/>
                  <w:vAlign w:val="bottom"/>
                </w:tcPr>
                <w:p w:rsidR="009B4896" w:rsidRPr="009B4896" w:rsidRDefault="009B4896" w:rsidP="009B4896">
                  <w:pPr>
                    <w:pStyle w:val="TableBodyText"/>
                  </w:pPr>
                  <w:r w:rsidRPr="009B4896">
                    <w:t>4 444</w:t>
                  </w:r>
                </w:p>
              </w:tc>
              <w:tc>
                <w:tcPr>
                  <w:tcW w:w="418" w:type="pct"/>
                  <w:vAlign w:val="bottom"/>
                </w:tcPr>
                <w:p w:rsidR="009B4896" w:rsidRPr="009B4896" w:rsidRDefault="009B4896" w:rsidP="009B4896">
                  <w:pPr>
                    <w:pStyle w:val="TableBodyText"/>
                  </w:pPr>
                  <w:r w:rsidRPr="009B4896">
                    <w:t>2 960</w:t>
                  </w:r>
                </w:p>
              </w:tc>
            </w:tr>
            <w:tr w:rsidR="009B4896" w:rsidTr="009B4896">
              <w:tc>
                <w:tcPr>
                  <w:tcW w:w="823" w:type="pct"/>
                  <w:tcBorders>
                    <w:bottom w:val="single" w:sz="6" w:space="0" w:color="BFBFBF"/>
                  </w:tcBorders>
                  <w:shd w:val="clear" w:color="auto" w:fill="auto"/>
                </w:tcPr>
                <w:p w:rsidR="009B4896" w:rsidRDefault="009B4896" w:rsidP="006E1461">
                  <w:pPr>
                    <w:pStyle w:val="TableBodyText"/>
                    <w:ind w:left="120"/>
                    <w:jc w:val="left"/>
                  </w:pPr>
                  <w:r>
                    <w:t>Low Apgar</w:t>
                  </w:r>
                </w:p>
              </w:tc>
              <w:tc>
                <w:tcPr>
                  <w:tcW w:w="262" w:type="pct"/>
                  <w:tcBorders>
                    <w:bottom w:val="single" w:sz="6" w:space="0" w:color="BFBFBF"/>
                  </w:tcBorders>
                </w:tcPr>
                <w:p w:rsidR="009B4896" w:rsidRDefault="009B4896" w:rsidP="00AE264A">
                  <w:pPr>
                    <w:pStyle w:val="TableBodyText"/>
                  </w:pPr>
                  <w:r>
                    <w:t>%</w:t>
                  </w:r>
                </w:p>
              </w:tc>
              <w:tc>
                <w:tcPr>
                  <w:tcW w:w="491" w:type="pct"/>
                  <w:tcBorders>
                    <w:bottom w:val="single" w:sz="6" w:space="0" w:color="BFBFBF"/>
                  </w:tcBorders>
                  <w:vAlign w:val="bottom"/>
                </w:tcPr>
                <w:p w:rsidR="009B4896" w:rsidRPr="009B4896" w:rsidRDefault="009B4896" w:rsidP="009B4896">
                  <w:pPr>
                    <w:pStyle w:val="TableBodyText"/>
                  </w:pPr>
                  <w:r w:rsidRPr="009B4896">
                    <w:t>0.3</w:t>
                  </w:r>
                </w:p>
              </w:tc>
              <w:tc>
                <w:tcPr>
                  <w:tcW w:w="502" w:type="pct"/>
                  <w:tcBorders>
                    <w:bottom w:val="single" w:sz="6" w:space="0" w:color="BFBFBF"/>
                  </w:tcBorders>
                  <w:vAlign w:val="bottom"/>
                </w:tcPr>
                <w:p w:rsidR="009B4896" w:rsidRPr="009B4896" w:rsidRDefault="009B4896" w:rsidP="009B4896">
                  <w:pPr>
                    <w:pStyle w:val="TableBodyText"/>
                  </w:pPr>
                  <w:r w:rsidRPr="009B4896">
                    <w:t>0.2</w:t>
                  </w:r>
                </w:p>
              </w:tc>
              <w:tc>
                <w:tcPr>
                  <w:tcW w:w="502" w:type="pct"/>
                  <w:tcBorders>
                    <w:bottom w:val="single" w:sz="6" w:space="0" w:color="BFBFBF"/>
                  </w:tcBorders>
                  <w:vAlign w:val="bottom"/>
                </w:tcPr>
                <w:p w:rsidR="009B4896" w:rsidRPr="009B4896" w:rsidRDefault="009B4896" w:rsidP="009B4896">
                  <w:pPr>
                    <w:pStyle w:val="TableBodyText"/>
                  </w:pPr>
                  <w:r w:rsidRPr="009B4896">
                    <w:t>0.2</w:t>
                  </w:r>
                </w:p>
              </w:tc>
              <w:tc>
                <w:tcPr>
                  <w:tcW w:w="502" w:type="pct"/>
                  <w:tcBorders>
                    <w:bottom w:val="single" w:sz="6" w:space="0" w:color="BFBFBF"/>
                  </w:tcBorders>
                  <w:vAlign w:val="bottom"/>
                </w:tcPr>
                <w:p w:rsidR="009B4896" w:rsidRPr="009B4896" w:rsidRDefault="009B4896" w:rsidP="009B4896">
                  <w:pPr>
                    <w:pStyle w:val="TableBodyText"/>
                  </w:pPr>
                  <w:r w:rsidRPr="009B4896">
                    <w:t>0.2</w:t>
                  </w:r>
                </w:p>
              </w:tc>
              <w:tc>
                <w:tcPr>
                  <w:tcW w:w="581" w:type="pct"/>
                  <w:tcBorders>
                    <w:bottom w:val="single" w:sz="6" w:space="0" w:color="BFBFBF"/>
                  </w:tcBorders>
                  <w:vAlign w:val="bottom"/>
                </w:tcPr>
                <w:p w:rsidR="009B4896" w:rsidRPr="009B4896" w:rsidRDefault="009B4896" w:rsidP="009B4896">
                  <w:pPr>
                    <w:pStyle w:val="TableBodyText"/>
                  </w:pPr>
                  <w:r w:rsidRPr="009B4896">
                    <w:t>0.1</w:t>
                  </w:r>
                </w:p>
              </w:tc>
              <w:tc>
                <w:tcPr>
                  <w:tcW w:w="417" w:type="pct"/>
                  <w:tcBorders>
                    <w:bottom w:val="single" w:sz="6" w:space="0" w:color="BFBFBF"/>
                  </w:tcBorders>
                  <w:vAlign w:val="bottom"/>
                </w:tcPr>
                <w:p w:rsidR="009B4896" w:rsidRPr="009B4896" w:rsidRDefault="002333C8" w:rsidP="009B4896">
                  <w:pPr>
                    <w:pStyle w:val="TableBodyText"/>
                  </w:pPr>
                  <w:r>
                    <w:t>na</w:t>
                  </w:r>
                </w:p>
              </w:tc>
              <w:tc>
                <w:tcPr>
                  <w:tcW w:w="502" w:type="pct"/>
                  <w:tcBorders>
                    <w:bottom w:val="single" w:sz="6" w:space="0" w:color="BFBFBF"/>
                  </w:tcBorders>
                  <w:vAlign w:val="bottom"/>
                </w:tcPr>
                <w:p w:rsidR="009B4896" w:rsidRPr="009B4896" w:rsidRDefault="009B4896" w:rsidP="009B4896">
                  <w:pPr>
                    <w:pStyle w:val="TableBodyText"/>
                  </w:pPr>
                  <w:r w:rsidRPr="009B4896">
                    <w:t xml:space="preserve">  0.3</w:t>
                  </w:r>
                </w:p>
              </w:tc>
              <w:tc>
                <w:tcPr>
                  <w:tcW w:w="418" w:type="pct"/>
                  <w:tcBorders>
                    <w:bottom w:val="single" w:sz="6" w:space="0" w:color="BFBFBF"/>
                  </w:tcBorders>
                  <w:shd w:val="clear" w:color="auto" w:fill="auto"/>
                  <w:vAlign w:val="bottom"/>
                </w:tcPr>
                <w:p w:rsidR="009B4896" w:rsidRPr="009B4896" w:rsidRDefault="009B4896" w:rsidP="009B4896">
                  <w:pPr>
                    <w:pStyle w:val="TableBodyText"/>
                  </w:pPr>
                  <w:r w:rsidRPr="009B4896">
                    <w:t xml:space="preserve">  0.4</w:t>
                  </w:r>
                </w:p>
              </w:tc>
            </w:tr>
          </w:tbl>
          <w:p w:rsidR="000E06A7" w:rsidRDefault="000E06A7" w:rsidP="00AE264A">
            <w:pPr>
              <w:pStyle w:val="Box"/>
            </w:pPr>
          </w:p>
        </w:tc>
      </w:tr>
      <w:tr w:rsidR="000E06A7" w:rsidTr="00AE264A">
        <w:trPr>
          <w:cantSplit/>
        </w:trPr>
        <w:tc>
          <w:tcPr>
            <w:tcW w:w="8771" w:type="dxa"/>
            <w:tcBorders>
              <w:top w:val="nil"/>
              <w:left w:val="nil"/>
              <w:bottom w:val="nil"/>
              <w:right w:val="nil"/>
            </w:tcBorders>
            <w:shd w:val="clear" w:color="auto" w:fill="auto"/>
          </w:tcPr>
          <w:p w:rsidR="000E06A7" w:rsidRDefault="000E06A7" w:rsidP="00547BF0">
            <w:pPr>
              <w:pStyle w:val="Note"/>
              <w:rPr>
                <w:i/>
              </w:rPr>
            </w:pPr>
            <w:r w:rsidRPr="008E77FE">
              <w:rPr>
                <w:rStyle w:val="NoteLabel"/>
              </w:rPr>
              <w:t>a</w:t>
            </w:r>
            <w:r>
              <w:t xml:space="preserve"> </w:t>
            </w:r>
            <w:r w:rsidR="006E1461" w:rsidRPr="006E1461">
              <w:t>Data for Victoria</w:t>
            </w:r>
            <w:r w:rsidR="009551A6">
              <w:t>, WA, SA and the ACT</w:t>
            </w:r>
            <w:r w:rsidR="006E1461" w:rsidRPr="006E1461">
              <w:t xml:space="preserve"> are preliminary. </w:t>
            </w:r>
            <w:r w:rsidR="006E1461" w:rsidRPr="006E1461">
              <w:rPr>
                <w:rStyle w:val="NoteLabel"/>
              </w:rPr>
              <w:t>b</w:t>
            </w:r>
            <w:r w:rsidR="006E1461" w:rsidRPr="006E1461">
              <w:t xml:space="preserve"> </w:t>
            </w:r>
            <w:r w:rsidR="009551A6">
              <w:t>ACT</w:t>
            </w:r>
            <w:r w:rsidR="006E1461" w:rsidRPr="006E1461">
              <w:t xml:space="preserve"> data include both ACT and non-ACT residents where the birth occurred in the ACT. </w:t>
            </w:r>
            <w:r w:rsidR="006E1461" w:rsidRPr="006E1461">
              <w:rPr>
                <w:b/>
              </w:rPr>
              <w:t>na</w:t>
            </w:r>
            <w:r w:rsidR="006E1461" w:rsidRPr="006E1461">
              <w:t xml:space="preserve"> Not available. </w:t>
            </w:r>
            <w:r w:rsidR="00320EE9" w:rsidRPr="00320EE9">
              <w:rPr>
                <w:b/>
              </w:rPr>
              <w:t>np</w:t>
            </w:r>
            <w:r w:rsidR="00320EE9">
              <w:t> Not published.</w:t>
            </w:r>
          </w:p>
        </w:tc>
      </w:tr>
      <w:tr w:rsidR="000E06A7" w:rsidTr="00AE264A">
        <w:trPr>
          <w:cantSplit/>
        </w:trPr>
        <w:tc>
          <w:tcPr>
            <w:tcW w:w="8771" w:type="dxa"/>
            <w:tcBorders>
              <w:top w:val="nil"/>
              <w:left w:val="nil"/>
              <w:bottom w:val="nil"/>
              <w:right w:val="nil"/>
            </w:tcBorders>
            <w:shd w:val="clear" w:color="auto" w:fill="auto"/>
          </w:tcPr>
          <w:p w:rsidR="000E06A7" w:rsidRDefault="000E06A7" w:rsidP="005C27B8">
            <w:pPr>
              <w:pStyle w:val="Source"/>
            </w:pPr>
            <w:r>
              <w:rPr>
                <w:i/>
              </w:rPr>
              <w:t>Source</w:t>
            </w:r>
            <w:r w:rsidRPr="00167F06">
              <w:t xml:space="preserve">: </w:t>
            </w:r>
            <w:r w:rsidR="006E1461" w:rsidRPr="006E1461">
              <w:t>State and Territory governments (unpublished); table 11A.11</w:t>
            </w:r>
            <w:r w:rsidR="005C27B8">
              <w:t>6</w:t>
            </w:r>
            <w:r w:rsidR="006E1461" w:rsidRPr="006E1461">
              <w:t>.</w:t>
            </w:r>
          </w:p>
        </w:tc>
      </w:tr>
      <w:tr w:rsidR="000E06A7" w:rsidTr="00AE264A">
        <w:trPr>
          <w:cantSplit/>
        </w:trPr>
        <w:tc>
          <w:tcPr>
            <w:tcW w:w="8771" w:type="dxa"/>
            <w:tcBorders>
              <w:top w:val="nil"/>
              <w:left w:val="nil"/>
              <w:bottom w:val="single" w:sz="6" w:space="0" w:color="78A22F"/>
              <w:right w:val="nil"/>
            </w:tcBorders>
            <w:shd w:val="clear" w:color="auto" w:fill="auto"/>
          </w:tcPr>
          <w:p w:rsidR="000E06A7" w:rsidRDefault="000E06A7" w:rsidP="00AE264A">
            <w:pPr>
              <w:pStyle w:val="Box"/>
              <w:spacing w:before="0" w:line="120" w:lineRule="exact"/>
            </w:pPr>
          </w:p>
        </w:tc>
      </w:tr>
      <w:tr w:rsidR="000E06A7" w:rsidRPr="000863A5" w:rsidTr="00AE264A">
        <w:tc>
          <w:tcPr>
            <w:tcW w:w="8771" w:type="dxa"/>
            <w:tcBorders>
              <w:top w:val="single" w:sz="6" w:space="0" w:color="78A22F"/>
              <w:left w:val="nil"/>
              <w:bottom w:val="nil"/>
              <w:right w:val="nil"/>
            </w:tcBorders>
          </w:tcPr>
          <w:p w:rsidR="000E06A7" w:rsidRPr="00626D32" w:rsidRDefault="000E06A7" w:rsidP="00AE264A">
            <w:pPr>
              <w:pStyle w:val="BoxSpaceBelow"/>
            </w:pPr>
          </w:p>
        </w:tc>
      </w:tr>
    </w:tbl>
    <w:p w:rsidR="006E1461" w:rsidRDefault="006E1461" w:rsidP="006E1461">
      <w:pPr>
        <w:pStyle w:val="Heading4"/>
      </w:pPr>
      <w:r>
        <w:lastRenderedPageBreak/>
        <w:t>Perinatal death rate</w:t>
      </w:r>
    </w:p>
    <w:p w:rsidR="000E06A7" w:rsidRDefault="006E1461" w:rsidP="006E1461">
      <w:pPr>
        <w:pStyle w:val="BodyText"/>
      </w:pPr>
      <w:r>
        <w:t>‘Perinatal death rate’ is an indicator of governments’ objective to deliver maternity services that are safe and of high quality (box 11.24).</w:t>
      </w:r>
    </w:p>
    <w:p w:rsidR="00D64336" w:rsidRDefault="00D643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64336" w:rsidTr="00AE264A">
        <w:tc>
          <w:tcPr>
            <w:tcW w:w="8771" w:type="dxa"/>
            <w:tcBorders>
              <w:top w:val="single" w:sz="6" w:space="0" w:color="78A22F"/>
              <w:left w:val="nil"/>
              <w:bottom w:val="nil"/>
              <w:right w:val="nil"/>
            </w:tcBorders>
            <w:shd w:val="clear" w:color="auto" w:fill="F2F2F2"/>
          </w:tcPr>
          <w:p w:rsidR="00D64336" w:rsidRDefault="00D64336">
            <w:pPr>
              <w:pStyle w:val="BoxTitle"/>
            </w:pPr>
            <w:r>
              <w:rPr>
                <w:b w:val="0"/>
              </w:rPr>
              <w:t>Box 11.</w:t>
            </w:r>
            <w:r w:rsidR="009A53E9">
              <w:rPr>
                <w:b w:val="0"/>
                <w:noProof/>
              </w:rPr>
              <w:t>24</w:t>
            </w:r>
            <w:r>
              <w:tab/>
            </w:r>
            <w:r w:rsidRPr="00D64336">
              <w:t>Perinatal death rate</w:t>
            </w:r>
          </w:p>
        </w:tc>
      </w:tr>
      <w:tr w:rsidR="00D64336" w:rsidTr="00AE264A">
        <w:trPr>
          <w:cantSplit/>
        </w:trPr>
        <w:tc>
          <w:tcPr>
            <w:tcW w:w="8771" w:type="dxa"/>
            <w:tcBorders>
              <w:top w:val="nil"/>
              <w:left w:val="nil"/>
              <w:bottom w:val="nil"/>
              <w:right w:val="nil"/>
            </w:tcBorders>
            <w:shd w:val="clear" w:color="auto" w:fill="F2F2F2"/>
          </w:tcPr>
          <w:p w:rsidR="00D64336" w:rsidRDefault="00D64336" w:rsidP="00D64336">
            <w:pPr>
              <w:pStyle w:val="Box"/>
            </w:pPr>
            <w:r>
              <w:t>‘Perinatal death rate’ is defined by the following three measures:</w:t>
            </w:r>
          </w:p>
          <w:p w:rsidR="00D64336" w:rsidRDefault="00D64336" w:rsidP="00D64336">
            <w:pPr>
              <w:pStyle w:val="BoxListBullet"/>
            </w:pPr>
            <w:r>
              <w:t>Fetal death (stillbirth) is the birth of a child who did not at any time after delivery breathe or show any other evidence of life, such as a heartbeat. Fetal deaths by definition include only infants weighing at least 400 grams or of a gestational age of at least 20 weeks. The fetal death rate is calculated as the number of fetal deaths divided by the total number of births (live births and fetal deaths combined). The rate of fetal deaths is expressed per 1000 total births, by State or Territory of usual residence of the mother</w:t>
            </w:r>
            <w:r w:rsidR="009551A6">
              <w:t>.</w:t>
            </w:r>
          </w:p>
          <w:p w:rsidR="00D64336" w:rsidRDefault="00D64336" w:rsidP="00D64336">
            <w:pPr>
              <w:pStyle w:val="BoxListBullet"/>
            </w:pPr>
            <w:r>
              <w:t xml:space="preserve">Neonatal death is the death of a live born infant within 28 days of birth (see section 11.8 for a definition of a live birth). The neonatal death rate is calculated as the number of neonatal deaths divided by the number of live births registered. The rate of neonatal deaths is expressed per 1000 live births, by State or Territory of usual residence of the mother. </w:t>
            </w:r>
          </w:p>
          <w:p w:rsidR="00D64336" w:rsidRDefault="00D64336" w:rsidP="00D64336">
            <w:pPr>
              <w:pStyle w:val="BoxListBullet"/>
            </w:pPr>
            <w:r>
              <w:t xml:space="preserve">A perinatal death is a fetal or neonatal death. The perinatal death rate is calculated as the number of perinatal deaths divided by the total number of births (live births and fetal deaths combined). It is expressed per 1000 total births, by State or Territory of usual residence of the mother. </w:t>
            </w:r>
          </w:p>
          <w:p w:rsidR="00D64336" w:rsidRDefault="00D64336" w:rsidP="00D64336">
            <w:pPr>
              <w:pStyle w:val="Box"/>
            </w:pPr>
            <w:r>
              <w:t>Low or decreasing death rates are desirable and can indicate high quality maternity services. The neonatal death rate tends to be higher among premature babies, so a lower neonatal death rate can also indicate a lower percentage of pre-term births.</w:t>
            </w:r>
          </w:p>
          <w:p w:rsidR="00D64336" w:rsidRDefault="00D64336" w:rsidP="00D64336">
            <w:pPr>
              <w:pStyle w:val="Box"/>
            </w:pPr>
            <w:r>
              <w:t xml:space="preserve">Differences in the fetal death rate </w:t>
            </w:r>
            <w:r w:rsidR="009551A6">
              <w:t>across</w:t>
            </w:r>
            <w:r>
              <w:t xml:space="preserve"> jurisdictions are likely to be due to factors outside the control of admitted patient maternity services (such as the health of mothers and the progress of pregnancy before hospital admission). To the extent that the health system influences fetal death rates, the health services that can have an influence include outpatient services, general practice services and maternity services. In jurisdictions where the number of fetal deaths is low, small annual fluctuations in the number affect the annual rate of fetal deaths. </w:t>
            </w:r>
          </w:p>
          <w:p w:rsidR="00D64336" w:rsidRDefault="00D64336" w:rsidP="00D64336">
            <w:pPr>
              <w:pStyle w:val="Box"/>
            </w:pPr>
            <w:r>
              <w:t>As for fetal deaths, a range of factors contribute to neonatal deaths. However, the influence of maternity services for admitted patients is greater for neonatal deaths than for fetal deaths, through the management of labour and the care of sick and premature babies.</w:t>
            </w:r>
          </w:p>
          <w:p w:rsidR="00D64336" w:rsidRDefault="00D64336" w:rsidP="00D64336">
            <w:pPr>
              <w:pStyle w:val="Box"/>
            </w:pPr>
            <w:r>
              <w:t>Data reported for this indicator are:</w:t>
            </w:r>
          </w:p>
          <w:p w:rsidR="00D64336" w:rsidRDefault="00D64336" w:rsidP="00D64336">
            <w:pPr>
              <w:pStyle w:val="BoxListBullet"/>
            </w:pPr>
            <w:r>
              <w:t xml:space="preserve">comparable (subject to caveats) across jurisdictions and over time </w:t>
            </w:r>
          </w:p>
          <w:p w:rsidR="00D64336" w:rsidRDefault="00D64336" w:rsidP="00CC4A84">
            <w:pPr>
              <w:pStyle w:val="BoxListBullet"/>
            </w:pPr>
            <w:r>
              <w:t xml:space="preserve">incomplete for the current reporting period. All required </w:t>
            </w:r>
            <w:r w:rsidR="00CC4A84">
              <w:t xml:space="preserve">data for </w:t>
            </w:r>
            <w:r w:rsidR="00CC4A84" w:rsidRPr="00CC4A84">
              <w:t xml:space="preserve">Aboriginal and Torres Strait Islander </w:t>
            </w:r>
            <w:r w:rsidR="00CC4A84">
              <w:t xml:space="preserve">people </w:t>
            </w:r>
            <w:r>
              <w:t>were not available for Victoria, Tasmania and the ACT.</w:t>
            </w:r>
          </w:p>
          <w:p w:rsidR="00D64336" w:rsidRDefault="00886C7D" w:rsidP="00886C7D">
            <w:pPr>
              <w:pStyle w:val="Box"/>
            </w:pPr>
            <w:r w:rsidRPr="00886C7D">
              <w:t>Data quality information for this indicato</w:t>
            </w:r>
            <w:r>
              <w:t>r</w:t>
            </w:r>
            <w:r w:rsidR="008C0550">
              <w:t xml:space="preserve"> is at www.pc.gov.au</w:t>
            </w:r>
            <w:r w:rsidRPr="00886C7D">
              <w:t>/rogs/2015.</w:t>
            </w:r>
          </w:p>
        </w:tc>
      </w:tr>
      <w:tr w:rsidR="00D64336" w:rsidTr="00AE264A">
        <w:trPr>
          <w:cantSplit/>
        </w:trPr>
        <w:tc>
          <w:tcPr>
            <w:tcW w:w="8771" w:type="dxa"/>
            <w:tcBorders>
              <w:top w:val="nil"/>
              <w:left w:val="nil"/>
              <w:bottom w:val="single" w:sz="6" w:space="0" w:color="78A22F"/>
              <w:right w:val="nil"/>
            </w:tcBorders>
            <w:shd w:val="clear" w:color="auto" w:fill="F2F2F2"/>
          </w:tcPr>
          <w:p w:rsidR="00D64336" w:rsidRDefault="00D64336">
            <w:pPr>
              <w:pStyle w:val="Box"/>
              <w:spacing w:before="0" w:line="120" w:lineRule="exact"/>
            </w:pPr>
          </w:p>
        </w:tc>
      </w:tr>
      <w:tr w:rsidR="00D64336" w:rsidRPr="000863A5" w:rsidTr="00AE264A">
        <w:tc>
          <w:tcPr>
            <w:tcW w:w="8771" w:type="dxa"/>
            <w:tcBorders>
              <w:top w:val="single" w:sz="6" w:space="0" w:color="78A22F"/>
              <w:left w:val="nil"/>
              <w:bottom w:val="nil"/>
              <w:right w:val="nil"/>
            </w:tcBorders>
          </w:tcPr>
          <w:p w:rsidR="00D64336" w:rsidRPr="00626D32" w:rsidRDefault="00D64336" w:rsidP="00AE264A">
            <w:pPr>
              <w:pStyle w:val="BoxSpaceBelow"/>
            </w:pPr>
          </w:p>
        </w:tc>
      </w:tr>
    </w:tbl>
    <w:p w:rsidR="00D64336" w:rsidRDefault="00D64336" w:rsidP="00C778D5">
      <w:pPr>
        <w:pStyle w:val="Heading5"/>
      </w:pPr>
      <w:r>
        <w:t>Fetal death rate</w:t>
      </w:r>
    </w:p>
    <w:p w:rsidR="00D64336" w:rsidRDefault="00D64336" w:rsidP="00D64336">
      <w:pPr>
        <w:pStyle w:val="BodyText"/>
      </w:pPr>
      <w:r>
        <w:t>Fetal death rates are reported in figure 11.3</w:t>
      </w:r>
      <w:r w:rsidR="00F10933">
        <w:t>4</w:t>
      </w:r>
      <w:r>
        <w:t xml:space="preserve">. National time series for fetal death rates for the period </w:t>
      </w:r>
      <w:r w:rsidR="00502C22">
        <w:t>2003</w:t>
      </w:r>
      <w:r>
        <w:t xml:space="preserve"> to 201</w:t>
      </w:r>
      <w:r w:rsidR="00502C22">
        <w:t>2</w:t>
      </w:r>
      <w:r>
        <w:t xml:space="preserve"> are included in table 11A.1</w:t>
      </w:r>
      <w:r w:rsidR="00F2723D">
        <w:t>19</w:t>
      </w:r>
      <w:r>
        <w:t>.</w:t>
      </w:r>
    </w:p>
    <w:p w:rsidR="00D64336" w:rsidRDefault="00D64336" w:rsidP="00AE26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64336" w:rsidTr="00AE264A">
        <w:tc>
          <w:tcPr>
            <w:tcW w:w="8771" w:type="dxa"/>
            <w:tcBorders>
              <w:top w:val="single" w:sz="6" w:space="0" w:color="78A22F"/>
              <w:left w:val="nil"/>
              <w:bottom w:val="nil"/>
              <w:right w:val="nil"/>
            </w:tcBorders>
            <w:shd w:val="clear" w:color="auto" w:fill="auto"/>
          </w:tcPr>
          <w:p w:rsidR="00D64336" w:rsidRPr="00176D3F" w:rsidRDefault="00D64336" w:rsidP="00D64336">
            <w:pPr>
              <w:pStyle w:val="FigureTitle"/>
            </w:pPr>
            <w:r w:rsidRPr="00784A05">
              <w:rPr>
                <w:b w:val="0"/>
              </w:rPr>
              <w:t xml:space="preserve">Figure </w:t>
            </w:r>
            <w:r w:rsidR="00F10933">
              <w:rPr>
                <w:b w:val="0"/>
              </w:rPr>
              <w:t>11.</w:t>
            </w:r>
            <w:r w:rsidR="009A53E9">
              <w:rPr>
                <w:b w:val="0"/>
                <w:noProof/>
              </w:rPr>
              <w:t>34</w:t>
            </w:r>
            <w:r>
              <w:tab/>
            </w:r>
            <w:r w:rsidRPr="00D64336">
              <w:t>Fetal death rate</w:t>
            </w:r>
            <w:r w:rsidRPr="00D64336">
              <w:rPr>
                <w:rStyle w:val="NoteLabel"/>
                <w:b/>
                <w:szCs w:val="20"/>
              </w:rPr>
              <w:t>a, b, c</w:t>
            </w:r>
          </w:p>
        </w:tc>
      </w:tr>
      <w:tr w:rsidR="00D64336" w:rsidTr="00AE264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64336" w:rsidTr="00AE264A">
              <w:trPr>
                <w:jc w:val="center"/>
              </w:trPr>
              <w:tc>
                <w:tcPr>
                  <w:tcW w:w="5000" w:type="pct"/>
                  <w:tcBorders>
                    <w:top w:val="nil"/>
                    <w:bottom w:val="nil"/>
                  </w:tcBorders>
                </w:tcPr>
                <w:p w:rsidR="00D64336" w:rsidRDefault="001F000D" w:rsidP="00AE264A">
                  <w:pPr>
                    <w:pStyle w:val="Figure"/>
                    <w:spacing w:before="60" w:after="60"/>
                  </w:pPr>
                  <w:r>
                    <w:rPr>
                      <w:noProof/>
                    </w:rPr>
                    <w:drawing>
                      <wp:inline distT="0" distB="0" distL="0" distR="0">
                        <wp:extent cx="5391150" cy="2705100"/>
                        <wp:effectExtent l="0" t="0" r="0" b="0"/>
                        <wp:docPr id="37" name="Picture 37" descr="Figure 11.34 Fetal death rat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D64336" w:rsidRDefault="00D64336" w:rsidP="00AE264A">
            <w:pPr>
              <w:pStyle w:val="Figure"/>
            </w:pPr>
          </w:p>
        </w:tc>
      </w:tr>
      <w:tr w:rsidR="00D64336" w:rsidRPr="00176D3F" w:rsidTr="00AE264A">
        <w:tc>
          <w:tcPr>
            <w:tcW w:w="8771" w:type="dxa"/>
            <w:tcBorders>
              <w:top w:val="nil"/>
              <w:left w:val="nil"/>
              <w:bottom w:val="nil"/>
              <w:right w:val="nil"/>
            </w:tcBorders>
            <w:shd w:val="clear" w:color="auto" w:fill="auto"/>
          </w:tcPr>
          <w:p w:rsidR="00D64336" w:rsidRPr="00176D3F" w:rsidRDefault="00D64336" w:rsidP="007B791D">
            <w:pPr>
              <w:pStyle w:val="Note"/>
            </w:pPr>
            <w:r>
              <w:rPr>
                <w:rStyle w:val="NoteLabel"/>
              </w:rPr>
              <w:t>a</w:t>
            </w:r>
            <w:r>
              <w:t xml:space="preserve"> </w:t>
            </w:r>
            <w:r w:rsidRPr="00D64336">
              <w:t xml:space="preserve">Annual rates fluctuate (in particular, for smaller jurisdictions) as a result of a low incidence of fetal deaths and small populations. </w:t>
            </w:r>
            <w:r w:rsidRPr="00D64336">
              <w:rPr>
                <w:rStyle w:val="NoteLabel"/>
              </w:rPr>
              <w:t>b</w:t>
            </w:r>
            <w:r w:rsidRPr="00D64336">
              <w:t xml:space="preserve"> Some fetal deaths occurring in WA could be the result of termination of pregnancy at 20 weeks gestation or more. </w:t>
            </w:r>
            <w:r w:rsidRPr="00D64336">
              <w:rPr>
                <w:rStyle w:val="NoteLabel"/>
              </w:rPr>
              <w:t>c</w:t>
            </w:r>
            <w:r w:rsidRPr="00D64336">
              <w:t xml:space="preserve"> </w:t>
            </w:r>
            <w:r w:rsidR="007B791D">
              <w:t>Some ACT stillbirth data were not received or processed by the ABS in time for finalisation of the 2008 reference year. According to scope rules</w:t>
            </w:r>
            <w:r w:rsidRPr="00D64336">
              <w:t xml:space="preserve"> these 2008 data were included in the 2010 reference year. The data </w:t>
            </w:r>
            <w:r w:rsidR="007B791D">
              <w:t xml:space="preserve">for the ACT and the Australian total therefore show </w:t>
            </w:r>
            <w:r w:rsidRPr="00D64336">
              <w:t>a decline in 2008 and an increase in 2010 which is not related to any actual significant change in fetal death rates.</w:t>
            </w:r>
          </w:p>
        </w:tc>
      </w:tr>
      <w:tr w:rsidR="00D64336" w:rsidRPr="00176D3F" w:rsidTr="00AE264A">
        <w:tc>
          <w:tcPr>
            <w:tcW w:w="8771" w:type="dxa"/>
            <w:tcBorders>
              <w:top w:val="nil"/>
              <w:left w:val="nil"/>
              <w:bottom w:val="nil"/>
              <w:right w:val="nil"/>
            </w:tcBorders>
            <w:shd w:val="clear" w:color="auto" w:fill="auto"/>
          </w:tcPr>
          <w:p w:rsidR="00D64336" w:rsidRPr="00176D3F" w:rsidRDefault="00D64336" w:rsidP="00F2723D">
            <w:pPr>
              <w:pStyle w:val="Source"/>
            </w:pPr>
            <w:r>
              <w:rPr>
                <w:i/>
              </w:rPr>
              <w:t>S</w:t>
            </w:r>
            <w:r w:rsidRPr="00784A05">
              <w:rPr>
                <w:i/>
              </w:rPr>
              <w:t>ource</w:t>
            </w:r>
            <w:r w:rsidRPr="00176D3F">
              <w:t xml:space="preserve">: </w:t>
            </w:r>
            <w:r w:rsidRPr="00D64336">
              <w:t xml:space="preserve">ABS (unpublished) </w:t>
            </w:r>
            <w:r w:rsidRPr="00D64336">
              <w:rPr>
                <w:i/>
              </w:rPr>
              <w:t>Perinatal deaths, Australia</w:t>
            </w:r>
            <w:r w:rsidRPr="00D64336">
              <w:t>, Cat. no. 3304.0; table 11A.11</w:t>
            </w:r>
            <w:r w:rsidR="00F2723D">
              <w:t>7</w:t>
            </w:r>
            <w:r w:rsidRPr="00D64336">
              <w:t>.</w:t>
            </w:r>
          </w:p>
        </w:tc>
      </w:tr>
      <w:tr w:rsidR="00D64336" w:rsidTr="00AE264A">
        <w:tc>
          <w:tcPr>
            <w:tcW w:w="8771" w:type="dxa"/>
            <w:tcBorders>
              <w:top w:val="nil"/>
              <w:left w:val="nil"/>
              <w:bottom w:val="single" w:sz="6" w:space="0" w:color="78A22F"/>
              <w:right w:val="nil"/>
            </w:tcBorders>
            <w:shd w:val="clear" w:color="auto" w:fill="auto"/>
          </w:tcPr>
          <w:p w:rsidR="00D64336" w:rsidRDefault="00D64336" w:rsidP="00AE264A">
            <w:pPr>
              <w:pStyle w:val="Figurespace"/>
            </w:pPr>
          </w:p>
        </w:tc>
      </w:tr>
      <w:tr w:rsidR="00D64336" w:rsidRPr="000863A5" w:rsidTr="00AE264A">
        <w:tc>
          <w:tcPr>
            <w:tcW w:w="8771" w:type="dxa"/>
            <w:tcBorders>
              <w:top w:val="single" w:sz="6" w:space="0" w:color="78A22F"/>
              <w:left w:val="nil"/>
              <w:bottom w:val="nil"/>
              <w:right w:val="nil"/>
            </w:tcBorders>
          </w:tcPr>
          <w:p w:rsidR="00D64336" w:rsidRPr="00626D32" w:rsidRDefault="00D64336" w:rsidP="00AE264A">
            <w:pPr>
              <w:pStyle w:val="BoxSpaceBelow"/>
            </w:pPr>
          </w:p>
        </w:tc>
      </w:tr>
    </w:tbl>
    <w:p w:rsidR="008D2100" w:rsidRDefault="00D64336" w:rsidP="00D64336">
      <w:pPr>
        <w:pStyle w:val="BodyText"/>
      </w:pPr>
      <w:r w:rsidRPr="00D64336">
        <w:t xml:space="preserve">Fetal deaths data by the Indigenous status of the mother are available for NSW, Queensland, WA, SA and the NT only. These five states and territories are considered to have adequate levels of identification </w:t>
      </w:r>
      <w:r w:rsidR="00F21886">
        <w:t xml:space="preserve">of Aboriginal and Torres Strait Islander people </w:t>
      </w:r>
      <w:r w:rsidRPr="00D64336">
        <w:t xml:space="preserve">in mortality data (ABS 2004). </w:t>
      </w:r>
      <w:r w:rsidR="008D2100">
        <w:t xml:space="preserve">There was significant variation in </w:t>
      </w:r>
      <w:r w:rsidR="008D2100" w:rsidRPr="00D64336">
        <w:t xml:space="preserve">the </w:t>
      </w:r>
      <w:proofErr w:type="spellStart"/>
      <w:r w:rsidR="008D2100" w:rsidRPr="00D64336">
        <w:t>fetal</w:t>
      </w:r>
      <w:proofErr w:type="spellEnd"/>
      <w:r w:rsidR="008D2100" w:rsidRPr="00D64336">
        <w:t xml:space="preserve"> death rates for </w:t>
      </w:r>
      <w:r w:rsidR="008D2100" w:rsidRPr="00CC4A84">
        <w:t xml:space="preserve">Aboriginal and Torres Strait Islander </w:t>
      </w:r>
      <w:r w:rsidR="008D2100" w:rsidRPr="00D64336">
        <w:t>Australians</w:t>
      </w:r>
      <w:r w:rsidR="00E27B34" w:rsidRPr="00E27B34">
        <w:t xml:space="preserve"> </w:t>
      </w:r>
      <w:r w:rsidR="00E27B34" w:rsidRPr="00D64336">
        <w:t>for the five jurisdictions for which data are available</w:t>
      </w:r>
      <w:r w:rsidR="00E27B34">
        <w:t xml:space="preserve"> (figure </w:t>
      </w:r>
      <w:r w:rsidR="00E27B34" w:rsidRPr="00D64336">
        <w:t>11.3</w:t>
      </w:r>
      <w:r w:rsidR="00E27B34">
        <w:t>5</w:t>
      </w:r>
      <w:r w:rsidR="00E27B34" w:rsidRPr="00D64336">
        <w:t>).</w:t>
      </w:r>
    </w:p>
    <w:p w:rsidR="00D64336" w:rsidRDefault="00D64336" w:rsidP="00AE26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64336" w:rsidTr="00AE264A">
        <w:tc>
          <w:tcPr>
            <w:tcW w:w="8771" w:type="dxa"/>
            <w:tcBorders>
              <w:top w:val="single" w:sz="6" w:space="0" w:color="78A22F"/>
              <w:left w:val="nil"/>
              <w:bottom w:val="nil"/>
              <w:right w:val="nil"/>
            </w:tcBorders>
            <w:shd w:val="clear" w:color="auto" w:fill="auto"/>
          </w:tcPr>
          <w:p w:rsidR="00D64336" w:rsidRPr="00176D3F" w:rsidRDefault="00D64336" w:rsidP="00D64336">
            <w:pPr>
              <w:pStyle w:val="FigureTitle"/>
            </w:pPr>
            <w:r w:rsidRPr="00784A05">
              <w:rPr>
                <w:b w:val="0"/>
              </w:rPr>
              <w:t xml:space="preserve">Figure </w:t>
            </w:r>
            <w:r w:rsidR="00F10933">
              <w:rPr>
                <w:b w:val="0"/>
              </w:rPr>
              <w:t>11.</w:t>
            </w:r>
            <w:r w:rsidR="009A53E9">
              <w:rPr>
                <w:b w:val="0"/>
                <w:noProof/>
              </w:rPr>
              <w:t>35</w:t>
            </w:r>
            <w:r>
              <w:tab/>
            </w:r>
            <w:r w:rsidRPr="00D64336">
              <w:t>Fetal death rate by Indigenous status of mother 200</w:t>
            </w:r>
            <w:r>
              <w:t>8</w:t>
            </w:r>
            <w:r w:rsidRPr="00D64336">
              <w:t>–201</w:t>
            </w:r>
            <w:r>
              <w:t>2</w:t>
            </w:r>
            <w:r w:rsidRPr="00D64336">
              <w:rPr>
                <w:rStyle w:val="NoteLabel"/>
                <w:b/>
                <w:szCs w:val="20"/>
              </w:rPr>
              <w:t>a</w:t>
            </w:r>
          </w:p>
        </w:tc>
      </w:tr>
      <w:tr w:rsidR="00D64336" w:rsidTr="00AE264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64336" w:rsidTr="00AE264A">
              <w:trPr>
                <w:jc w:val="center"/>
              </w:trPr>
              <w:tc>
                <w:tcPr>
                  <w:tcW w:w="5000" w:type="pct"/>
                  <w:tcBorders>
                    <w:top w:val="nil"/>
                    <w:bottom w:val="nil"/>
                  </w:tcBorders>
                </w:tcPr>
                <w:p w:rsidR="00D64336" w:rsidRDefault="001F000D" w:rsidP="00AE264A">
                  <w:pPr>
                    <w:pStyle w:val="Figure"/>
                    <w:spacing w:before="60" w:after="60"/>
                  </w:pPr>
                  <w:r>
                    <w:rPr>
                      <w:noProof/>
                    </w:rPr>
                    <w:drawing>
                      <wp:inline distT="0" distB="0" distL="0" distR="0">
                        <wp:extent cx="5391150" cy="2705100"/>
                        <wp:effectExtent l="0" t="0" r="0" b="0"/>
                        <wp:docPr id="38" name="Picture 38" descr="Figure 11.35 Fetal death rate by Indigenous status of mother 2008–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D64336" w:rsidRDefault="00D64336" w:rsidP="00AE264A">
            <w:pPr>
              <w:pStyle w:val="Figure"/>
            </w:pPr>
          </w:p>
        </w:tc>
      </w:tr>
      <w:tr w:rsidR="00D64336" w:rsidRPr="00176D3F" w:rsidTr="00AE264A">
        <w:tc>
          <w:tcPr>
            <w:tcW w:w="8771" w:type="dxa"/>
            <w:tcBorders>
              <w:top w:val="nil"/>
              <w:left w:val="nil"/>
              <w:bottom w:val="nil"/>
              <w:right w:val="nil"/>
            </w:tcBorders>
            <w:shd w:val="clear" w:color="auto" w:fill="auto"/>
          </w:tcPr>
          <w:p w:rsidR="00D64336" w:rsidRPr="00176D3F" w:rsidRDefault="00D64336" w:rsidP="001B47A8">
            <w:pPr>
              <w:pStyle w:val="Note"/>
            </w:pPr>
            <w:r>
              <w:rPr>
                <w:rStyle w:val="NoteLabel"/>
              </w:rPr>
              <w:t>a</w:t>
            </w:r>
            <w:r>
              <w:t xml:space="preserve"> </w:t>
            </w:r>
            <w:r w:rsidRPr="00D64336">
              <w:t xml:space="preserve">Data are reported individually by jurisdiction of residence </w:t>
            </w:r>
            <w:r w:rsidR="001B47A8">
              <w:t xml:space="preserve">of mother </w:t>
            </w:r>
            <w:r w:rsidRPr="00D64336">
              <w:t xml:space="preserve">for NSW, Queensland, WA, SA and the NT only. These jurisdictions have evidence of sufficient levels of identification and sufficient numbers of deaths. </w:t>
            </w:r>
            <w:r w:rsidR="001B47A8" w:rsidRPr="00D64336">
              <w:t>Data are not available for other jurisdictions.</w:t>
            </w:r>
            <w:r w:rsidR="001B47A8">
              <w:t xml:space="preserve"> </w:t>
            </w:r>
            <w:r w:rsidRPr="00D64336">
              <w:t xml:space="preserve">The total relates to those jurisdictions for which data are published. </w:t>
            </w:r>
          </w:p>
        </w:tc>
      </w:tr>
      <w:tr w:rsidR="00D64336" w:rsidRPr="00176D3F" w:rsidTr="00AE264A">
        <w:tc>
          <w:tcPr>
            <w:tcW w:w="8771" w:type="dxa"/>
            <w:tcBorders>
              <w:top w:val="nil"/>
              <w:left w:val="nil"/>
              <w:bottom w:val="nil"/>
              <w:right w:val="nil"/>
            </w:tcBorders>
            <w:shd w:val="clear" w:color="auto" w:fill="auto"/>
          </w:tcPr>
          <w:p w:rsidR="00D64336" w:rsidRPr="00176D3F" w:rsidRDefault="00D64336" w:rsidP="00F2723D">
            <w:pPr>
              <w:pStyle w:val="Source"/>
            </w:pPr>
            <w:r>
              <w:rPr>
                <w:i/>
              </w:rPr>
              <w:t>S</w:t>
            </w:r>
            <w:r w:rsidRPr="00784A05">
              <w:rPr>
                <w:i/>
              </w:rPr>
              <w:t>ource</w:t>
            </w:r>
            <w:r w:rsidRPr="00176D3F">
              <w:t xml:space="preserve">: </w:t>
            </w:r>
            <w:r w:rsidRPr="00D64336">
              <w:t xml:space="preserve">ABS (unpublished) </w:t>
            </w:r>
            <w:r w:rsidRPr="00D64336">
              <w:rPr>
                <w:i/>
              </w:rPr>
              <w:t>Perinatal deaths, Australia</w:t>
            </w:r>
            <w:r w:rsidRPr="00D64336">
              <w:t>, Cat. no. 3304.0; table 11A.1</w:t>
            </w:r>
            <w:r w:rsidR="00111DF5">
              <w:t>2</w:t>
            </w:r>
            <w:r w:rsidR="00F2723D">
              <w:t>1</w:t>
            </w:r>
            <w:r w:rsidRPr="00D64336">
              <w:t>.</w:t>
            </w:r>
          </w:p>
        </w:tc>
      </w:tr>
      <w:tr w:rsidR="00D64336" w:rsidTr="00AE264A">
        <w:tc>
          <w:tcPr>
            <w:tcW w:w="8771" w:type="dxa"/>
            <w:tcBorders>
              <w:top w:val="nil"/>
              <w:left w:val="nil"/>
              <w:bottom w:val="single" w:sz="6" w:space="0" w:color="78A22F"/>
              <w:right w:val="nil"/>
            </w:tcBorders>
            <w:shd w:val="clear" w:color="auto" w:fill="auto"/>
          </w:tcPr>
          <w:p w:rsidR="00D64336" w:rsidRDefault="00D64336" w:rsidP="00AE264A">
            <w:pPr>
              <w:pStyle w:val="Figurespace"/>
            </w:pPr>
          </w:p>
        </w:tc>
      </w:tr>
      <w:tr w:rsidR="00D64336" w:rsidRPr="000863A5" w:rsidTr="00AE264A">
        <w:tc>
          <w:tcPr>
            <w:tcW w:w="8771" w:type="dxa"/>
            <w:tcBorders>
              <w:top w:val="single" w:sz="6" w:space="0" w:color="78A22F"/>
              <w:left w:val="nil"/>
              <w:bottom w:val="nil"/>
              <w:right w:val="nil"/>
            </w:tcBorders>
          </w:tcPr>
          <w:p w:rsidR="00D64336" w:rsidRPr="00626D32" w:rsidRDefault="00D64336" w:rsidP="00AE264A">
            <w:pPr>
              <w:pStyle w:val="BoxSpaceBelow"/>
            </w:pPr>
          </w:p>
        </w:tc>
      </w:tr>
    </w:tbl>
    <w:p w:rsidR="00C778D5" w:rsidRDefault="00C778D5" w:rsidP="00C778D5">
      <w:pPr>
        <w:pStyle w:val="Heading5"/>
      </w:pPr>
      <w:r>
        <w:t>Neonatal death rate</w:t>
      </w:r>
    </w:p>
    <w:p w:rsidR="00C778D5" w:rsidRDefault="00C778D5" w:rsidP="00C778D5">
      <w:pPr>
        <w:pStyle w:val="BodyText"/>
      </w:pPr>
      <w:r>
        <w:t>Neonatal death rates are reported in figure 11.3</w:t>
      </w:r>
      <w:r w:rsidR="00F10933">
        <w:t>6</w:t>
      </w:r>
      <w:r>
        <w:t>. Nationally, neonatal death rates have declined over the period 200</w:t>
      </w:r>
      <w:r w:rsidR="00502C22">
        <w:t>8</w:t>
      </w:r>
      <w:r>
        <w:t>–201</w:t>
      </w:r>
      <w:r w:rsidR="00502C22">
        <w:t>2</w:t>
      </w:r>
      <w:r>
        <w:t>. National time series for neona</w:t>
      </w:r>
      <w:r w:rsidR="00502C22">
        <w:t>tal death rates for the period 2003</w:t>
      </w:r>
      <w:r>
        <w:t xml:space="preserve"> to 201</w:t>
      </w:r>
      <w:r w:rsidR="00502C22">
        <w:t>2</w:t>
      </w:r>
      <w:r>
        <w:t xml:space="preserve"> are included in table 11A.1</w:t>
      </w:r>
      <w:r w:rsidR="00F2723D">
        <w:t>19</w:t>
      </w:r>
      <w:r>
        <w:t xml:space="preserve">. </w:t>
      </w:r>
    </w:p>
    <w:p w:rsidR="00D64336" w:rsidRDefault="00C778D5" w:rsidP="00C778D5">
      <w:pPr>
        <w:pStyle w:val="BodyText"/>
      </w:pPr>
      <w:r>
        <w:t xml:space="preserve">Neonatal deaths data by the Indigenous status of the mother are available for NSW, Queensland, WA, SA and the NT only. These five states and territories are considered to have adequate levels of identification </w:t>
      </w:r>
      <w:r w:rsidR="009F2AFB">
        <w:t xml:space="preserve">of Aboriginal and Torres Strait Islander people </w:t>
      </w:r>
      <w:r>
        <w:t xml:space="preserve">in mortality data (ABS 2004). In </w:t>
      </w:r>
      <w:r w:rsidR="00E179DE">
        <w:t xml:space="preserve">four of the jurisdictions </w:t>
      </w:r>
      <w:r>
        <w:t xml:space="preserve">for which data are available, the neonatal death rates for </w:t>
      </w:r>
      <w:r w:rsidR="00CC4A84" w:rsidRPr="00CC4A84">
        <w:t xml:space="preserve">Aboriginal and Torres Strait Islander </w:t>
      </w:r>
      <w:r>
        <w:t xml:space="preserve">Australians are higher than those for </w:t>
      </w:r>
      <w:r w:rsidR="00CC4A84">
        <w:t>other</w:t>
      </w:r>
      <w:r>
        <w:t xml:space="preserve"> Australians (figure 11.3</w:t>
      </w:r>
      <w:r w:rsidR="00F10933">
        <w:t>7</w:t>
      </w:r>
      <w:r>
        <w:t>).</w:t>
      </w:r>
    </w:p>
    <w:p w:rsidR="00C778D5" w:rsidRDefault="00C778D5" w:rsidP="00AE26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778D5" w:rsidTr="00AE264A">
        <w:tc>
          <w:tcPr>
            <w:tcW w:w="8771" w:type="dxa"/>
            <w:tcBorders>
              <w:top w:val="single" w:sz="6" w:space="0" w:color="78A22F"/>
              <w:left w:val="nil"/>
              <w:bottom w:val="nil"/>
              <w:right w:val="nil"/>
            </w:tcBorders>
            <w:shd w:val="clear" w:color="auto" w:fill="auto"/>
          </w:tcPr>
          <w:p w:rsidR="00C778D5" w:rsidRPr="00176D3F" w:rsidRDefault="00C778D5" w:rsidP="00C778D5">
            <w:pPr>
              <w:pStyle w:val="FigureTitle"/>
            </w:pPr>
            <w:r w:rsidRPr="00784A05">
              <w:rPr>
                <w:b w:val="0"/>
              </w:rPr>
              <w:t xml:space="preserve">Figure </w:t>
            </w:r>
            <w:r w:rsidR="00F10933">
              <w:rPr>
                <w:b w:val="0"/>
              </w:rPr>
              <w:t>11.</w:t>
            </w:r>
            <w:r w:rsidR="009A53E9">
              <w:rPr>
                <w:b w:val="0"/>
                <w:noProof/>
              </w:rPr>
              <w:t>36</w:t>
            </w:r>
            <w:r>
              <w:tab/>
            </w:r>
            <w:r w:rsidRPr="00C778D5">
              <w:t>Neonatal death rate</w:t>
            </w:r>
            <w:r w:rsidRPr="00C778D5">
              <w:rPr>
                <w:rStyle w:val="NoteLabel"/>
                <w:b/>
                <w:szCs w:val="20"/>
              </w:rPr>
              <w:t>a</w:t>
            </w:r>
          </w:p>
        </w:tc>
      </w:tr>
      <w:tr w:rsidR="00C778D5" w:rsidTr="00AE264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778D5" w:rsidTr="00AE264A">
              <w:trPr>
                <w:jc w:val="center"/>
              </w:trPr>
              <w:tc>
                <w:tcPr>
                  <w:tcW w:w="5000" w:type="pct"/>
                  <w:tcBorders>
                    <w:top w:val="nil"/>
                    <w:bottom w:val="nil"/>
                  </w:tcBorders>
                </w:tcPr>
                <w:p w:rsidR="00C778D5" w:rsidRDefault="009807FC" w:rsidP="00AE264A">
                  <w:pPr>
                    <w:pStyle w:val="Figure"/>
                    <w:spacing w:before="60" w:after="60"/>
                  </w:pPr>
                  <w:r>
                    <w:rPr>
                      <w:noProof/>
                    </w:rPr>
                    <w:drawing>
                      <wp:inline distT="0" distB="0" distL="0" distR="0">
                        <wp:extent cx="5391150" cy="2695575"/>
                        <wp:effectExtent l="0" t="0" r="0" b="9525"/>
                        <wp:docPr id="31" name="Picture 31" descr="Figure 11.36 Neonatal death rat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C778D5" w:rsidRDefault="00C778D5" w:rsidP="00AE264A">
            <w:pPr>
              <w:pStyle w:val="Figure"/>
            </w:pPr>
          </w:p>
        </w:tc>
        <w:bookmarkStart w:id="11" w:name="_GoBack"/>
        <w:bookmarkEnd w:id="11"/>
      </w:tr>
      <w:tr w:rsidR="00C778D5" w:rsidRPr="00176D3F" w:rsidTr="00AE264A">
        <w:tc>
          <w:tcPr>
            <w:tcW w:w="8771" w:type="dxa"/>
            <w:tcBorders>
              <w:top w:val="nil"/>
              <w:left w:val="nil"/>
              <w:bottom w:val="nil"/>
              <w:right w:val="nil"/>
            </w:tcBorders>
            <w:shd w:val="clear" w:color="auto" w:fill="auto"/>
          </w:tcPr>
          <w:p w:rsidR="00C778D5" w:rsidRPr="00176D3F" w:rsidRDefault="00C778D5" w:rsidP="00AE264A">
            <w:pPr>
              <w:pStyle w:val="Note"/>
            </w:pPr>
            <w:r>
              <w:rPr>
                <w:rStyle w:val="NoteLabel"/>
              </w:rPr>
              <w:t>a</w:t>
            </w:r>
            <w:r>
              <w:t xml:space="preserve"> </w:t>
            </w:r>
            <w:r w:rsidRPr="00C778D5">
              <w:t>Annual rates fluctuate (in particular, for smaller jurisdictions) as a result of a low incidence of neonatal deaths and small populations.</w:t>
            </w:r>
          </w:p>
        </w:tc>
      </w:tr>
      <w:tr w:rsidR="00C778D5" w:rsidRPr="00176D3F" w:rsidTr="00AE264A">
        <w:tc>
          <w:tcPr>
            <w:tcW w:w="8771" w:type="dxa"/>
            <w:tcBorders>
              <w:top w:val="nil"/>
              <w:left w:val="nil"/>
              <w:bottom w:val="nil"/>
              <w:right w:val="nil"/>
            </w:tcBorders>
            <w:shd w:val="clear" w:color="auto" w:fill="auto"/>
          </w:tcPr>
          <w:p w:rsidR="00C778D5" w:rsidRPr="00176D3F" w:rsidRDefault="00C778D5" w:rsidP="00F2723D">
            <w:pPr>
              <w:pStyle w:val="Source"/>
            </w:pPr>
            <w:r>
              <w:rPr>
                <w:i/>
              </w:rPr>
              <w:t>S</w:t>
            </w:r>
            <w:r w:rsidRPr="00784A05">
              <w:rPr>
                <w:i/>
              </w:rPr>
              <w:t>ource</w:t>
            </w:r>
            <w:r w:rsidRPr="00176D3F">
              <w:t xml:space="preserve">: </w:t>
            </w:r>
            <w:r w:rsidRPr="00C778D5">
              <w:t xml:space="preserve">ABS (unpublished) </w:t>
            </w:r>
            <w:r w:rsidRPr="00C778D5">
              <w:rPr>
                <w:i/>
              </w:rPr>
              <w:t>Perinatal deaths, Australia</w:t>
            </w:r>
            <w:r w:rsidRPr="00C778D5">
              <w:t>, Cat. no. 3304.0; table 11A.1</w:t>
            </w:r>
            <w:r w:rsidR="00F2723D">
              <w:t>18</w:t>
            </w:r>
            <w:r>
              <w:t>.</w:t>
            </w:r>
          </w:p>
        </w:tc>
      </w:tr>
      <w:tr w:rsidR="00C778D5" w:rsidTr="00AE264A">
        <w:tc>
          <w:tcPr>
            <w:tcW w:w="8771" w:type="dxa"/>
            <w:tcBorders>
              <w:top w:val="nil"/>
              <w:left w:val="nil"/>
              <w:bottom w:val="single" w:sz="6" w:space="0" w:color="78A22F"/>
              <w:right w:val="nil"/>
            </w:tcBorders>
            <w:shd w:val="clear" w:color="auto" w:fill="auto"/>
          </w:tcPr>
          <w:p w:rsidR="00C778D5" w:rsidRDefault="00C778D5" w:rsidP="00AE264A">
            <w:pPr>
              <w:pStyle w:val="Figurespace"/>
            </w:pPr>
          </w:p>
        </w:tc>
      </w:tr>
      <w:tr w:rsidR="00C778D5" w:rsidRPr="000863A5" w:rsidTr="00AE264A">
        <w:tc>
          <w:tcPr>
            <w:tcW w:w="8771" w:type="dxa"/>
            <w:tcBorders>
              <w:top w:val="single" w:sz="6" w:space="0" w:color="78A22F"/>
              <w:left w:val="nil"/>
              <w:bottom w:val="nil"/>
              <w:right w:val="nil"/>
            </w:tcBorders>
          </w:tcPr>
          <w:p w:rsidR="00C778D5" w:rsidRPr="00626D32" w:rsidRDefault="00C778D5" w:rsidP="00AE264A">
            <w:pPr>
              <w:pStyle w:val="BoxSpaceBelow"/>
            </w:pPr>
          </w:p>
        </w:tc>
      </w:tr>
    </w:tbl>
    <w:p w:rsidR="00C778D5" w:rsidRDefault="00C778D5" w:rsidP="00AE26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778D5" w:rsidTr="00AE264A">
        <w:tc>
          <w:tcPr>
            <w:tcW w:w="8771" w:type="dxa"/>
            <w:tcBorders>
              <w:top w:val="single" w:sz="6" w:space="0" w:color="78A22F"/>
              <w:left w:val="nil"/>
              <w:bottom w:val="nil"/>
              <w:right w:val="nil"/>
            </w:tcBorders>
            <w:shd w:val="clear" w:color="auto" w:fill="auto"/>
          </w:tcPr>
          <w:p w:rsidR="00C778D5" w:rsidRPr="00176D3F" w:rsidRDefault="00C778D5" w:rsidP="00C778D5">
            <w:pPr>
              <w:pStyle w:val="FigureTitle"/>
            </w:pPr>
            <w:r w:rsidRPr="00784A05">
              <w:rPr>
                <w:b w:val="0"/>
              </w:rPr>
              <w:t xml:space="preserve">Figure </w:t>
            </w:r>
            <w:r w:rsidR="00F10933">
              <w:rPr>
                <w:b w:val="0"/>
              </w:rPr>
              <w:t>11.</w:t>
            </w:r>
            <w:r w:rsidR="009A53E9">
              <w:rPr>
                <w:b w:val="0"/>
                <w:noProof/>
              </w:rPr>
              <w:t>37</w:t>
            </w:r>
            <w:r>
              <w:tab/>
              <w:t xml:space="preserve">Neonatal death rate by Indigenous status of mother </w:t>
            </w:r>
            <w:r w:rsidR="009F2AFB">
              <w:br/>
            </w:r>
            <w:r>
              <w:t>2008–2012</w:t>
            </w:r>
            <w:r w:rsidRPr="00C778D5">
              <w:rPr>
                <w:rStyle w:val="NoteLabel"/>
                <w:b/>
                <w:szCs w:val="20"/>
              </w:rPr>
              <w:t>a</w:t>
            </w:r>
          </w:p>
        </w:tc>
      </w:tr>
      <w:tr w:rsidR="00C778D5" w:rsidTr="00AE264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778D5" w:rsidTr="00AE264A">
              <w:trPr>
                <w:jc w:val="center"/>
              </w:trPr>
              <w:tc>
                <w:tcPr>
                  <w:tcW w:w="5000" w:type="pct"/>
                  <w:tcBorders>
                    <w:top w:val="nil"/>
                    <w:bottom w:val="nil"/>
                  </w:tcBorders>
                </w:tcPr>
                <w:p w:rsidR="00C778D5" w:rsidRDefault="001F000D" w:rsidP="00AE264A">
                  <w:pPr>
                    <w:pStyle w:val="Figure"/>
                    <w:spacing w:before="60" w:after="60"/>
                  </w:pPr>
                  <w:r>
                    <w:rPr>
                      <w:noProof/>
                    </w:rPr>
                    <w:drawing>
                      <wp:inline distT="0" distB="0" distL="0" distR="0">
                        <wp:extent cx="5391150" cy="2705100"/>
                        <wp:effectExtent l="0" t="0" r="0" b="0"/>
                        <wp:docPr id="40" name="Picture 40" descr="Figure 11.37 Neonatal death rate by Indigenous status of mother &#10;2008–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C778D5" w:rsidRDefault="00C778D5" w:rsidP="00AE264A">
            <w:pPr>
              <w:pStyle w:val="Figure"/>
            </w:pPr>
          </w:p>
        </w:tc>
      </w:tr>
      <w:tr w:rsidR="00C778D5" w:rsidRPr="00176D3F" w:rsidTr="00AE264A">
        <w:tc>
          <w:tcPr>
            <w:tcW w:w="8771" w:type="dxa"/>
            <w:tcBorders>
              <w:top w:val="nil"/>
              <w:left w:val="nil"/>
              <w:bottom w:val="nil"/>
              <w:right w:val="nil"/>
            </w:tcBorders>
            <w:shd w:val="clear" w:color="auto" w:fill="auto"/>
          </w:tcPr>
          <w:p w:rsidR="00C778D5" w:rsidRPr="00176D3F" w:rsidRDefault="00C778D5" w:rsidP="001B47A8">
            <w:pPr>
              <w:pStyle w:val="Note"/>
            </w:pPr>
            <w:r>
              <w:rPr>
                <w:rStyle w:val="NoteLabel"/>
              </w:rPr>
              <w:t>a</w:t>
            </w:r>
            <w:r>
              <w:t xml:space="preserve"> </w:t>
            </w:r>
            <w:r w:rsidRPr="00C778D5">
              <w:t xml:space="preserve">Data are reported individually by jurisdiction of residence </w:t>
            </w:r>
            <w:r w:rsidR="001B47A8">
              <w:t xml:space="preserve">of mother </w:t>
            </w:r>
            <w:r w:rsidRPr="00C778D5">
              <w:t xml:space="preserve">for NSW, Queensland, WA, SA and the NT only. These jurisdictions have evidence of sufficient levels of identification and sufficient numbers of deaths. </w:t>
            </w:r>
            <w:r w:rsidR="001B47A8" w:rsidRPr="00C778D5">
              <w:t>Data are not available for other jurisdictions.</w:t>
            </w:r>
            <w:r w:rsidR="001B47A8">
              <w:t xml:space="preserve"> </w:t>
            </w:r>
            <w:r w:rsidRPr="00C778D5">
              <w:t xml:space="preserve">The total relates to those jurisdictions for which data are published. </w:t>
            </w:r>
          </w:p>
        </w:tc>
      </w:tr>
      <w:tr w:rsidR="00C778D5" w:rsidRPr="00176D3F" w:rsidTr="00AE264A">
        <w:tc>
          <w:tcPr>
            <w:tcW w:w="8771" w:type="dxa"/>
            <w:tcBorders>
              <w:top w:val="nil"/>
              <w:left w:val="nil"/>
              <w:bottom w:val="nil"/>
              <w:right w:val="nil"/>
            </w:tcBorders>
            <w:shd w:val="clear" w:color="auto" w:fill="auto"/>
          </w:tcPr>
          <w:p w:rsidR="00C778D5" w:rsidRPr="00176D3F" w:rsidRDefault="00C778D5" w:rsidP="00F2723D">
            <w:pPr>
              <w:pStyle w:val="Source"/>
            </w:pPr>
            <w:r>
              <w:rPr>
                <w:i/>
              </w:rPr>
              <w:t>S</w:t>
            </w:r>
            <w:r w:rsidRPr="00784A05">
              <w:rPr>
                <w:i/>
              </w:rPr>
              <w:t>ource</w:t>
            </w:r>
            <w:r w:rsidRPr="00176D3F">
              <w:t xml:space="preserve">: </w:t>
            </w:r>
            <w:r w:rsidRPr="00C778D5">
              <w:t xml:space="preserve">ABS (unpublished) </w:t>
            </w:r>
            <w:r w:rsidRPr="00C778D5">
              <w:rPr>
                <w:i/>
              </w:rPr>
              <w:t>Perinatal deaths, Australia</w:t>
            </w:r>
            <w:r w:rsidRPr="00C778D5">
              <w:t>, Cat. no. 3304.0; table 11A.1</w:t>
            </w:r>
            <w:r w:rsidR="001F3C85">
              <w:t>2</w:t>
            </w:r>
            <w:r w:rsidR="00F2723D">
              <w:t>1</w:t>
            </w:r>
            <w:r w:rsidRPr="00C778D5">
              <w:t>.</w:t>
            </w:r>
          </w:p>
        </w:tc>
      </w:tr>
      <w:tr w:rsidR="00C778D5" w:rsidTr="00AE264A">
        <w:tc>
          <w:tcPr>
            <w:tcW w:w="8771" w:type="dxa"/>
            <w:tcBorders>
              <w:top w:val="nil"/>
              <w:left w:val="nil"/>
              <w:bottom w:val="single" w:sz="6" w:space="0" w:color="78A22F"/>
              <w:right w:val="nil"/>
            </w:tcBorders>
            <w:shd w:val="clear" w:color="auto" w:fill="auto"/>
          </w:tcPr>
          <w:p w:rsidR="00C778D5" w:rsidRDefault="00C778D5" w:rsidP="00AE264A">
            <w:pPr>
              <w:pStyle w:val="Figurespace"/>
            </w:pPr>
          </w:p>
        </w:tc>
      </w:tr>
      <w:tr w:rsidR="00C778D5" w:rsidRPr="000863A5" w:rsidTr="00AE264A">
        <w:tc>
          <w:tcPr>
            <w:tcW w:w="8771" w:type="dxa"/>
            <w:tcBorders>
              <w:top w:val="single" w:sz="6" w:space="0" w:color="78A22F"/>
              <w:left w:val="nil"/>
              <w:bottom w:val="nil"/>
              <w:right w:val="nil"/>
            </w:tcBorders>
          </w:tcPr>
          <w:p w:rsidR="00C778D5" w:rsidRPr="00626D32" w:rsidRDefault="00C778D5" w:rsidP="00AE264A">
            <w:pPr>
              <w:pStyle w:val="BoxSpaceBelow"/>
            </w:pPr>
          </w:p>
        </w:tc>
      </w:tr>
    </w:tbl>
    <w:p w:rsidR="00C778D5" w:rsidRDefault="00C778D5" w:rsidP="00C778D5">
      <w:pPr>
        <w:pStyle w:val="Heading5"/>
      </w:pPr>
      <w:r>
        <w:lastRenderedPageBreak/>
        <w:t>Perinatal death rate</w:t>
      </w:r>
    </w:p>
    <w:p w:rsidR="00C778D5" w:rsidRDefault="00C778D5" w:rsidP="00C778D5">
      <w:pPr>
        <w:pStyle w:val="BodyText"/>
      </w:pPr>
      <w:r>
        <w:t>Perinatal death rates are shown in figure 11.3</w:t>
      </w:r>
      <w:r w:rsidR="00F10933">
        <w:t>8</w:t>
      </w:r>
      <w:r>
        <w:t xml:space="preserve">. </w:t>
      </w:r>
      <w:r w:rsidR="00A40CB4" w:rsidRPr="00A40CB4">
        <w:t xml:space="preserve">Nationally, </w:t>
      </w:r>
      <w:r w:rsidR="00A40CB4">
        <w:t>perinatal</w:t>
      </w:r>
      <w:r w:rsidR="00A40CB4" w:rsidRPr="00A40CB4">
        <w:t xml:space="preserve"> death rates have been steady over the period 2008–2012. </w:t>
      </w:r>
      <w:r>
        <w:t xml:space="preserve">National time series for perinatal death rates for the period </w:t>
      </w:r>
      <w:r w:rsidR="00502C22">
        <w:t>2003</w:t>
      </w:r>
      <w:r>
        <w:t xml:space="preserve"> to 201</w:t>
      </w:r>
      <w:r w:rsidR="00502C22">
        <w:t>2</w:t>
      </w:r>
      <w:r>
        <w:t xml:space="preserve"> are included in table 11A.1</w:t>
      </w:r>
      <w:r w:rsidR="00F2723D">
        <w:t>19</w:t>
      </w:r>
      <w:r>
        <w:t>.</w:t>
      </w:r>
    </w:p>
    <w:p w:rsidR="00C778D5" w:rsidRDefault="00C778D5" w:rsidP="00AE26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778D5" w:rsidTr="00AE264A">
        <w:tc>
          <w:tcPr>
            <w:tcW w:w="8771" w:type="dxa"/>
            <w:tcBorders>
              <w:top w:val="single" w:sz="6" w:space="0" w:color="78A22F"/>
              <w:left w:val="nil"/>
              <w:bottom w:val="nil"/>
              <w:right w:val="nil"/>
            </w:tcBorders>
            <w:shd w:val="clear" w:color="auto" w:fill="auto"/>
          </w:tcPr>
          <w:p w:rsidR="00C778D5" w:rsidRPr="00176D3F" w:rsidRDefault="00C778D5" w:rsidP="00C778D5">
            <w:pPr>
              <w:pStyle w:val="FigureTitle"/>
            </w:pPr>
            <w:r w:rsidRPr="00784A05">
              <w:rPr>
                <w:b w:val="0"/>
              </w:rPr>
              <w:t xml:space="preserve">Figure </w:t>
            </w:r>
            <w:r w:rsidR="00F10933">
              <w:rPr>
                <w:b w:val="0"/>
              </w:rPr>
              <w:t>11.</w:t>
            </w:r>
            <w:r w:rsidR="009A53E9">
              <w:rPr>
                <w:b w:val="0"/>
                <w:noProof/>
              </w:rPr>
              <w:t>38</w:t>
            </w:r>
            <w:r>
              <w:tab/>
            </w:r>
            <w:r w:rsidRPr="00C778D5">
              <w:t>Perinatal death rate</w:t>
            </w:r>
            <w:r w:rsidRPr="00C778D5">
              <w:rPr>
                <w:rStyle w:val="NoteLabel"/>
                <w:b/>
                <w:szCs w:val="20"/>
              </w:rPr>
              <w:t>a, b</w:t>
            </w:r>
          </w:p>
        </w:tc>
      </w:tr>
      <w:tr w:rsidR="00C778D5" w:rsidTr="00AE264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778D5" w:rsidTr="00AE264A">
              <w:trPr>
                <w:jc w:val="center"/>
              </w:trPr>
              <w:tc>
                <w:tcPr>
                  <w:tcW w:w="5000" w:type="pct"/>
                  <w:tcBorders>
                    <w:top w:val="nil"/>
                    <w:bottom w:val="nil"/>
                  </w:tcBorders>
                </w:tcPr>
                <w:p w:rsidR="00C778D5" w:rsidRDefault="001F000D" w:rsidP="00AE264A">
                  <w:pPr>
                    <w:pStyle w:val="Figure"/>
                    <w:spacing w:before="60" w:after="60"/>
                  </w:pPr>
                  <w:r>
                    <w:rPr>
                      <w:noProof/>
                    </w:rPr>
                    <w:drawing>
                      <wp:inline distT="0" distB="0" distL="0" distR="0">
                        <wp:extent cx="5391150" cy="2705100"/>
                        <wp:effectExtent l="0" t="0" r="0" b="0"/>
                        <wp:docPr id="41" name="Picture 41" descr="Figure 11.38 Perinatal death rat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C778D5" w:rsidRDefault="00C778D5" w:rsidP="00AE264A">
            <w:pPr>
              <w:pStyle w:val="Figure"/>
            </w:pPr>
          </w:p>
        </w:tc>
      </w:tr>
      <w:tr w:rsidR="00C778D5" w:rsidRPr="00176D3F" w:rsidTr="00AE264A">
        <w:tc>
          <w:tcPr>
            <w:tcW w:w="8771" w:type="dxa"/>
            <w:tcBorders>
              <w:top w:val="nil"/>
              <w:left w:val="nil"/>
              <w:bottom w:val="nil"/>
              <w:right w:val="nil"/>
            </w:tcBorders>
            <w:shd w:val="clear" w:color="auto" w:fill="auto"/>
          </w:tcPr>
          <w:p w:rsidR="00C778D5" w:rsidRPr="00176D3F" w:rsidRDefault="00C778D5" w:rsidP="00AE264A">
            <w:pPr>
              <w:pStyle w:val="Note"/>
            </w:pPr>
            <w:r>
              <w:rPr>
                <w:rStyle w:val="NoteLabel"/>
              </w:rPr>
              <w:t>a</w:t>
            </w:r>
            <w:r>
              <w:t xml:space="preserve"> </w:t>
            </w:r>
            <w:r w:rsidRPr="00C778D5">
              <w:t xml:space="preserve">Annual rates fluctuate (in particular, for smaller jurisdictions) as a result of a low incidence of perinatal deaths. </w:t>
            </w:r>
            <w:r w:rsidRPr="00C778D5">
              <w:rPr>
                <w:rStyle w:val="NoteLabel"/>
              </w:rPr>
              <w:t>b</w:t>
            </w:r>
            <w:r w:rsidRPr="00C778D5">
              <w:t xml:space="preserve"> </w:t>
            </w:r>
            <w:r w:rsidR="00841728" w:rsidRPr="00841728">
              <w:t>Some ACT stillbirth data were not received or processed by the ABS in time for finalisation of the 2008 reference year. According to scope rules these 2008 data were included in the 2010 reference year. The data for the ACT and the Australian total therefore show a decline in 2008 and an increase in 2010 which is not related to any actual significant change in fetal death rates.</w:t>
            </w:r>
          </w:p>
        </w:tc>
      </w:tr>
      <w:tr w:rsidR="00C778D5" w:rsidRPr="00176D3F" w:rsidTr="00AE264A">
        <w:tc>
          <w:tcPr>
            <w:tcW w:w="8771" w:type="dxa"/>
            <w:tcBorders>
              <w:top w:val="nil"/>
              <w:left w:val="nil"/>
              <w:bottom w:val="nil"/>
              <w:right w:val="nil"/>
            </w:tcBorders>
            <w:shd w:val="clear" w:color="auto" w:fill="auto"/>
          </w:tcPr>
          <w:p w:rsidR="00C778D5" w:rsidRPr="00176D3F" w:rsidRDefault="00C778D5" w:rsidP="00F2723D">
            <w:pPr>
              <w:pStyle w:val="Source"/>
            </w:pPr>
            <w:r>
              <w:rPr>
                <w:i/>
              </w:rPr>
              <w:t>S</w:t>
            </w:r>
            <w:r w:rsidRPr="00784A05">
              <w:rPr>
                <w:i/>
              </w:rPr>
              <w:t>ource</w:t>
            </w:r>
            <w:r w:rsidRPr="00176D3F">
              <w:t xml:space="preserve">: </w:t>
            </w:r>
            <w:r w:rsidRPr="00C778D5">
              <w:t xml:space="preserve">ABS (unpublished) </w:t>
            </w:r>
            <w:r w:rsidRPr="00C778D5">
              <w:rPr>
                <w:i/>
              </w:rPr>
              <w:t>Perinatal deaths, Australia</w:t>
            </w:r>
            <w:r w:rsidRPr="00C778D5">
              <w:t>, Cat. no. 3304.0; table 11A.1</w:t>
            </w:r>
            <w:r w:rsidR="001F3C85">
              <w:t>2</w:t>
            </w:r>
            <w:r w:rsidR="00F2723D">
              <w:t>0</w:t>
            </w:r>
            <w:r w:rsidRPr="00C778D5">
              <w:t>.</w:t>
            </w:r>
          </w:p>
        </w:tc>
      </w:tr>
      <w:tr w:rsidR="00C778D5" w:rsidTr="00AE264A">
        <w:tc>
          <w:tcPr>
            <w:tcW w:w="8771" w:type="dxa"/>
            <w:tcBorders>
              <w:top w:val="nil"/>
              <w:left w:val="nil"/>
              <w:bottom w:val="single" w:sz="6" w:space="0" w:color="78A22F"/>
              <w:right w:val="nil"/>
            </w:tcBorders>
            <w:shd w:val="clear" w:color="auto" w:fill="auto"/>
          </w:tcPr>
          <w:p w:rsidR="00C778D5" w:rsidRDefault="00C778D5" w:rsidP="00AE264A">
            <w:pPr>
              <w:pStyle w:val="Figurespace"/>
            </w:pPr>
          </w:p>
        </w:tc>
      </w:tr>
      <w:tr w:rsidR="00C778D5" w:rsidRPr="000863A5" w:rsidTr="00AE264A">
        <w:tc>
          <w:tcPr>
            <w:tcW w:w="8771" w:type="dxa"/>
            <w:tcBorders>
              <w:top w:val="single" w:sz="6" w:space="0" w:color="78A22F"/>
              <w:left w:val="nil"/>
              <w:bottom w:val="nil"/>
              <w:right w:val="nil"/>
            </w:tcBorders>
          </w:tcPr>
          <w:p w:rsidR="00C778D5" w:rsidRPr="00626D32" w:rsidRDefault="00C778D5" w:rsidP="00AE264A">
            <w:pPr>
              <w:pStyle w:val="BoxSpaceBelow"/>
            </w:pPr>
          </w:p>
        </w:tc>
      </w:tr>
    </w:tbl>
    <w:p w:rsidR="00C778D5" w:rsidRDefault="00C778D5" w:rsidP="00C778D5">
      <w:pPr>
        <w:pStyle w:val="BodyText"/>
      </w:pPr>
      <w:r w:rsidRPr="00C778D5">
        <w:t xml:space="preserve">Perinatal deaths data by the Indigenous status of the mother are available for NSW, Queensland, WA, SA and the NT only. These five states and territories are considered to have adequate levels of identification </w:t>
      </w:r>
      <w:r w:rsidR="009F2AFB">
        <w:t xml:space="preserve">of Aboriginal and Torres Strait Islander people </w:t>
      </w:r>
      <w:r w:rsidRPr="00C778D5">
        <w:t xml:space="preserve">in mortality data (ABS 2004). In three of the jurisdictions for which data are available, perinatal death rates for </w:t>
      </w:r>
      <w:r w:rsidR="00CC4A84" w:rsidRPr="00CC4A84">
        <w:t xml:space="preserve">Aboriginal and Torres Strait Islander </w:t>
      </w:r>
      <w:r w:rsidRPr="00C778D5">
        <w:t xml:space="preserve">Australians are higher than those for </w:t>
      </w:r>
      <w:r w:rsidR="00CC4A84">
        <w:t>other</w:t>
      </w:r>
      <w:r w:rsidRPr="00C778D5">
        <w:t xml:space="preserve"> Australians (figure 11.3</w:t>
      </w:r>
      <w:r w:rsidR="00F10933">
        <w:t>9</w:t>
      </w:r>
      <w:r w:rsidRPr="00C778D5">
        <w:t>).</w:t>
      </w:r>
    </w:p>
    <w:p w:rsidR="00843167" w:rsidRDefault="00843167" w:rsidP="00AE26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43167" w:rsidTr="00AE264A">
        <w:tc>
          <w:tcPr>
            <w:tcW w:w="8771" w:type="dxa"/>
            <w:tcBorders>
              <w:top w:val="single" w:sz="6" w:space="0" w:color="78A22F"/>
              <w:left w:val="nil"/>
              <w:bottom w:val="nil"/>
              <w:right w:val="nil"/>
            </w:tcBorders>
            <w:shd w:val="clear" w:color="auto" w:fill="auto"/>
          </w:tcPr>
          <w:p w:rsidR="00843167" w:rsidRPr="00176D3F" w:rsidRDefault="00843167" w:rsidP="008B6B5A">
            <w:pPr>
              <w:pStyle w:val="FigureTitle"/>
            </w:pPr>
            <w:r w:rsidRPr="00784A05">
              <w:rPr>
                <w:b w:val="0"/>
              </w:rPr>
              <w:t xml:space="preserve">Figure </w:t>
            </w:r>
            <w:r w:rsidR="00F10933">
              <w:rPr>
                <w:b w:val="0"/>
              </w:rPr>
              <w:t>11.</w:t>
            </w:r>
            <w:r w:rsidR="009A53E9">
              <w:rPr>
                <w:b w:val="0"/>
                <w:noProof/>
              </w:rPr>
              <w:t>39</w:t>
            </w:r>
            <w:r>
              <w:tab/>
              <w:t xml:space="preserve">Perinatal death rate by Indigenous status of mother </w:t>
            </w:r>
            <w:r w:rsidR="008B6B5A">
              <w:br/>
            </w:r>
            <w:r>
              <w:t>2008–2012</w:t>
            </w:r>
            <w:r w:rsidRPr="00843167">
              <w:rPr>
                <w:rStyle w:val="NoteLabel"/>
                <w:b/>
                <w:szCs w:val="20"/>
              </w:rPr>
              <w:t>a</w:t>
            </w:r>
          </w:p>
        </w:tc>
      </w:tr>
      <w:tr w:rsidR="00843167" w:rsidTr="00AE264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43167" w:rsidTr="00AE264A">
              <w:trPr>
                <w:jc w:val="center"/>
              </w:trPr>
              <w:tc>
                <w:tcPr>
                  <w:tcW w:w="5000" w:type="pct"/>
                  <w:tcBorders>
                    <w:top w:val="nil"/>
                    <w:bottom w:val="nil"/>
                  </w:tcBorders>
                </w:tcPr>
                <w:p w:rsidR="00843167" w:rsidRDefault="001F000D" w:rsidP="00AE264A">
                  <w:pPr>
                    <w:pStyle w:val="Figure"/>
                    <w:spacing w:before="60" w:after="60"/>
                  </w:pPr>
                  <w:r>
                    <w:rPr>
                      <w:noProof/>
                    </w:rPr>
                    <w:drawing>
                      <wp:inline distT="0" distB="0" distL="0" distR="0">
                        <wp:extent cx="5391150" cy="2705100"/>
                        <wp:effectExtent l="0" t="0" r="0" b="0"/>
                        <wp:docPr id="42" name="Picture 42" descr="Figure 11.39 Perinatal death rate by Indigenous status of mother &#10;2008–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843167" w:rsidRDefault="00843167" w:rsidP="00AE264A">
            <w:pPr>
              <w:pStyle w:val="Figure"/>
            </w:pPr>
          </w:p>
        </w:tc>
      </w:tr>
      <w:tr w:rsidR="00843167" w:rsidRPr="00176D3F" w:rsidTr="00AE264A">
        <w:tc>
          <w:tcPr>
            <w:tcW w:w="8771" w:type="dxa"/>
            <w:tcBorders>
              <w:top w:val="nil"/>
              <w:left w:val="nil"/>
              <w:bottom w:val="nil"/>
              <w:right w:val="nil"/>
            </w:tcBorders>
            <w:shd w:val="clear" w:color="auto" w:fill="auto"/>
          </w:tcPr>
          <w:p w:rsidR="00843167" w:rsidRPr="00176D3F" w:rsidRDefault="00843167" w:rsidP="008B6B5A">
            <w:pPr>
              <w:pStyle w:val="Note"/>
            </w:pPr>
            <w:r>
              <w:rPr>
                <w:rStyle w:val="NoteLabel"/>
              </w:rPr>
              <w:t>a</w:t>
            </w:r>
            <w:r>
              <w:t xml:space="preserve"> </w:t>
            </w:r>
            <w:r w:rsidRPr="00843167">
              <w:t xml:space="preserve">Data are reported individually by jurisdiction of residence </w:t>
            </w:r>
            <w:r w:rsidR="008B6B5A">
              <w:t xml:space="preserve">of mother </w:t>
            </w:r>
            <w:r w:rsidRPr="00843167">
              <w:t xml:space="preserve">for NSW, Queensland, WA, SA and the NT only. These jurisdictions have evidence of sufficient levels of identification and sufficient numbers of deaths. </w:t>
            </w:r>
            <w:r w:rsidR="008B6B5A" w:rsidRPr="00843167">
              <w:t>Data are not available for other jurisdictions.</w:t>
            </w:r>
            <w:r w:rsidR="008B6B5A">
              <w:t xml:space="preserve"> </w:t>
            </w:r>
            <w:r w:rsidRPr="00843167">
              <w:t xml:space="preserve">The total relates to those jurisdictions for which data are published. </w:t>
            </w:r>
          </w:p>
        </w:tc>
      </w:tr>
      <w:tr w:rsidR="00843167" w:rsidRPr="00176D3F" w:rsidTr="00AE264A">
        <w:tc>
          <w:tcPr>
            <w:tcW w:w="8771" w:type="dxa"/>
            <w:tcBorders>
              <w:top w:val="nil"/>
              <w:left w:val="nil"/>
              <w:bottom w:val="nil"/>
              <w:right w:val="nil"/>
            </w:tcBorders>
            <w:shd w:val="clear" w:color="auto" w:fill="auto"/>
          </w:tcPr>
          <w:p w:rsidR="00843167" w:rsidRPr="00176D3F" w:rsidRDefault="004A727F" w:rsidP="00F2723D">
            <w:pPr>
              <w:pStyle w:val="Source"/>
            </w:pPr>
            <w:r>
              <w:rPr>
                <w:i/>
              </w:rPr>
              <w:t>S</w:t>
            </w:r>
            <w:r w:rsidR="00843167" w:rsidRPr="00784A05">
              <w:rPr>
                <w:i/>
              </w:rPr>
              <w:t>ource</w:t>
            </w:r>
            <w:r w:rsidR="00843167" w:rsidRPr="00176D3F">
              <w:t xml:space="preserve">: </w:t>
            </w:r>
            <w:r w:rsidR="00843167" w:rsidRPr="00843167">
              <w:t xml:space="preserve">ABS (unpublished) </w:t>
            </w:r>
            <w:r w:rsidR="00843167" w:rsidRPr="00843167">
              <w:rPr>
                <w:i/>
              </w:rPr>
              <w:t>Perinatal deaths, Australia</w:t>
            </w:r>
            <w:r w:rsidR="00843167" w:rsidRPr="00843167">
              <w:t>, Cat. no. 3304.0; table 11A.1</w:t>
            </w:r>
            <w:r w:rsidR="001F3C85">
              <w:t>2</w:t>
            </w:r>
            <w:r w:rsidR="00F2723D">
              <w:t>1</w:t>
            </w:r>
            <w:r w:rsidR="00843167" w:rsidRPr="00843167">
              <w:t>.</w:t>
            </w:r>
          </w:p>
        </w:tc>
      </w:tr>
      <w:tr w:rsidR="00843167" w:rsidTr="00AE264A">
        <w:tc>
          <w:tcPr>
            <w:tcW w:w="8771" w:type="dxa"/>
            <w:tcBorders>
              <w:top w:val="nil"/>
              <w:left w:val="nil"/>
              <w:bottom w:val="single" w:sz="6" w:space="0" w:color="78A22F"/>
              <w:right w:val="nil"/>
            </w:tcBorders>
            <w:shd w:val="clear" w:color="auto" w:fill="auto"/>
          </w:tcPr>
          <w:p w:rsidR="00843167" w:rsidRDefault="00843167" w:rsidP="00AE264A">
            <w:pPr>
              <w:pStyle w:val="Figurespace"/>
            </w:pPr>
          </w:p>
        </w:tc>
      </w:tr>
      <w:tr w:rsidR="00843167" w:rsidRPr="000863A5" w:rsidTr="00AE264A">
        <w:tc>
          <w:tcPr>
            <w:tcW w:w="8771" w:type="dxa"/>
            <w:tcBorders>
              <w:top w:val="single" w:sz="6" w:space="0" w:color="78A22F"/>
              <w:left w:val="nil"/>
              <w:bottom w:val="nil"/>
              <w:right w:val="nil"/>
            </w:tcBorders>
          </w:tcPr>
          <w:p w:rsidR="00843167" w:rsidRPr="00626D32" w:rsidRDefault="00843167" w:rsidP="00AE264A">
            <w:pPr>
              <w:pStyle w:val="BoxSpaceBelow"/>
            </w:pPr>
          </w:p>
        </w:tc>
      </w:tr>
    </w:tbl>
    <w:p w:rsidR="00843167" w:rsidRDefault="00843167" w:rsidP="00843167">
      <w:pPr>
        <w:pStyle w:val="Heading2"/>
      </w:pPr>
      <w:bookmarkStart w:id="12" w:name="_Toc397611345"/>
      <w:r>
        <w:t>11.</w:t>
      </w:r>
      <w:r w:rsidR="009A53E9">
        <w:rPr>
          <w:noProof/>
        </w:rPr>
        <w:t>7</w:t>
      </w:r>
      <w:r>
        <w:tab/>
      </w:r>
      <w:r w:rsidRPr="00843167">
        <w:t>Future directions in performance reporting</w:t>
      </w:r>
      <w:bookmarkEnd w:id="12"/>
    </w:p>
    <w:p w:rsidR="00843167" w:rsidRDefault="00843167" w:rsidP="00843167">
      <w:pPr>
        <w:pStyle w:val="BodyText"/>
      </w:pPr>
      <w:r>
        <w:t>Priorities for future reporting on public hospitals and maternity services include the following:</w:t>
      </w:r>
    </w:p>
    <w:p w:rsidR="00843167" w:rsidRDefault="00843167" w:rsidP="00843167">
      <w:pPr>
        <w:pStyle w:val="ListBullet"/>
      </w:pPr>
      <w:r>
        <w:t>Improving the comprehensiveness of reporting by filling in gaps in the performance indicator frameworks. Important gaps in reporting for public hospitals include indicators of equity of access to services for special needs groups, and indicators of continuity of care. Gaps in the maternity services framework include equity of access, effectiveness of access, two aspects of quality — responsiveness and continuity — and the efficiency subdimension of sustainability.</w:t>
      </w:r>
    </w:p>
    <w:p w:rsidR="00843167" w:rsidRDefault="00843167" w:rsidP="00843167">
      <w:pPr>
        <w:pStyle w:val="ListBullet"/>
      </w:pPr>
      <w:r>
        <w:t>Improving currently reported indicators for public hospitals and maternity services where data are not complete or not directly comparable. There is scope to improve reporting of the quality and access dimensions of the public hospitals framework, and the output indicators for maternity services.</w:t>
      </w:r>
    </w:p>
    <w:p w:rsidR="00843167" w:rsidRDefault="00843167" w:rsidP="00843167">
      <w:pPr>
        <w:pStyle w:val="ListBullet"/>
      </w:pPr>
      <w:r>
        <w:t>Improving the reporting of elective surgery waiting times by urgency category to achieve greater comparability across jurisdictions and improving timeliness of the data.</w:t>
      </w:r>
    </w:p>
    <w:p w:rsidR="00843167" w:rsidRDefault="00843167" w:rsidP="00843167">
      <w:pPr>
        <w:pStyle w:val="ListBullet"/>
      </w:pPr>
      <w:r>
        <w:t>Improving the reporting of quality and safety indicators in both the public hospitals’ and maternity services’ frameworks.</w:t>
      </w:r>
    </w:p>
    <w:p w:rsidR="00843167" w:rsidRDefault="00843167" w:rsidP="000E0DD0">
      <w:pPr>
        <w:pStyle w:val="ListBullet"/>
      </w:pPr>
      <w:r>
        <w:lastRenderedPageBreak/>
        <w:t xml:space="preserve">Improving the quality of data on </w:t>
      </w:r>
      <w:r w:rsidR="000E0DD0" w:rsidRPr="000E0DD0">
        <w:t xml:space="preserve">Aboriginal and Torres Strait Islander </w:t>
      </w:r>
      <w:r>
        <w:t xml:space="preserve">Australians. Work on improving </w:t>
      </w:r>
      <w:r w:rsidR="009F2AFB">
        <w:t>the</w:t>
      </w:r>
      <w:r>
        <w:t xml:space="preserve"> identification </w:t>
      </w:r>
      <w:r w:rsidR="009F2AFB">
        <w:t xml:space="preserve">of Aboriginal and Torres Strait Islander people </w:t>
      </w:r>
      <w:r>
        <w:t>in hospital admitted patient data across states and territories is ongoing.</w:t>
      </w:r>
    </w:p>
    <w:p w:rsidR="00843167" w:rsidRDefault="00843167" w:rsidP="00843167">
      <w:pPr>
        <w:pStyle w:val="Heading2"/>
      </w:pPr>
      <w:bookmarkStart w:id="13" w:name="_Toc397611346"/>
      <w:r>
        <w:lastRenderedPageBreak/>
        <w:t>11.</w:t>
      </w:r>
      <w:r w:rsidR="009A53E9">
        <w:rPr>
          <w:noProof/>
        </w:rPr>
        <w:t>8</w:t>
      </w:r>
      <w:r>
        <w:tab/>
      </w:r>
      <w:r w:rsidRPr="00843167">
        <w:t>Definitions of key terms</w:t>
      </w:r>
      <w:bookmarkEnd w:id="13"/>
    </w:p>
    <w:tbl>
      <w:tblPr>
        <w:tblW w:w="0" w:type="auto"/>
        <w:tblInd w:w="108" w:type="dxa"/>
        <w:tblLook w:val="01E0" w:firstRow="1" w:lastRow="1" w:firstColumn="1" w:lastColumn="1" w:noHBand="0" w:noVBand="0"/>
      </w:tblPr>
      <w:tblGrid>
        <w:gridCol w:w="2302"/>
        <w:gridCol w:w="6487"/>
      </w:tblGrid>
      <w:tr w:rsidR="00814F52" w:rsidRPr="004C557B"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Accreditation</w:t>
            </w:r>
          </w:p>
        </w:tc>
        <w:tc>
          <w:tcPr>
            <w:tcW w:w="6487" w:type="dxa"/>
            <w:shd w:val="clear" w:color="auto" w:fill="auto"/>
          </w:tcPr>
          <w:p w:rsidR="00814F52" w:rsidRPr="004C557B" w:rsidRDefault="00814F52" w:rsidP="00AE264A">
            <w:pPr>
              <w:pStyle w:val="TableBodyText"/>
              <w:spacing w:before="60" w:after="60"/>
              <w:jc w:val="left"/>
            </w:pPr>
            <w:r w:rsidRPr="004C557B">
              <w:t xml:space="preserve">Professional recognition awarded to hospitals and other healthcare facilities that meet defined industry standards. Public hospitals </w:t>
            </w:r>
            <w:r>
              <w:t>can</w:t>
            </w:r>
            <w:r w:rsidRPr="004C557B">
              <w:t xml:space="preserve"> seek accreditation through the ACHS Evaluation and Quality Improvement Program, the Australian Quality Council (now known as Business Excellence Australia), the Quality Improvement Council, the International Organisation for Standardization 9000 Quality Management System or other equivalent programs.</w:t>
            </w:r>
          </w:p>
        </w:tc>
      </w:tr>
      <w:tr w:rsidR="00814F52" w:rsidRPr="004C557B"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Acute care</w:t>
            </w:r>
          </w:p>
        </w:tc>
        <w:tc>
          <w:tcPr>
            <w:tcW w:w="6487" w:type="dxa"/>
            <w:shd w:val="clear" w:color="auto" w:fill="auto"/>
          </w:tcPr>
          <w:p w:rsidR="00814F52" w:rsidRPr="004C557B" w:rsidRDefault="00814F52" w:rsidP="00AE264A">
            <w:pPr>
              <w:pStyle w:val="TableBodyText"/>
              <w:spacing w:before="60" w:after="60"/>
              <w:jc w:val="left"/>
            </w:pPr>
            <w:r w:rsidRPr="004C557B">
              <w:t>Clinical services provided to admitted or non</w:t>
            </w:r>
            <w:r>
              <w:t>-</w:t>
            </w:r>
            <w:r w:rsidRPr="004C557B">
              <w:t>admitted patients, including managing labour, curing illness or treating injury, performing surgery, relieving symptoms and/or reducing the severity of illness or injury, and performing diagnostic and therapeutic procedures. Most episodes involve a relatively short hospital stay.</w:t>
            </w:r>
          </w:p>
        </w:tc>
      </w:tr>
      <w:tr w:rsidR="00814F52" w:rsidRPr="004C557B"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Admitted patient</w:t>
            </w:r>
          </w:p>
        </w:tc>
        <w:tc>
          <w:tcPr>
            <w:tcW w:w="6487" w:type="dxa"/>
            <w:shd w:val="clear" w:color="auto" w:fill="auto"/>
          </w:tcPr>
          <w:p w:rsidR="00814F52" w:rsidRPr="004C557B" w:rsidRDefault="00814F52" w:rsidP="00AE264A">
            <w:pPr>
              <w:pStyle w:val="TableBodyText"/>
              <w:spacing w:before="60" w:after="60"/>
              <w:jc w:val="left"/>
            </w:pPr>
            <w:r w:rsidRPr="004C557B">
              <w:t xml:space="preserve">A patient who has undergone a formal admission process in a public hospital to begin an episode of care. Admitted patients </w:t>
            </w:r>
            <w:r>
              <w:t xml:space="preserve">can </w:t>
            </w:r>
            <w:r w:rsidRPr="004C557B">
              <w:t xml:space="preserve">receive acute, </w:t>
            </w:r>
            <w:r>
              <w:t>subacute</w:t>
            </w:r>
            <w:r w:rsidRPr="004C557B">
              <w:t xml:space="preserve"> or non</w:t>
            </w:r>
            <w:r>
              <w:noBreakHyphen/>
            </w:r>
            <w:r w:rsidRPr="004C557B">
              <w:t>acute care services.</w:t>
            </w:r>
          </w:p>
        </w:tc>
      </w:tr>
      <w:tr w:rsidR="00814F52" w:rsidRPr="004C557B"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Admitted patient cost proportion</w:t>
            </w:r>
          </w:p>
        </w:tc>
        <w:tc>
          <w:tcPr>
            <w:tcW w:w="6487" w:type="dxa"/>
            <w:shd w:val="clear" w:color="auto" w:fill="auto"/>
          </w:tcPr>
          <w:p w:rsidR="00814F52" w:rsidRPr="004C557B" w:rsidRDefault="00814F52" w:rsidP="00AE264A">
            <w:pPr>
              <w:pStyle w:val="TableBodyText"/>
              <w:spacing w:before="60" w:after="60"/>
              <w:jc w:val="left"/>
            </w:pPr>
            <w:r>
              <w:t>The ratio of admitted patient costs to total hospital costs, also known as the inpatient fraction.</w:t>
            </w:r>
          </w:p>
        </w:tc>
      </w:tr>
      <w:tr w:rsidR="00814F52" w:rsidRPr="004C557B"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Allied health (non</w:t>
            </w:r>
            <w:r w:rsidRPr="00407F56">
              <w:rPr>
                <w:b/>
              </w:rPr>
              <w:noBreakHyphen/>
              <w:t>admitted)</w:t>
            </w:r>
          </w:p>
        </w:tc>
        <w:tc>
          <w:tcPr>
            <w:tcW w:w="6487" w:type="dxa"/>
            <w:shd w:val="clear" w:color="auto" w:fill="auto"/>
          </w:tcPr>
          <w:p w:rsidR="00814F52" w:rsidRPr="004C557B" w:rsidRDefault="00814F52" w:rsidP="00AE264A">
            <w:pPr>
              <w:pStyle w:val="TableBodyText"/>
              <w:spacing w:before="60" w:after="60"/>
              <w:jc w:val="left"/>
            </w:pPr>
            <w:r>
              <w:t>Occasions of service to non-admitted patients at units/clinics providing treatment/counselling to patients. These include units providing physiotherapy, speech therapy, family planning, dietary advice, optometry and occupational therapy.</w:t>
            </w:r>
          </w:p>
        </w:tc>
      </w:tr>
      <w:tr w:rsidR="00814F52" w:rsidRPr="005471F1"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Apgar score</w:t>
            </w:r>
          </w:p>
        </w:tc>
        <w:tc>
          <w:tcPr>
            <w:tcW w:w="6487" w:type="dxa"/>
            <w:shd w:val="clear" w:color="auto" w:fill="auto"/>
          </w:tcPr>
          <w:p w:rsidR="00814F52" w:rsidRPr="005471F1" w:rsidRDefault="00814F52" w:rsidP="00AE264A">
            <w:pPr>
              <w:pStyle w:val="TableBodyText"/>
              <w:spacing w:before="60" w:after="60"/>
              <w:jc w:val="left"/>
            </w:pPr>
            <w:r w:rsidRPr="005471F1">
              <w:t>Numerical score used to evaluate a baby’s condition after birth. The definition of the reported indicator is the number of babies born with an Apgar score of 3 or lower at 5 minutes post delivery, as a proportion of the total number of babies born. Excludes fetal deaths in utero before commencement of labour.</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AR-DRG</w:t>
            </w:r>
          </w:p>
        </w:tc>
        <w:tc>
          <w:tcPr>
            <w:tcW w:w="6487" w:type="dxa"/>
            <w:shd w:val="clear" w:color="auto" w:fill="auto"/>
          </w:tcPr>
          <w:p w:rsidR="00814F52" w:rsidRDefault="00814F52" w:rsidP="00AE264A">
            <w:pPr>
              <w:pStyle w:val="TableBodyText"/>
              <w:spacing w:before="60" w:after="60"/>
              <w:jc w:val="left"/>
            </w:pPr>
            <w:r>
              <w:t xml:space="preserve">Australian Refined Diagnosis Related Group - a patient classification system that hospitals use to match their patient services (hospital procedures and diagnoses) with their resource needs. AR-DRG version </w:t>
            </w:r>
            <w:r w:rsidRPr="00671F9E">
              <w:t>6.0x</w:t>
            </w:r>
            <w:r>
              <w:t xml:space="preserve"> is based on the ICD-10-AM classification.</w:t>
            </w:r>
          </w:p>
        </w:tc>
      </w:tr>
      <w:tr w:rsidR="00814F52" w:rsidRPr="004C557B" w:rsidTr="00814F52">
        <w:tc>
          <w:tcPr>
            <w:tcW w:w="2302" w:type="dxa"/>
            <w:shd w:val="clear" w:color="auto" w:fill="auto"/>
          </w:tcPr>
          <w:p w:rsidR="00814F52" w:rsidRPr="00407F56" w:rsidRDefault="00814F52" w:rsidP="00AE264A">
            <w:pPr>
              <w:pStyle w:val="TableBodyText"/>
              <w:spacing w:before="60" w:after="60"/>
              <w:jc w:val="left"/>
              <w:rPr>
                <w:b/>
              </w:rPr>
            </w:pPr>
            <w:r>
              <w:rPr>
                <w:b/>
              </w:rPr>
              <w:t>Australian Classification of Health Interventions (ACHI)</w:t>
            </w:r>
          </w:p>
        </w:tc>
        <w:tc>
          <w:tcPr>
            <w:tcW w:w="6487" w:type="dxa"/>
            <w:shd w:val="clear" w:color="auto" w:fill="auto"/>
          </w:tcPr>
          <w:p w:rsidR="00814F52" w:rsidRPr="004C557B" w:rsidRDefault="00814F52" w:rsidP="00AE264A">
            <w:pPr>
              <w:pStyle w:val="TableBodyText"/>
              <w:spacing w:before="60" w:after="60"/>
              <w:jc w:val="left"/>
            </w:pPr>
            <w:r w:rsidRPr="002D4C1A">
              <w:t>ACHI</w:t>
            </w:r>
            <w:r>
              <w:t xml:space="preserve"> is the Australian classification of health interventions.</w:t>
            </w:r>
          </w:p>
        </w:tc>
      </w:tr>
      <w:tr w:rsidR="00814F52" w:rsidRPr="00543206"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Average length of stay</w:t>
            </w:r>
          </w:p>
        </w:tc>
        <w:tc>
          <w:tcPr>
            <w:tcW w:w="6487" w:type="dxa"/>
            <w:shd w:val="clear" w:color="auto" w:fill="auto"/>
          </w:tcPr>
          <w:p w:rsidR="00814F52" w:rsidRPr="00543206" w:rsidRDefault="00814F52" w:rsidP="00AE264A">
            <w:pPr>
              <w:pStyle w:val="TableBodyText"/>
              <w:spacing w:before="60" w:after="60"/>
              <w:jc w:val="left"/>
            </w:pPr>
            <w:r w:rsidRPr="00543206">
              <w:t>The mean length of stay for all patient episodes, calculated by dividing total occupied bed days by total episodes of care.</w:t>
            </w:r>
          </w:p>
        </w:tc>
      </w:tr>
      <w:tr w:rsidR="00814F52" w:rsidRPr="00543206"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Caesarean section</w:t>
            </w:r>
          </w:p>
        </w:tc>
        <w:tc>
          <w:tcPr>
            <w:tcW w:w="6487" w:type="dxa"/>
            <w:shd w:val="clear" w:color="auto" w:fill="auto"/>
          </w:tcPr>
          <w:p w:rsidR="00814F52" w:rsidRPr="00543206" w:rsidRDefault="00814F52" w:rsidP="00AE264A">
            <w:pPr>
              <w:pStyle w:val="TableBodyText"/>
              <w:spacing w:before="60" w:after="60"/>
              <w:jc w:val="left"/>
            </w:pPr>
            <w:r w:rsidRPr="006D348C">
              <w:t>Operative birth through an incision into abdomen and uterus</w:t>
            </w:r>
            <w:r w:rsidRPr="00543206">
              <w:t>.</w:t>
            </w:r>
          </w:p>
        </w:tc>
      </w:tr>
      <w:tr w:rsidR="00814F52" w:rsidRPr="004F0A5A"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Casemix adjusted</w:t>
            </w:r>
          </w:p>
        </w:tc>
        <w:tc>
          <w:tcPr>
            <w:tcW w:w="6487" w:type="dxa"/>
            <w:shd w:val="clear" w:color="auto" w:fill="auto"/>
          </w:tcPr>
          <w:p w:rsidR="00814F52" w:rsidRPr="004F0A5A" w:rsidRDefault="00814F52" w:rsidP="00AE264A">
            <w:pPr>
              <w:pStyle w:val="TableBodyText"/>
              <w:spacing w:before="60" w:after="60"/>
              <w:jc w:val="left"/>
            </w:pPr>
            <w:r w:rsidRPr="004F0A5A">
              <w:t>Adjustment of data on cases treated to account for the number and type of cases. Cases are sorted by AR</w:t>
            </w:r>
            <w:r>
              <w:noBreakHyphen/>
            </w:r>
            <w:r w:rsidRPr="004F0A5A">
              <w:t>DRG into categories of patients with similar clinical conditions and requiring similar hospital services. Casemix adjustment is an important step to achieving comparable measures of efficiency across hospitals and jurisdictions.</w:t>
            </w:r>
          </w:p>
        </w:tc>
      </w:tr>
      <w:tr w:rsidR="00814F52" w:rsidRPr="00AF2819"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Casemix adjusted separations</w:t>
            </w:r>
          </w:p>
        </w:tc>
        <w:tc>
          <w:tcPr>
            <w:tcW w:w="6487" w:type="dxa"/>
            <w:shd w:val="clear" w:color="auto" w:fill="auto"/>
          </w:tcPr>
          <w:p w:rsidR="00814F52" w:rsidRPr="00AF2819" w:rsidRDefault="00814F52" w:rsidP="00AE264A">
            <w:pPr>
              <w:pStyle w:val="TableBodyText"/>
              <w:spacing w:before="60" w:after="60"/>
              <w:jc w:val="left"/>
            </w:pPr>
            <w:r w:rsidRPr="00AF2819">
              <w:t>The number of separations adjusted to account for differences across hospitals in the complexity of episodes of care.</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Catastrophic</w:t>
            </w:r>
          </w:p>
        </w:tc>
        <w:tc>
          <w:tcPr>
            <w:tcW w:w="6487" w:type="dxa"/>
            <w:shd w:val="clear" w:color="auto" w:fill="auto"/>
          </w:tcPr>
          <w:p w:rsidR="00814F52" w:rsidRDefault="00814F52" w:rsidP="00AE264A">
            <w:pPr>
              <w:pStyle w:val="TableBodyText"/>
              <w:spacing w:before="60" w:after="60"/>
              <w:jc w:val="left"/>
            </w:pPr>
            <w:r w:rsidRPr="007A5A97">
              <w:t xml:space="preserve">An acute or prolonged illness usually considered to be life threatening or with the threat of serious residual disability. Treatment </w:t>
            </w:r>
            <w:r>
              <w:t>can</w:t>
            </w:r>
            <w:r w:rsidRPr="007A5A97">
              <w:t xml:space="preserve"> be radical and is frequently costly.</w:t>
            </w:r>
          </w:p>
        </w:tc>
      </w:tr>
      <w:tr w:rsidR="00814F52" w:rsidRPr="00040114"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Community health services</w:t>
            </w:r>
          </w:p>
        </w:tc>
        <w:tc>
          <w:tcPr>
            <w:tcW w:w="6487" w:type="dxa"/>
            <w:shd w:val="clear" w:color="auto" w:fill="auto"/>
          </w:tcPr>
          <w:p w:rsidR="00814F52" w:rsidRPr="00040114" w:rsidRDefault="00814F52" w:rsidP="00AE264A">
            <w:pPr>
              <w:pStyle w:val="TableBodyText"/>
              <w:spacing w:before="60" w:after="60"/>
              <w:jc w:val="left"/>
            </w:pPr>
            <w:r w:rsidRPr="00040114">
              <w:t>Health services for individuals and groups delivered in a community setting, rather than via hospitals or private facilities.</w:t>
            </w:r>
          </w:p>
        </w:tc>
      </w:tr>
      <w:tr w:rsidR="004256D6" w:rsidRPr="002E4310" w:rsidTr="009B1642">
        <w:tc>
          <w:tcPr>
            <w:tcW w:w="2302" w:type="dxa"/>
            <w:shd w:val="clear" w:color="auto" w:fill="auto"/>
          </w:tcPr>
          <w:p w:rsidR="004256D6" w:rsidRPr="00407F56" w:rsidRDefault="004256D6" w:rsidP="00AE264A">
            <w:pPr>
              <w:pStyle w:val="TableBodyText"/>
              <w:spacing w:before="60" w:after="60"/>
              <w:jc w:val="left"/>
              <w:rPr>
                <w:b/>
              </w:rPr>
            </w:pPr>
            <w:r>
              <w:rPr>
                <w:b/>
              </w:rPr>
              <w:t>Comparability</w:t>
            </w:r>
          </w:p>
        </w:tc>
        <w:tc>
          <w:tcPr>
            <w:tcW w:w="6487" w:type="dxa"/>
            <w:shd w:val="clear" w:color="auto" w:fill="auto"/>
          </w:tcPr>
          <w:p w:rsidR="004256D6" w:rsidRPr="002E4310" w:rsidRDefault="001E496A" w:rsidP="00AE264A">
            <w:pPr>
              <w:pStyle w:val="TableBodyText"/>
              <w:spacing w:before="60" w:after="60"/>
              <w:jc w:val="left"/>
            </w:pPr>
            <w:r w:rsidRPr="001E496A">
              <w:t xml:space="preserve">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w:t>
            </w:r>
            <w:r w:rsidRPr="001E496A">
              <w:lastRenderedPageBreak/>
              <w:t>data.</w:t>
            </w:r>
          </w:p>
        </w:tc>
      </w:tr>
      <w:tr w:rsidR="004256D6" w:rsidRPr="002E4310" w:rsidTr="009B1642">
        <w:tc>
          <w:tcPr>
            <w:tcW w:w="2302" w:type="dxa"/>
            <w:shd w:val="clear" w:color="auto" w:fill="auto"/>
          </w:tcPr>
          <w:p w:rsidR="004256D6" w:rsidRPr="00407F56" w:rsidRDefault="004256D6" w:rsidP="00AE264A">
            <w:pPr>
              <w:pStyle w:val="TableBodyText"/>
              <w:spacing w:before="60" w:after="60"/>
              <w:jc w:val="left"/>
              <w:rPr>
                <w:b/>
              </w:rPr>
            </w:pPr>
            <w:r>
              <w:rPr>
                <w:b/>
              </w:rPr>
              <w:lastRenderedPageBreak/>
              <w:t>Completeness</w:t>
            </w:r>
          </w:p>
        </w:tc>
        <w:tc>
          <w:tcPr>
            <w:tcW w:w="6487" w:type="dxa"/>
            <w:shd w:val="clear" w:color="auto" w:fill="auto"/>
          </w:tcPr>
          <w:p w:rsidR="004256D6" w:rsidRPr="002E4310" w:rsidRDefault="001E496A" w:rsidP="00AE264A">
            <w:pPr>
              <w:pStyle w:val="TableBodyText"/>
              <w:spacing w:before="60" w:after="60"/>
              <w:jc w:val="left"/>
            </w:pPr>
            <w:r w:rsidRPr="001E496A">
              <w:t>Data are considered complete if all required data are available for all jurisdictions that provide the service.</w:t>
            </w:r>
          </w:p>
        </w:tc>
      </w:tr>
      <w:tr w:rsidR="00814F52" w:rsidRPr="002E4310"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Cost of capital</w:t>
            </w:r>
          </w:p>
        </w:tc>
        <w:tc>
          <w:tcPr>
            <w:tcW w:w="6487" w:type="dxa"/>
            <w:shd w:val="clear" w:color="auto" w:fill="auto"/>
          </w:tcPr>
          <w:p w:rsidR="00814F52" w:rsidRPr="002E4310" w:rsidRDefault="00814F52" w:rsidP="00AE264A">
            <w:pPr>
              <w:pStyle w:val="TableBodyText"/>
              <w:spacing w:before="60" w:after="60"/>
              <w:jc w:val="left"/>
            </w:pPr>
            <w:r w:rsidRPr="002E4310">
              <w:t>The return foregone on the next best investment, estimated at a rate of 8</w:t>
            </w:r>
            <w:r>
              <w:t> </w:t>
            </w:r>
            <w:r w:rsidRPr="002E4310">
              <w:t>per</w:t>
            </w:r>
            <w:r>
              <w:t> </w:t>
            </w:r>
            <w:r w:rsidRPr="002E4310">
              <w:t>cent of the depreciated replacement value of buildings, equipment and land. Also called the ‘opportunity cost’ of capital.</w:t>
            </w:r>
          </w:p>
        </w:tc>
      </w:tr>
      <w:tr w:rsidR="00814F52" w:rsidRPr="0077440D"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Cost per casemix adjusted separation</w:t>
            </w:r>
          </w:p>
        </w:tc>
        <w:tc>
          <w:tcPr>
            <w:tcW w:w="6487" w:type="dxa"/>
            <w:shd w:val="clear" w:color="auto" w:fill="auto"/>
          </w:tcPr>
          <w:p w:rsidR="00814F52" w:rsidRPr="0077440D" w:rsidRDefault="00814F52" w:rsidP="00AE264A">
            <w:pPr>
              <w:pStyle w:val="TableBodyText"/>
              <w:spacing w:before="60" w:after="60"/>
              <w:jc w:val="left"/>
            </w:pPr>
            <w:r w:rsidRPr="0077440D">
              <w:t>Recurrent expenditure multiplied by the inpatient fraction and divided by the total number of casemix</w:t>
            </w:r>
            <w:r>
              <w:t>-adjusted separations plus estimated private patient medical costs.</w:t>
            </w:r>
          </w:p>
        </w:tc>
      </w:tr>
      <w:tr w:rsidR="00814F52" w:rsidRPr="00401707"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Cost per non</w:t>
            </w:r>
            <w:r w:rsidRPr="00407F56">
              <w:rPr>
                <w:b/>
              </w:rPr>
              <w:noBreakHyphen/>
              <w:t>admitted occasion of service</w:t>
            </w:r>
          </w:p>
        </w:tc>
        <w:tc>
          <w:tcPr>
            <w:tcW w:w="6487" w:type="dxa"/>
            <w:shd w:val="clear" w:color="auto" w:fill="auto"/>
          </w:tcPr>
          <w:p w:rsidR="00814F52" w:rsidRPr="00401707" w:rsidRDefault="00814F52" w:rsidP="00AE264A">
            <w:pPr>
              <w:pStyle w:val="TableBodyText"/>
              <w:spacing w:before="60" w:after="60"/>
              <w:jc w:val="left"/>
            </w:pPr>
            <w:r w:rsidRPr="00401707">
              <w:t>Recurrent expenditure divided by the inpatient fraction and divided by the total number of non</w:t>
            </w:r>
            <w:r>
              <w:noBreakHyphen/>
              <w:t>admitted occasions of service.</w:t>
            </w:r>
          </w:p>
        </w:tc>
      </w:tr>
      <w:tr w:rsidR="00814F52" w:rsidRPr="00EA0600"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Elective surgery waiting times</w:t>
            </w:r>
          </w:p>
        </w:tc>
        <w:tc>
          <w:tcPr>
            <w:tcW w:w="6487" w:type="dxa"/>
            <w:shd w:val="clear" w:color="auto" w:fill="auto"/>
          </w:tcPr>
          <w:p w:rsidR="00814F52" w:rsidRPr="00EA0600" w:rsidRDefault="00814F52" w:rsidP="00AE264A">
            <w:pPr>
              <w:pStyle w:val="TableBodyText"/>
              <w:spacing w:before="60" w:after="60"/>
              <w:jc w:val="left"/>
            </w:pPr>
            <w:r w:rsidRPr="002C4278">
              <w:t xml:space="preserve">Elective </w:t>
            </w:r>
            <w:r>
              <w:t>surgery waiting times</w:t>
            </w:r>
            <w:r w:rsidRPr="002C4278">
              <w:t xml:space="preserve"> are calculated by comparing the date on which </w:t>
            </w:r>
            <w:r w:rsidRPr="00671F9E">
              <w:t>patients are added to a waiting list with the date on which they are admitted for the awaited procedure.</w:t>
            </w:r>
            <w:r w:rsidRPr="002C4278">
              <w:t xml:space="preserve"> Days on which the patient was no</w:t>
            </w:r>
            <w:r>
              <w:t xml:space="preserve">t ready for care are excluded. </w:t>
            </w:r>
          </w:p>
        </w:tc>
      </w:tr>
      <w:tr w:rsidR="00814F52" w:rsidRPr="00C26327"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 xml:space="preserve">Emergency department waiting time to </w:t>
            </w:r>
            <w:r>
              <w:rPr>
                <w:b/>
              </w:rPr>
              <w:t>commencement of clinical care</w:t>
            </w:r>
          </w:p>
        </w:tc>
        <w:tc>
          <w:tcPr>
            <w:tcW w:w="6487" w:type="dxa"/>
            <w:shd w:val="clear" w:color="auto" w:fill="auto"/>
          </w:tcPr>
          <w:p w:rsidR="00814F52" w:rsidRPr="00C26327" w:rsidRDefault="00814F52" w:rsidP="00AE264A">
            <w:pPr>
              <w:pStyle w:val="TableBodyText"/>
              <w:spacing w:before="60" w:after="60"/>
              <w:jc w:val="left"/>
            </w:pPr>
            <w:r w:rsidRPr="00C26327">
              <w:t>The time elapsed for each patient from presentation to the emergency department (that is, the time at which the patient is clerically registered or triaged, whichever occurs earlier) to the commencement of service by a treating medical officer or nurse.</w:t>
            </w:r>
          </w:p>
        </w:tc>
      </w:tr>
      <w:tr w:rsidR="00814F52" w:rsidRPr="00583AD5"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Emergency department waiting times to admission</w:t>
            </w:r>
          </w:p>
        </w:tc>
        <w:tc>
          <w:tcPr>
            <w:tcW w:w="6487" w:type="dxa"/>
            <w:shd w:val="clear" w:color="auto" w:fill="auto"/>
          </w:tcPr>
          <w:p w:rsidR="00814F52" w:rsidRPr="00583AD5" w:rsidRDefault="00814F52" w:rsidP="00AE264A">
            <w:pPr>
              <w:pStyle w:val="TableBodyText"/>
              <w:spacing w:before="60" w:after="60"/>
              <w:jc w:val="left"/>
            </w:pPr>
            <w:r w:rsidRPr="00583AD5">
              <w:t>The time elapsed for each patient from presentation to the emergency department to admission to hospital.</w:t>
            </w:r>
          </w:p>
        </w:tc>
      </w:tr>
      <w:tr w:rsidR="00814F52" w:rsidRPr="00493E5D"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Episiotomy</w:t>
            </w:r>
          </w:p>
        </w:tc>
        <w:tc>
          <w:tcPr>
            <w:tcW w:w="6487" w:type="dxa"/>
            <w:shd w:val="clear" w:color="auto" w:fill="auto"/>
          </w:tcPr>
          <w:p w:rsidR="00814F52" w:rsidRPr="00493E5D" w:rsidRDefault="00814F52" w:rsidP="00AE264A">
            <w:pPr>
              <w:pStyle w:val="TableBodyText"/>
              <w:spacing w:before="60" w:after="60"/>
              <w:jc w:val="left"/>
            </w:pPr>
            <w:r w:rsidRPr="006D348C">
              <w:t>A surgical incision into the perineum and vagina that attempts to control trauma while widening the vaginal opening to expedite birth of the infant or provide better access for application of forceps or vacuum cup to the fetus.</w:t>
            </w:r>
          </w:p>
        </w:tc>
      </w:tr>
      <w:tr w:rsidR="00814F52" w:rsidRPr="00B94F95"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Fetal death</w:t>
            </w:r>
          </w:p>
        </w:tc>
        <w:tc>
          <w:tcPr>
            <w:tcW w:w="6487" w:type="dxa"/>
            <w:shd w:val="clear" w:color="auto" w:fill="auto"/>
          </w:tcPr>
          <w:p w:rsidR="00814F52" w:rsidRPr="00B94F95" w:rsidRDefault="00814F52" w:rsidP="00AE264A">
            <w:pPr>
              <w:pStyle w:val="TableBodyText"/>
              <w:spacing w:before="60" w:after="60"/>
              <w:jc w:val="left"/>
            </w:pPr>
            <w:r w:rsidRPr="00B94F95">
              <w:t>Delivery of a child who did not at any time after delivery breathe or show any other evidence of life, such as a heartbeat. Excludes infants that weigh less than 400 grams or that are of a gestational age of less than 20 weeks.</w:t>
            </w:r>
          </w:p>
        </w:tc>
      </w:tr>
      <w:tr w:rsidR="00814F52" w:rsidRPr="00166FFC"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Fetal death rate</w:t>
            </w:r>
          </w:p>
        </w:tc>
        <w:tc>
          <w:tcPr>
            <w:tcW w:w="6487" w:type="dxa"/>
            <w:shd w:val="clear" w:color="auto" w:fill="auto"/>
          </w:tcPr>
          <w:p w:rsidR="00814F52" w:rsidRPr="00166FFC" w:rsidRDefault="00814F52" w:rsidP="00AE264A">
            <w:pPr>
              <w:pStyle w:val="TableBodyText"/>
              <w:spacing w:before="60" w:after="60"/>
              <w:jc w:val="left"/>
            </w:pPr>
            <w:r w:rsidRPr="00166FFC">
              <w:t>The number of fetal deaths divided by the total number of births (that is, by live births registered and fetal deaths combined).</w:t>
            </w:r>
          </w:p>
        </w:tc>
      </w:tr>
      <w:tr w:rsidR="00814F52" w:rsidRPr="00081C1E"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 xml:space="preserve">General practice </w:t>
            </w:r>
          </w:p>
        </w:tc>
        <w:tc>
          <w:tcPr>
            <w:tcW w:w="6487" w:type="dxa"/>
            <w:shd w:val="clear" w:color="auto" w:fill="auto"/>
          </w:tcPr>
          <w:p w:rsidR="00814F52" w:rsidRPr="00081C1E" w:rsidRDefault="00814F52" w:rsidP="00AE264A">
            <w:pPr>
              <w:pStyle w:val="TableBodyText"/>
              <w:spacing w:before="60" w:after="60"/>
              <w:jc w:val="left"/>
            </w:pPr>
            <w:r w:rsidRPr="00081C1E">
              <w:t xml:space="preserve">The organisational structure with one or more GPs and other staff such as practice nurses. A general practice provides and supervises healthcare for a ‘population' of patients and </w:t>
            </w:r>
            <w:r>
              <w:t>can</w:t>
            </w:r>
            <w:r w:rsidRPr="00081C1E">
              <w:t xml:space="preserve"> include services for specific populations, such as women’s health or </w:t>
            </w:r>
            <w:r w:rsidR="000E0DD0" w:rsidRPr="000E0DD0">
              <w:t xml:space="preserve">Aboriginal and Torres Strait Islander </w:t>
            </w:r>
            <w:r w:rsidR="000E0DD0">
              <w:t xml:space="preserve">people’s </w:t>
            </w:r>
            <w:r w:rsidRPr="00081C1E">
              <w:t>health.</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ICD-10-AM</w:t>
            </w:r>
          </w:p>
        </w:tc>
        <w:tc>
          <w:tcPr>
            <w:tcW w:w="6487" w:type="dxa"/>
            <w:shd w:val="clear" w:color="auto" w:fill="auto"/>
          </w:tcPr>
          <w:p w:rsidR="00814F52" w:rsidRDefault="00814F52" w:rsidP="00AE264A">
            <w:pPr>
              <w:pStyle w:val="TableBodyText"/>
              <w:spacing w:before="60" w:after="60"/>
              <w:jc w:val="left"/>
            </w:pPr>
            <w:r w:rsidRPr="000B2ED3">
              <w:t xml:space="preserve">The Australian modification of the International Standard Classification of Diseases and Related </w:t>
            </w:r>
            <w:r w:rsidRPr="00671F9E">
              <w:t>Health Conditions</w:t>
            </w:r>
            <w:r w:rsidRPr="000B2ED3">
              <w:t>. This is the current classification of diagnoses in Australia.</w:t>
            </w:r>
          </w:p>
        </w:tc>
      </w:tr>
      <w:tr w:rsidR="00814F52" w:rsidRPr="00C05C33" w:rsidTr="00814F52">
        <w:tc>
          <w:tcPr>
            <w:tcW w:w="2302" w:type="dxa"/>
            <w:shd w:val="clear" w:color="auto" w:fill="auto"/>
          </w:tcPr>
          <w:p w:rsidR="00814F52" w:rsidRPr="00407F56" w:rsidRDefault="00814F52" w:rsidP="00AE264A">
            <w:pPr>
              <w:pStyle w:val="TableBodyText"/>
              <w:spacing w:before="60" w:after="60"/>
              <w:jc w:val="left"/>
              <w:rPr>
                <w:b/>
              </w:rPr>
            </w:pPr>
            <w:r>
              <w:rPr>
                <w:b/>
              </w:rPr>
              <w:t>Hospital boarder</w:t>
            </w:r>
          </w:p>
        </w:tc>
        <w:tc>
          <w:tcPr>
            <w:tcW w:w="6487" w:type="dxa"/>
            <w:shd w:val="clear" w:color="auto" w:fill="auto"/>
          </w:tcPr>
          <w:p w:rsidR="00814F52" w:rsidRPr="00C05C33" w:rsidRDefault="00814F52" w:rsidP="00AE264A">
            <w:pPr>
              <w:pStyle w:val="TableBodyText"/>
              <w:spacing w:before="60" w:after="60"/>
              <w:jc w:val="left"/>
            </w:pPr>
            <w:r w:rsidRPr="00C05C33">
              <w:t>A person who is receiving food and/or accommodation but for whom the hospital does not accept responsibility for treatment and/or care.</w:t>
            </w:r>
          </w:p>
        </w:tc>
      </w:tr>
      <w:tr w:rsidR="00814F52" w:rsidRPr="00C5196A"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Inpatient fraction</w:t>
            </w:r>
          </w:p>
        </w:tc>
        <w:tc>
          <w:tcPr>
            <w:tcW w:w="6487" w:type="dxa"/>
            <w:shd w:val="clear" w:color="auto" w:fill="auto"/>
          </w:tcPr>
          <w:p w:rsidR="00814F52" w:rsidRPr="00C5196A" w:rsidRDefault="00814F52" w:rsidP="00AE264A">
            <w:pPr>
              <w:pStyle w:val="TableBodyText"/>
              <w:spacing w:before="60" w:after="60"/>
              <w:jc w:val="left"/>
            </w:pPr>
            <w:r w:rsidRPr="00C5196A">
              <w:t>The ratio of admitted patient costs to total hospital costs, also known as the admitted patient cost proportion.</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Labour cost per casemix-adjusted separation</w:t>
            </w:r>
          </w:p>
        </w:tc>
        <w:tc>
          <w:tcPr>
            <w:tcW w:w="6487" w:type="dxa"/>
            <w:shd w:val="clear" w:color="auto" w:fill="auto"/>
          </w:tcPr>
          <w:p w:rsidR="00814F52" w:rsidRDefault="00814F52" w:rsidP="00AE264A">
            <w:pPr>
              <w:pStyle w:val="TableBodyText"/>
              <w:spacing w:before="60" w:after="60"/>
              <w:jc w:val="left"/>
            </w:pPr>
            <w:r w:rsidRPr="000B2ED3">
              <w:t>Salary and wages plus visiting medical officer payments, multiplied by the inpatient fraction, divided by the number of casemix-adjusted separations.</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Length of stay</w:t>
            </w:r>
          </w:p>
        </w:tc>
        <w:tc>
          <w:tcPr>
            <w:tcW w:w="6487" w:type="dxa"/>
            <w:shd w:val="clear" w:color="auto" w:fill="auto"/>
          </w:tcPr>
          <w:p w:rsidR="00814F52" w:rsidRDefault="00814F52" w:rsidP="00AE264A">
            <w:pPr>
              <w:pStyle w:val="TableBodyText"/>
              <w:spacing w:before="60" w:after="60"/>
              <w:jc w:val="left"/>
            </w:pPr>
            <w:r w:rsidRPr="000B2ED3">
              <w:t>The period from admission to separation less any days spent away from the hospital (leave days).</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Live birth</w:t>
            </w:r>
          </w:p>
        </w:tc>
        <w:tc>
          <w:tcPr>
            <w:tcW w:w="6487" w:type="dxa"/>
            <w:shd w:val="clear" w:color="auto" w:fill="auto"/>
          </w:tcPr>
          <w:p w:rsidR="00814F52" w:rsidRDefault="00814F52" w:rsidP="00AE264A">
            <w:pPr>
              <w:pStyle w:val="TableBodyText"/>
              <w:spacing w:before="60" w:after="60"/>
              <w:jc w:val="left"/>
            </w:pPr>
            <w:r w:rsidRPr="000B2ED3">
              <w:t>Birth of a child who, after delivery, breathes or shows any other evidence of life, such as a heartbeat. Includes all registered live births regardless of birthweight.</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Medicare</w:t>
            </w:r>
          </w:p>
        </w:tc>
        <w:tc>
          <w:tcPr>
            <w:tcW w:w="6487" w:type="dxa"/>
            <w:shd w:val="clear" w:color="auto" w:fill="auto"/>
          </w:tcPr>
          <w:p w:rsidR="00814F52" w:rsidRDefault="00814F52" w:rsidP="00AE264A">
            <w:pPr>
              <w:pStyle w:val="TableBodyText"/>
              <w:spacing w:before="60" w:after="60"/>
              <w:jc w:val="left"/>
            </w:pPr>
            <w:r w:rsidRPr="000B2ED3">
              <w:t xml:space="preserve">Australian Government funding of private medical and optometrical services (under the Medicare Benefits Schedule). Sometimes defined to include other forms of Australian Government funding such as subsidisation of selected </w:t>
            </w:r>
            <w:r w:rsidRPr="000B2ED3">
              <w:lastRenderedPageBreak/>
              <w:t>pharmaceuticals (under the Pharmaceutical Benefits Scheme) and public hospital funding (under the Australian Health Care Agreements), which provides public hospital services free of charge to public patients.</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lastRenderedPageBreak/>
              <w:t>Mortality rate</w:t>
            </w:r>
          </w:p>
        </w:tc>
        <w:tc>
          <w:tcPr>
            <w:tcW w:w="6487" w:type="dxa"/>
            <w:shd w:val="clear" w:color="auto" w:fill="auto"/>
          </w:tcPr>
          <w:p w:rsidR="00814F52" w:rsidRDefault="00814F52" w:rsidP="00AE264A">
            <w:pPr>
              <w:pStyle w:val="TableBodyText"/>
              <w:spacing w:before="60" w:after="60"/>
              <w:jc w:val="left"/>
            </w:pPr>
            <w:r w:rsidRPr="000B2ED3">
              <w:t>The number of deaths per 100 000 people.</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Neonatal death</w:t>
            </w:r>
          </w:p>
        </w:tc>
        <w:tc>
          <w:tcPr>
            <w:tcW w:w="6487" w:type="dxa"/>
            <w:shd w:val="clear" w:color="auto" w:fill="auto"/>
          </w:tcPr>
          <w:p w:rsidR="00814F52" w:rsidRDefault="00814F52" w:rsidP="00AE264A">
            <w:pPr>
              <w:pStyle w:val="TableBodyText"/>
              <w:spacing w:before="60" w:after="60"/>
              <w:jc w:val="left"/>
            </w:pPr>
            <w:r w:rsidRPr="000B2ED3">
              <w:t>Death of a live born infant within 28 days of birth. Defined in Australia as the death of an infant that weighs at least 400 grams or that is of a gestational age of at least 20 weeks.</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Neonatal death rate</w:t>
            </w:r>
          </w:p>
        </w:tc>
        <w:tc>
          <w:tcPr>
            <w:tcW w:w="6487" w:type="dxa"/>
            <w:shd w:val="clear" w:color="auto" w:fill="auto"/>
          </w:tcPr>
          <w:p w:rsidR="00814F52" w:rsidRDefault="00814F52" w:rsidP="00AE264A">
            <w:pPr>
              <w:pStyle w:val="TableBodyText"/>
              <w:spacing w:before="60" w:after="60"/>
              <w:jc w:val="left"/>
            </w:pPr>
            <w:r w:rsidRPr="000B2ED3">
              <w:t>Neonatal deaths divided by the number of live births registered.</w:t>
            </w:r>
          </w:p>
        </w:tc>
      </w:tr>
      <w:tr w:rsidR="00814F52" w:rsidRPr="000B2ED3" w:rsidTr="00814F52">
        <w:tc>
          <w:tcPr>
            <w:tcW w:w="2302" w:type="dxa"/>
            <w:shd w:val="clear" w:color="auto" w:fill="auto"/>
          </w:tcPr>
          <w:p w:rsidR="00814F52" w:rsidRPr="00407F56" w:rsidRDefault="00814F52" w:rsidP="00AE264A">
            <w:pPr>
              <w:pStyle w:val="TableBodyText"/>
              <w:spacing w:before="60" w:after="60"/>
              <w:jc w:val="left"/>
              <w:rPr>
                <w:b/>
              </w:rPr>
            </w:pPr>
            <w:r w:rsidRPr="00FB644E">
              <w:rPr>
                <w:b/>
              </w:rPr>
              <w:t>Newborn qualification status</w:t>
            </w:r>
          </w:p>
        </w:tc>
        <w:tc>
          <w:tcPr>
            <w:tcW w:w="6487" w:type="dxa"/>
            <w:shd w:val="clear" w:color="auto" w:fill="auto"/>
          </w:tcPr>
          <w:p w:rsidR="00814F52" w:rsidRDefault="00814F52" w:rsidP="00AE264A">
            <w:pPr>
              <w:pStyle w:val="TableBodyText"/>
              <w:spacing w:before="60" w:after="60"/>
              <w:jc w:val="left"/>
            </w:pPr>
            <w:r>
              <w:t>A newborn qualification status is assigned to each patient day within a newborn episode of care.</w:t>
            </w:r>
          </w:p>
          <w:p w:rsidR="00814F52" w:rsidRDefault="00814F52" w:rsidP="00AE264A">
            <w:pPr>
              <w:pStyle w:val="TableBodyText"/>
              <w:spacing w:before="60" w:after="60"/>
              <w:jc w:val="left"/>
            </w:pPr>
            <w:r>
              <w:t>A newborn patient day is qualified if the infant meets at least one of the following criteria:</w:t>
            </w:r>
          </w:p>
          <w:p w:rsidR="00814F52" w:rsidRDefault="00814F52" w:rsidP="00AE264A">
            <w:pPr>
              <w:pStyle w:val="TableBullet"/>
            </w:pPr>
            <w:r>
              <w:t xml:space="preserve">is the second or subsequent live born infant of a multiple birth, whose mother is currently an admitted patient, </w:t>
            </w:r>
          </w:p>
          <w:p w:rsidR="00814F52" w:rsidRDefault="00814F52" w:rsidP="00AE264A">
            <w:pPr>
              <w:pStyle w:val="TableBullet"/>
            </w:pPr>
            <w:r>
              <w:t xml:space="preserve">is admitted to an intensive care facility in a hospital, being a facility approved by the Commonwealth Minister for the purpose of the provision of special care, </w:t>
            </w:r>
          </w:p>
          <w:p w:rsidR="00814F52" w:rsidRDefault="00814F52" w:rsidP="00AE264A">
            <w:pPr>
              <w:pStyle w:val="TableBullet"/>
            </w:pPr>
            <w:r>
              <w:t>is admitted to, or remains in hospital without its mother.</w:t>
            </w:r>
          </w:p>
          <w:p w:rsidR="00814F52" w:rsidRDefault="00814F52" w:rsidP="00AE264A">
            <w:pPr>
              <w:pStyle w:val="TableBodyText"/>
              <w:spacing w:before="60" w:after="60"/>
              <w:jc w:val="left"/>
            </w:pPr>
            <w:r>
              <w:t>A newborn patient day is unqualified if the infant does not meet any of the above criteria.</w:t>
            </w:r>
          </w:p>
          <w:p w:rsidR="00814F52" w:rsidRDefault="00814F52" w:rsidP="00AE264A">
            <w:pPr>
              <w:pStyle w:val="TableBodyText"/>
              <w:spacing w:before="60" w:after="60"/>
              <w:jc w:val="left"/>
            </w:pPr>
            <w:r>
              <w:t>The day on which a change in qualification status occurs is counted as a day of the new qualification status.</w:t>
            </w:r>
          </w:p>
          <w:p w:rsidR="00814F52" w:rsidRPr="000B2ED3" w:rsidRDefault="00814F52" w:rsidP="00AE264A">
            <w:pPr>
              <w:pStyle w:val="TableBodyText"/>
              <w:spacing w:before="60" w:after="60"/>
              <w:jc w:val="left"/>
            </w:pPr>
            <w:r>
              <w:t>If there is more than one qualification status in a single day, the day is counted as a day of the final qualification status for that day.</w:t>
            </w:r>
          </w:p>
        </w:tc>
      </w:tr>
      <w:tr w:rsidR="00814F52" w:rsidRPr="000B2ED3"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Nursing workforce</w:t>
            </w:r>
          </w:p>
        </w:tc>
        <w:tc>
          <w:tcPr>
            <w:tcW w:w="6487" w:type="dxa"/>
            <w:shd w:val="clear" w:color="auto" w:fill="auto"/>
          </w:tcPr>
          <w:p w:rsidR="00814F52" w:rsidRPr="000B2ED3" w:rsidRDefault="00814F52" w:rsidP="00AE264A">
            <w:pPr>
              <w:pStyle w:val="TableBodyText"/>
              <w:spacing w:before="60" w:after="60"/>
              <w:jc w:val="left"/>
            </w:pPr>
            <w:r w:rsidRPr="000B2ED3">
              <w:t>Registered and enrolled nurses who are employed in nursing, on extended leave or looking for work in nursing.</w:t>
            </w:r>
          </w:p>
        </w:tc>
      </w:tr>
      <w:tr w:rsidR="00814F52" w:rsidRPr="000B2ED3"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Medical practitioner workforce</w:t>
            </w:r>
          </w:p>
        </w:tc>
        <w:tc>
          <w:tcPr>
            <w:tcW w:w="6487" w:type="dxa"/>
            <w:shd w:val="clear" w:color="auto" w:fill="auto"/>
          </w:tcPr>
          <w:p w:rsidR="00814F52" w:rsidRPr="000B2ED3" w:rsidRDefault="00814F52" w:rsidP="00AE264A">
            <w:pPr>
              <w:pStyle w:val="TableBodyText"/>
              <w:spacing w:before="60" w:after="60"/>
              <w:jc w:val="left"/>
            </w:pPr>
            <w:r w:rsidRPr="000B2ED3">
              <w:t>Registered medical practitioners who are employed as medical practitioners, on extended leave or looking for work as a medical practitioner.</w:t>
            </w:r>
          </w:p>
        </w:tc>
      </w:tr>
      <w:tr w:rsidR="00814F52" w:rsidRPr="000B24D7"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Multiparous</w:t>
            </w:r>
          </w:p>
        </w:tc>
        <w:tc>
          <w:tcPr>
            <w:tcW w:w="6487" w:type="dxa"/>
            <w:shd w:val="clear" w:color="auto" w:fill="auto"/>
          </w:tcPr>
          <w:p w:rsidR="00814F52" w:rsidRPr="000B24D7" w:rsidRDefault="00814F52" w:rsidP="00AE264A">
            <w:pPr>
              <w:pStyle w:val="TableBodyText"/>
              <w:spacing w:before="60" w:after="60"/>
              <w:jc w:val="left"/>
            </w:pPr>
            <w:r>
              <w:t>A</w:t>
            </w:r>
            <w:r w:rsidRPr="00335D09">
              <w:t xml:space="preserve"> woman who has given birth from at least two pregnancies that each resulted in a live birth or stillbirth.</w:t>
            </w:r>
          </w:p>
        </w:tc>
      </w:tr>
      <w:tr w:rsidR="00814F52" w:rsidRPr="00A96D3B"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Non-acute care</w:t>
            </w:r>
          </w:p>
        </w:tc>
        <w:tc>
          <w:tcPr>
            <w:tcW w:w="6487" w:type="dxa"/>
            <w:shd w:val="clear" w:color="auto" w:fill="auto"/>
          </w:tcPr>
          <w:p w:rsidR="00814F52" w:rsidRPr="00A96D3B" w:rsidRDefault="00814F52" w:rsidP="00AE264A">
            <w:pPr>
              <w:pStyle w:val="TableBodyText"/>
              <w:spacing w:before="60" w:after="60"/>
              <w:jc w:val="left"/>
            </w:pPr>
            <w:r w:rsidRPr="00A96D3B">
              <w:t>Includes maintenance care and newborn care</w:t>
            </w:r>
            <w:r>
              <w:t xml:space="preserve"> </w:t>
            </w:r>
            <w:r w:rsidRPr="00671F9E">
              <w:t>(where the newborn does not require acute care).</w:t>
            </w:r>
          </w:p>
        </w:tc>
      </w:tr>
      <w:tr w:rsidR="00814F52" w:rsidRPr="000B2ED3"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Non-admitted occasions of service</w:t>
            </w:r>
          </w:p>
        </w:tc>
        <w:tc>
          <w:tcPr>
            <w:tcW w:w="6487" w:type="dxa"/>
            <w:shd w:val="clear" w:color="auto" w:fill="auto"/>
          </w:tcPr>
          <w:p w:rsidR="00814F52" w:rsidRPr="000B2ED3" w:rsidRDefault="00814F52" w:rsidP="00AE264A">
            <w:pPr>
              <w:pStyle w:val="TableBodyText"/>
              <w:spacing w:before="60" w:after="60"/>
              <w:jc w:val="left"/>
            </w:pPr>
            <w:r w:rsidRPr="000B2ED3">
              <w:t xml:space="preserve">Occasion of examination, consultation, treatment or other service provided to a non-admitted patient in a functional unit of a health service establishment. Services </w:t>
            </w:r>
            <w:r>
              <w:t>can</w:t>
            </w:r>
            <w:r w:rsidRPr="000B2ED3">
              <w:t xml:space="preserve"> include emergency department visits, outpatient services (such as pathology, radiology and imaging, and allied health services, including speech therapy and family planning) and other services to non-admitted patients. Hospital non-admitted occasions of service are not yet recorded consistently across states and territories, and relative differences in the complexity of services provided are not yet documented.</w:t>
            </w:r>
          </w:p>
        </w:tc>
      </w:tr>
      <w:tr w:rsidR="00814F52" w:rsidRPr="000B2ED3"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Non-admitted patient</w:t>
            </w:r>
          </w:p>
        </w:tc>
        <w:tc>
          <w:tcPr>
            <w:tcW w:w="6487" w:type="dxa"/>
            <w:shd w:val="clear" w:color="auto" w:fill="auto"/>
          </w:tcPr>
          <w:p w:rsidR="00814F52" w:rsidRPr="000B2ED3" w:rsidRDefault="00814F52" w:rsidP="00AE264A">
            <w:pPr>
              <w:pStyle w:val="TableBodyText"/>
              <w:spacing w:before="60" w:after="60"/>
              <w:jc w:val="left"/>
            </w:pPr>
            <w:r w:rsidRPr="000B2ED3">
              <w:t>A patient who has not undergone a formal admission process, but who may receive care through an emergency department, outpatient or other non-admitted service.</w:t>
            </w:r>
          </w:p>
        </w:tc>
      </w:tr>
      <w:tr w:rsidR="00814F52" w:rsidRPr="000B2ED3"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Perinatal death</w:t>
            </w:r>
          </w:p>
        </w:tc>
        <w:tc>
          <w:tcPr>
            <w:tcW w:w="6487" w:type="dxa"/>
            <w:shd w:val="clear" w:color="auto" w:fill="auto"/>
          </w:tcPr>
          <w:p w:rsidR="00814F52" w:rsidRPr="000B2ED3" w:rsidRDefault="00814F52" w:rsidP="00AE264A">
            <w:pPr>
              <w:pStyle w:val="TableBodyText"/>
              <w:spacing w:before="60" w:after="60"/>
              <w:jc w:val="left"/>
            </w:pPr>
            <w:r w:rsidRPr="000B2ED3">
              <w:t>Fetal death or neonatal death of an infant that weighs at least 400 grams or that is of a gestational age of at least 20 weeks.</w:t>
            </w:r>
          </w:p>
        </w:tc>
      </w:tr>
      <w:tr w:rsidR="00814F52" w:rsidRPr="000B2ED3"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Perinatal death rate</w:t>
            </w:r>
          </w:p>
        </w:tc>
        <w:tc>
          <w:tcPr>
            <w:tcW w:w="6487" w:type="dxa"/>
            <w:shd w:val="clear" w:color="auto" w:fill="auto"/>
          </w:tcPr>
          <w:p w:rsidR="00814F52" w:rsidRPr="000B2ED3" w:rsidRDefault="00814F52" w:rsidP="00AE264A">
            <w:pPr>
              <w:pStyle w:val="TableBodyText"/>
              <w:spacing w:before="60" w:after="60"/>
              <w:jc w:val="left"/>
            </w:pPr>
            <w:r w:rsidRPr="000B2ED3">
              <w:t>Perinatal deaths divided by the total number of births (that is, live births registered and fetal deaths combined).</w:t>
            </w:r>
          </w:p>
        </w:tc>
      </w:tr>
      <w:tr w:rsidR="00814F52" w:rsidRPr="000B2ED3"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Perineal laceration (third or fourth degree)</w:t>
            </w:r>
          </w:p>
        </w:tc>
        <w:tc>
          <w:tcPr>
            <w:tcW w:w="6487" w:type="dxa"/>
            <w:shd w:val="clear" w:color="auto" w:fill="auto"/>
          </w:tcPr>
          <w:p w:rsidR="00814F52" w:rsidRPr="000B2ED3" w:rsidRDefault="00814F52" w:rsidP="00AE264A">
            <w:pPr>
              <w:pStyle w:val="TableBodyText"/>
              <w:spacing w:before="60" w:after="60"/>
              <w:jc w:val="left"/>
            </w:pPr>
            <w:r w:rsidRPr="000B2ED3">
              <w:t xml:space="preserve">A ‘third degree’ laceration or rupture during birth (or a tear following episiotomy) involves the anal sphincter, rectovaginal septum and sphincter NOS. A ‘fourth degree’ laceration, rupture or tear also involves the anal mucosa and rectal mucosa (NCCH </w:t>
            </w:r>
            <w:r>
              <w:t>2008</w:t>
            </w:r>
            <w:r w:rsidRPr="000B2ED3">
              <w:t>).</w:t>
            </w:r>
          </w:p>
        </w:tc>
      </w:tr>
      <w:tr w:rsidR="00814F52" w:rsidRPr="000B2ED3"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Perineal status</w:t>
            </w:r>
          </w:p>
        </w:tc>
        <w:tc>
          <w:tcPr>
            <w:tcW w:w="6487" w:type="dxa"/>
            <w:shd w:val="clear" w:color="auto" w:fill="auto"/>
          </w:tcPr>
          <w:p w:rsidR="00814F52" w:rsidRPr="000B2ED3" w:rsidRDefault="00814F52" w:rsidP="00AE264A">
            <w:pPr>
              <w:pStyle w:val="TableBodyText"/>
              <w:spacing w:before="60" w:after="60"/>
              <w:jc w:val="left"/>
            </w:pPr>
            <w:r w:rsidRPr="000B2ED3">
              <w:t>The state of the perineum following a birth.</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Primary care</w:t>
            </w:r>
          </w:p>
        </w:tc>
        <w:tc>
          <w:tcPr>
            <w:tcW w:w="6487" w:type="dxa"/>
            <w:shd w:val="clear" w:color="auto" w:fill="auto"/>
          </w:tcPr>
          <w:p w:rsidR="00814F52" w:rsidRDefault="00814F52" w:rsidP="00AE264A">
            <w:pPr>
              <w:pStyle w:val="TableBodyText"/>
              <w:spacing w:before="60" w:after="60"/>
              <w:jc w:val="left"/>
            </w:pPr>
            <w:r>
              <w:t xml:space="preserve">Essential healthcare based on practical, scientifically sound and socially acceptable methods made universally accessible to individuals and families </w:t>
            </w:r>
            <w:r>
              <w:lastRenderedPageBreak/>
              <w:t>in the community.</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lastRenderedPageBreak/>
              <w:t>Primipara</w:t>
            </w:r>
          </w:p>
        </w:tc>
        <w:tc>
          <w:tcPr>
            <w:tcW w:w="6487" w:type="dxa"/>
            <w:shd w:val="clear" w:color="auto" w:fill="auto"/>
          </w:tcPr>
          <w:p w:rsidR="00814F52" w:rsidRDefault="00814F52" w:rsidP="00AE264A">
            <w:pPr>
              <w:pStyle w:val="TableBodyText"/>
              <w:spacing w:before="60" w:after="60"/>
              <w:jc w:val="left"/>
            </w:pPr>
            <w:r>
              <w:t>A</w:t>
            </w:r>
            <w:r w:rsidRPr="00BF6C02">
              <w:t xml:space="preserve"> woman who has given birth to a liveborn or stillborn infant for the first time.</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Public hospital</w:t>
            </w:r>
          </w:p>
        </w:tc>
        <w:tc>
          <w:tcPr>
            <w:tcW w:w="6487" w:type="dxa"/>
            <w:shd w:val="clear" w:color="auto" w:fill="auto"/>
          </w:tcPr>
          <w:p w:rsidR="00814F52" w:rsidRDefault="00814F52" w:rsidP="00AE264A">
            <w:pPr>
              <w:pStyle w:val="TableBodyText"/>
              <w:spacing w:before="60" w:after="60"/>
              <w:jc w:val="left"/>
            </w:pPr>
            <w:r>
              <w:t>A hospital that provides free treatment and accommodation to eligible admitted persons who elect to be treated as public patients. It also provides free services to eligible non-admitted patients and can provide (and charge for) treatment and accommodation services to private patients. Charges to non-admitted patients and admitted patients on discharge can be levied in accordance with the Australian Health Care Agreements (for example, aids and appliances).</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Puerperium</w:t>
            </w:r>
          </w:p>
        </w:tc>
        <w:tc>
          <w:tcPr>
            <w:tcW w:w="6487" w:type="dxa"/>
            <w:shd w:val="clear" w:color="auto" w:fill="auto"/>
          </w:tcPr>
          <w:p w:rsidR="00814F52" w:rsidRDefault="00814F52" w:rsidP="00AE264A">
            <w:pPr>
              <w:pStyle w:val="TableBodyText"/>
              <w:spacing w:before="60" w:after="60"/>
              <w:jc w:val="left"/>
            </w:pPr>
            <w:r>
              <w:t>T</w:t>
            </w:r>
            <w:r w:rsidRPr="005814CC">
              <w:t>he time in the woman's perinatal period between the birth and up to 42 days after the birth.</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Real expenditure</w:t>
            </w:r>
          </w:p>
        </w:tc>
        <w:tc>
          <w:tcPr>
            <w:tcW w:w="6487" w:type="dxa"/>
            <w:shd w:val="clear" w:color="auto" w:fill="auto"/>
          </w:tcPr>
          <w:p w:rsidR="00814F52" w:rsidRDefault="00814F52" w:rsidP="00AE264A">
            <w:pPr>
              <w:pStyle w:val="TableBodyText"/>
              <w:spacing w:before="60" w:after="60"/>
              <w:jc w:val="left"/>
            </w:pPr>
            <w:r>
              <w:t>Actual expenditure adjusted for changes in prices.</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Relative stay index</w:t>
            </w:r>
          </w:p>
        </w:tc>
        <w:tc>
          <w:tcPr>
            <w:tcW w:w="6487" w:type="dxa"/>
            <w:shd w:val="clear" w:color="auto" w:fill="auto"/>
          </w:tcPr>
          <w:p w:rsidR="00814F52" w:rsidRDefault="00814F52" w:rsidP="004D0FB7">
            <w:pPr>
              <w:pStyle w:val="TableBodyText"/>
              <w:spacing w:before="60" w:after="60"/>
              <w:jc w:val="left"/>
            </w:pPr>
            <w:r>
              <w:t>The actual number of patient days for acute care separations in selected AR–DRGs divided by the expected number of patient days adjusted for casemix. Includes acute care separations only. Excludes: patients who died or were transferred within 2 days of admission, or separations with length of stay greater than 120 days, AR-DRGs which are for ‘rehabilitation’, AR</w:t>
            </w:r>
            <w:r w:rsidR="004D0FB7">
              <w:noBreakHyphen/>
            </w:r>
            <w:r>
              <w:t>DRGs which are predominantly same day (such as R63Z chemotherapy and L61Z admit for renal dialysis), AR</w:t>
            </w:r>
            <w:r w:rsidR="004D0FB7">
              <w:t>-</w:t>
            </w:r>
            <w:r>
              <w:t>DRGs which have a length of stay component in the definition, and error AR-DRGs.</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Same day patients</w:t>
            </w:r>
          </w:p>
        </w:tc>
        <w:tc>
          <w:tcPr>
            <w:tcW w:w="6487" w:type="dxa"/>
            <w:shd w:val="clear" w:color="auto" w:fill="auto"/>
          </w:tcPr>
          <w:p w:rsidR="00814F52" w:rsidRDefault="00814F52" w:rsidP="00AE264A">
            <w:pPr>
              <w:pStyle w:val="TableBodyText"/>
              <w:spacing w:before="60" w:after="60"/>
              <w:jc w:val="left"/>
            </w:pPr>
            <w:r>
              <w:t>A patient whose admission date is the same as the separation date.</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Sentinel events</w:t>
            </w:r>
          </w:p>
        </w:tc>
        <w:tc>
          <w:tcPr>
            <w:tcW w:w="6487" w:type="dxa"/>
            <w:shd w:val="clear" w:color="auto" w:fill="auto"/>
          </w:tcPr>
          <w:p w:rsidR="00814F52" w:rsidRDefault="00814F52" w:rsidP="00AE264A">
            <w:pPr>
              <w:pStyle w:val="TableBodyText"/>
              <w:spacing w:before="60" w:after="60"/>
              <w:jc w:val="left"/>
            </w:pPr>
            <w:r>
              <w:t>Adverse events that cause serious harm to patients and that have the potential to undermine public confidence in the healthcare system.</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Separation</w:t>
            </w:r>
          </w:p>
        </w:tc>
        <w:tc>
          <w:tcPr>
            <w:tcW w:w="6487" w:type="dxa"/>
            <w:shd w:val="clear" w:color="auto" w:fill="auto"/>
          </w:tcPr>
          <w:p w:rsidR="00814F52" w:rsidRDefault="00814F52" w:rsidP="00AE264A">
            <w:pPr>
              <w:pStyle w:val="TableBodyText"/>
              <w:spacing w:before="60" w:after="60"/>
              <w:jc w:val="left"/>
            </w:pPr>
            <w:r>
              <w:t>A total hospital stay (from admission to discharge, transfer or death) or a portion of a hospital stay beginning or ending in a change in the type of care for an admitted patient (for example, from acute to rehabilitation). Includes admitted patients who receive same day procedures (for example, renal dialysis).</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Separation rate</w:t>
            </w:r>
          </w:p>
        </w:tc>
        <w:tc>
          <w:tcPr>
            <w:tcW w:w="6487" w:type="dxa"/>
            <w:shd w:val="clear" w:color="auto" w:fill="auto"/>
          </w:tcPr>
          <w:p w:rsidR="00814F52" w:rsidRDefault="00814F52" w:rsidP="00AE264A">
            <w:pPr>
              <w:pStyle w:val="TableBodyText"/>
              <w:spacing w:before="60" w:after="60"/>
              <w:jc w:val="left"/>
            </w:pPr>
            <w:r>
              <w:t>Hospital separations per 1000 people or 100 000 people.</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Selected primiparae</w:t>
            </w:r>
          </w:p>
        </w:tc>
        <w:tc>
          <w:tcPr>
            <w:tcW w:w="6487" w:type="dxa"/>
            <w:shd w:val="clear" w:color="auto" w:fill="auto"/>
          </w:tcPr>
          <w:p w:rsidR="00814F52" w:rsidRDefault="00814F52" w:rsidP="002E10C1">
            <w:pPr>
              <w:pStyle w:val="TableBodyText"/>
              <w:spacing w:before="60" w:after="60"/>
              <w:jc w:val="left"/>
            </w:pPr>
            <w:r>
              <w:t>Primiparae with no previous deliveries, aged 2</w:t>
            </w:r>
            <w:r w:rsidR="002E10C1">
              <w:t>0</w:t>
            </w:r>
            <w:r>
              <w:t>–</w:t>
            </w:r>
            <w:r w:rsidR="002E10C1">
              <w:t>34</w:t>
            </w:r>
            <w:r>
              <w:t xml:space="preserve"> years, singleton, vertex presentation and gestation of 37–41 weeks (inclusive).</w:t>
            </w:r>
          </w:p>
        </w:tc>
      </w:tr>
      <w:tr w:rsidR="00814F52" w:rsidRPr="008A64B8"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Subacute care</w:t>
            </w:r>
          </w:p>
        </w:tc>
        <w:tc>
          <w:tcPr>
            <w:tcW w:w="6487" w:type="dxa"/>
            <w:shd w:val="clear" w:color="auto" w:fill="auto"/>
          </w:tcPr>
          <w:p w:rsidR="00814F52" w:rsidRDefault="00814F52" w:rsidP="00AE264A">
            <w:pPr>
              <w:pStyle w:val="TableBodyText"/>
              <w:spacing w:before="60" w:after="60"/>
              <w:jc w:val="left"/>
            </w:pPr>
            <w:r>
              <w:t>Specialised multidisciplinary care in which the primary need for care is optimisation of the patient’s functioning and quality of life. A person’s functioning may relate to their whole body or a body part, the whole person, or the whole person in a social context, and to impairment of a body function or structure, activity limitation and/or participation restriction.</w:t>
            </w:r>
          </w:p>
          <w:p w:rsidR="00814F52" w:rsidRPr="008A64B8" w:rsidRDefault="00814F52" w:rsidP="00AE264A">
            <w:pPr>
              <w:pStyle w:val="TableBodyText"/>
              <w:spacing w:before="60" w:after="60"/>
              <w:jc w:val="left"/>
            </w:pPr>
            <w:r>
              <w:t>Subacute care comprises the defined care types of rehabilitation, palliative care, geriatric evaluation and management and psychogeriatric care.</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Triage category</w:t>
            </w:r>
          </w:p>
        </w:tc>
        <w:tc>
          <w:tcPr>
            <w:tcW w:w="6487" w:type="dxa"/>
            <w:shd w:val="clear" w:color="auto" w:fill="auto"/>
          </w:tcPr>
          <w:p w:rsidR="00814F52" w:rsidRDefault="00814F52" w:rsidP="00AE264A">
            <w:pPr>
              <w:pStyle w:val="TableBodyText"/>
              <w:spacing w:before="60" w:after="60"/>
              <w:jc w:val="left"/>
            </w:pPr>
            <w:r>
              <w:t>The urgency of the patient’s need for medical and nursing care:</w:t>
            </w:r>
          </w:p>
          <w:p w:rsidR="00814F52" w:rsidRDefault="00814F52" w:rsidP="00AE264A">
            <w:pPr>
              <w:pStyle w:val="TableBodyText"/>
              <w:spacing w:before="60" w:after="60"/>
              <w:jc w:val="left"/>
            </w:pPr>
            <w:r>
              <w:t>category 1 — resuscitation (immediate within seconds)</w:t>
            </w:r>
          </w:p>
          <w:p w:rsidR="00814F52" w:rsidRDefault="00814F52" w:rsidP="00AE264A">
            <w:pPr>
              <w:pStyle w:val="TableBodyText"/>
              <w:spacing w:before="60" w:after="60"/>
              <w:jc w:val="left"/>
            </w:pPr>
            <w:r>
              <w:t>category 2 — emergency (within 10 minutes)</w:t>
            </w:r>
          </w:p>
          <w:p w:rsidR="00814F52" w:rsidRDefault="00814F52" w:rsidP="00AE264A">
            <w:pPr>
              <w:pStyle w:val="TableBodyText"/>
              <w:spacing w:before="60" w:after="60"/>
              <w:jc w:val="left"/>
            </w:pPr>
            <w:r>
              <w:t>category 3 — urgent (within 30 minutes)</w:t>
            </w:r>
          </w:p>
          <w:p w:rsidR="00814F52" w:rsidRDefault="00814F52" w:rsidP="00AE264A">
            <w:pPr>
              <w:pStyle w:val="TableBodyText"/>
              <w:spacing w:before="60" w:after="60"/>
              <w:jc w:val="left"/>
            </w:pPr>
            <w:r>
              <w:t>category 4 — semi-urgent (within 60 minutes)</w:t>
            </w:r>
          </w:p>
          <w:p w:rsidR="00814F52" w:rsidRDefault="00814F52" w:rsidP="00AE264A">
            <w:pPr>
              <w:pStyle w:val="TableBodyText"/>
              <w:spacing w:before="60" w:after="60"/>
              <w:jc w:val="left"/>
            </w:pPr>
            <w:r>
              <w:t>category 5 — non-urgent (within 120 minutes).</w:t>
            </w:r>
          </w:p>
        </w:tc>
      </w:tr>
      <w:tr w:rsidR="00814F52" w:rsidTr="00814F52">
        <w:tc>
          <w:tcPr>
            <w:tcW w:w="2302" w:type="dxa"/>
            <w:shd w:val="clear" w:color="auto" w:fill="auto"/>
          </w:tcPr>
          <w:p w:rsidR="00814F52" w:rsidRPr="00407F56" w:rsidRDefault="00814F52" w:rsidP="00AE264A">
            <w:pPr>
              <w:pStyle w:val="TableBodyText"/>
              <w:spacing w:before="60" w:after="60"/>
              <w:jc w:val="left"/>
              <w:rPr>
                <w:b/>
              </w:rPr>
            </w:pPr>
            <w:r w:rsidRPr="00407F56">
              <w:rPr>
                <w:b/>
              </w:rPr>
              <w:t>Urgency category for elective surgery</w:t>
            </w:r>
          </w:p>
        </w:tc>
        <w:tc>
          <w:tcPr>
            <w:tcW w:w="6487" w:type="dxa"/>
            <w:shd w:val="clear" w:color="auto" w:fill="auto"/>
          </w:tcPr>
          <w:p w:rsidR="00814F52" w:rsidRPr="00B372D7" w:rsidRDefault="00814F52" w:rsidP="00AE264A">
            <w:pPr>
              <w:pStyle w:val="TableBodyText"/>
              <w:spacing w:before="60" w:after="60"/>
              <w:jc w:val="left"/>
            </w:pPr>
            <w:r w:rsidRPr="00B372D7">
              <w:t xml:space="preserve">Category 1 patients — admission within 30 days is desirable for a condition that has the potential to deteriorate quickly to the point that it </w:t>
            </w:r>
            <w:r>
              <w:t>can</w:t>
            </w:r>
            <w:r w:rsidRPr="00B372D7">
              <w:t xml:space="preserve"> become an emergency. </w:t>
            </w:r>
          </w:p>
          <w:p w:rsidR="00814F52" w:rsidRPr="00B372D7" w:rsidRDefault="00814F52" w:rsidP="00AE264A">
            <w:pPr>
              <w:pStyle w:val="TableBodyText"/>
              <w:spacing w:before="60" w:after="60"/>
              <w:jc w:val="left"/>
            </w:pPr>
            <w:r w:rsidRPr="00B372D7">
              <w:t>Category 2 patients — admission within 90 days is desirable for a condition that is causing some pain, dysfunction or disability, but that is not likely to deteriorate quickly or become an emergency.</w:t>
            </w:r>
          </w:p>
          <w:p w:rsidR="00814F52" w:rsidRDefault="00814F52" w:rsidP="00AE264A">
            <w:pPr>
              <w:pStyle w:val="TableBodyText"/>
              <w:spacing w:before="60" w:after="60"/>
              <w:jc w:val="left"/>
            </w:pPr>
            <w:r w:rsidRPr="00B372D7">
              <w:t>Category 3 patients — admission at some time in the future is acceptable for a condition causing minimal or no pain, dysfunction or disability, that is unlikely to deteriorate quickly and that does not have the potential to become an emergency.</w:t>
            </w:r>
          </w:p>
        </w:tc>
      </w:tr>
    </w:tbl>
    <w:p w:rsidR="00843167" w:rsidRDefault="00814F52" w:rsidP="00814F52">
      <w:pPr>
        <w:pStyle w:val="Heading2"/>
      </w:pPr>
      <w:bookmarkStart w:id="14" w:name="_Toc397611347"/>
      <w:r>
        <w:lastRenderedPageBreak/>
        <w:t>11.</w:t>
      </w:r>
      <w:r w:rsidR="009A53E9">
        <w:rPr>
          <w:noProof/>
        </w:rPr>
        <w:t>9</w:t>
      </w:r>
      <w:r>
        <w:tab/>
      </w:r>
      <w:r w:rsidRPr="00814F52">
        <w:t>List of attachment tables</w:t>
      </w:r>
      <w:bookmarkEnd w:id="14"/>
    </w:p>
    <w:p w:rsidR="00814F52" w:rsidRDefault="00814F52" w:rsidP="00814F52">
      <w:pPr>
        <w:pStyle w:val="BodyText"/>
      </w:pPr>
      <w:r w:rsidRPr="00814F52">
        <w:t>Attachment tables are identified in references throughout this chapter by a ‘11A’ prefix (for example, table 11A.1). Attachment tables are available from the Review website (www.pc.gov.au/gsp).</w:t>
      </w:r>
    </w:p>
    <w:p w:rsidR="00612CC2" w:rsidRDefault="00612CC2" w:rsidP="00814F52">
      <w:pPr>
        <w:pStyle w:val="BodyText"/>
      </w:pPr>
    </w:p>
    <w:tbl>
      <w:tblPr>
        <w:tblW w:w="8860" w:type="dxa"/>
        <w:tblInd w:w="108" w:type="dxa"/>
        <w:tblLook w:val="04A0" w:firstRow="1" w:lastRow="0" w:firstColumn="1" w:lastColumn="0" w:noHBand="0" w:noVBand="1"/>
      </w:tblPr>
      <w:tblGrid>
        <w:gridCol w:w="1560"/>
        <w:gridCol w:w="7300"/>
      </w:tblGrid>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A50767" w:rsidP="00A50767">
            <w:pPr>
              <w:jc w:val="both"/>
              <w:rPr>
                <w:b/>
              </w:rPr>
            </w:pPr>
            <w:r>
              <w:rPr>
                <w:rFonts w:ascii="Arial" w:hAnsi="Arial" w:cs="Arial"/>
                <w:b/>
                <w:sz w:val="20"/>
                <w:szCs w:val="20"/>
              </w:rPr>
              <w:t>Table 11A.1</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Recurrent expenditure, public hospitals (including psychiatric hospitals), (2012-13 dollars, million)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11A.2</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Recurrent expenditure, public hospital services, by source of funding, (2012-13 dollars)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11A.3</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Recurrent expenditure per person, public hospitals (including psychiatric) (2012-13 dollars)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11A.4</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Public hospitals  (including psychiatric hospitals) by hospital size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11A.5</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Available beds per 1000 people, by region, public hospitals (including psychiatric) (number)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11A.6</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Summary of separations, public hospitals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11A.7</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Separations, public (non-psychiatric) hospitals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11A.8</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Same-day and overnight separations by broad category of service, public hospitals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11A.9</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Separations in public hospitals, by age group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11A.10</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Separations by hospital sector and Indigenous status of patient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11A.11</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Separations per 1000 people, by Indigenous status of patient (number)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11A.12</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Average full time equivalent (FTE) staff per 1000 persons, public hospitals (including psychiatric hospitals)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sidRPr="00A50767">
              <w:rPr>
                <w:rFonts w:ascii="Arial" w:hAnsi="Arial" w:cs="Arial"/>
                <w:b/>
                <w:sz w:val="20"/>
                <w:szCs w:val="20"/>
              </w:rPr>
              <w:t>Table 11A.13</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Separations, by type of episode of care, public hospitals (including psychiatric), 2012-13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sidRPr="00A50767">
              <w:rPr>
                <w:rFonts w:ascii="Arial" w:hAnsi="Arial" w:cs="Arial"/>
                <w:b/>
                <w:sz w:val="20"/>
                <w:szCs w:val="20"/>
              </w:rPr>
              <w:t>Table 11A.14</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Same-day acute separations for the 50 most common principal diagnoses, public hospitals, states and territories, 2012-13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sidRPr="00A50767">
              <w:rPr>
                <w:rFonts w:ascii="Arial" w:hAnsi="Arial" w:cs="Arial"/>
                <w:b/>
                <w:sz w:val="20"/>
                <w:szCs w:val="20"/>
              </w:rPr>
              <w:t>Table 11A.15</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Overnight acute separations, for the 50 most common principal diagnoses, public hospitals, states and territories, 2012-13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sidRPr="00A50767">
              <w:rPr>
                <w:rFonts w:ascii="Arial" w:hAnsi="Arial" w:cs="Arial"/>
                <w:b/>
                <w:sz w:val="20"/>
                <w:szCs w:val="20"/>
              </w:rPr>
              <w:t>Table 11A.16</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Patient days, by care type, public and private hospitals, 2012-13</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sidRPr="00A50767">
              <w:rPr>
                <w:rFonts w:ascii="Arial" w:hAnsi="Arial" w:cs="Arial"/>
                <w:b/>
                <w:sz w:val="20"/>
                <w:szCs w:val="20"/>
              </w:rPr>
              <w:t>Table 11A.17</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Non-admitted patient occasions of service, by type of non-admitted patient care, public hospitals, 2012-13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sidRPr="00A50767">
              <w:rPr>
                <w:rFonts w:ascii="Arial" w:hAnsi="Arial" w:cs="Arial"/>
                <w:b/>
                <w:sz w:val="20"/>
                <w:szCs w:val="20"/>
              </w:rPr>
              <w:t>Table 11A.18</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Emergency department waiting times, by triage category, public hospitals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11A.19</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Patients treated within national benchmarks for emergency department waiting time, by hospital peer group, by State and Territory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11A.20</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Patients treated within national benchmarks for emergency department waiting time, by Indigenous status, by State and Territory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11A.21</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Patients treated within national benchmarks for emergency department waiting time, by remoteness, by State and Territory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11A.22</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Patients treated within national benchmarks for emergency department waiting time, by State and Territory, by SEIFA IRSD quintiles    </w:t>
            </w:r>
          </w:p>
        </w:tc>
      </w:tr>
      <w:tr w:rsidR="00A50767" w:rsidRPr="00A50767" w:rsidTr="00A50767">
        <w:trPr>
          <w:trHeight w:val="86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lastRenderedPageBreak/>
              <w:t>Table 11A.23</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Percentage of presentations where the time from presentation to physical departure (Emergency Department (ED) Stay length) is within four hours, by State and Territory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11A.24</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Elective surgery waiting times for patients admitted from waiting lists, by hospital peer group, public hospitals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11A.25</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Elective surgery waiting times, by specialty of surgeon</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11A.26</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Waiting times for elective surgery in public hospitals, by Indigenous status and procedure, by State and Territory (days)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11A.27</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Waiting times for elective surgery in public hospitals, by State and Territory, by remoteness area (days)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11A.28</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Waiting times for elective surgery in public hospitals, by State and Territory, by SEIFA IRSD quintiles (days)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sidRPr="00A50767">
              <w:rPr>
                <w:rFonts w:ascii="Arial" w:hAnsi="Arial" w:cs="Arial"/>
                <w:b/>
                <w:sz w:val="20"/>
                <w:szCs w:val="20"/>
              </w:rPr>
              <w:t>Tabl</w:t>
            </w:r>
            <w:r w:rsidR="00612CC2">
              <w:rPr>
                <w:rFonts w:ascii="Arial" w:hAnsi="Arial" w:cs="Arial"/>
                <w:b/>
                <w:sz w:val="20"/>
                <w:szCs w:val="20"/>
              </w:rPr>
              <w:t>e 11A.29</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Elective surgery waiting times, by indicator procedure</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11A.30</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Classification of elective surgery patients, by clinical urgency category (per cent)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11A.31</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NSW elective surgery waiting times by clinical urgency category, public hospitals (per cent)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11A.32</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NSW elective surgery waiting times, public hospitals, by clinical urgency category and surgical specialty, 2013-14</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11A.33</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Victorian elective surgery waiting times by clinical urgency category, public hospitals (per cent)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11A.34</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Victorian elective surgery waiting times, public hospitals, by clinical urgency category and surgical specialty, 2013-14</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11A.35</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Queensland elective surgery waiting times, by clinical urgency category, public hospitals (per cent)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11A.36</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Queensland elective surgery waiting times, public hospitals, by clinical urgency category and surgical specialty, 2013-14</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11A.37</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WA elective surgery waiting times, by clinical urgency category, public hospitals (per cent)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11A.38</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WA elective surgery waiting times, public hospitals, by clinical urgency category and surgical specialty, 2013-14</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11A.39</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SA elective surgery waiting times, by clinical urgency category, public hospitals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11A.40</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SA elective surgery waiting times, public hospitals, by clinical urgency category and surgical specialty, 2013-14</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11A.41</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Tasmanian elective surgery waiting times, by clinical urgency category, public hospitals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11A.42</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Tasmania elective surgery waiting times, public hospitals, by clinical urgency category and surgical specialty, 2013-14</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11A.43</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ACT elective surgery waiting times, by clinical urgency category, public hospitals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11A.44</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ACT elective surgery waiting times, public hospitals, by clinical urgency category and surgical specialty, 2013-14</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11A.45</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NT elective surgery waiting times, by clinical urgency category, public hospitals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lastRenderedPageBreak/>
              <w:t>Table 11A.46</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NT elective surgery waiting times, public hospitals, by clinical urgency category and surgical specialty, 2013-14</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11A.47</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Proportion of presentations to emergency departments with a length of stay of 4 hours or less ending in admission, public hospitals,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11A.48</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Separation statistics for selected hospital procedures per 1000 people, all hospitals 2012-13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11A.49</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Separation statistics for selected hospital procedures, all hospitals, 2012-13</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11A.50</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Unplanned hospital readmissions rates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11A.51</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Unplanned hospital readmission rates, by Indigenous status, hospital peer group, remoteness and SEIFA IRSD quintiles, 2012-13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11A.52</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Proportion of accredited beds in public hospitals (per cent)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11A.53</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Episodes of </w:t>
            </w:r>
            <w:r w:rsidRPr="00254603">
              <w:rPr>
                <w:rFonts w:ascii="Arial" w:hAnsi="Arial" w:cs="Arial"/>
                <w:i/>
                <w:sz w:val="20"/>
                <w:szCs w:val="20"/>
              </w:rPr>
              <w:t>Staphylococcus aureus</w:t>
            </w:r>
            <w:r w:rsidRPr="00A50767">
              <w:rPr>
                <w:rFonts w:ascii="Arial" w:hAnsi="Arial" w:cs="Arial"/>
                <w:sz w:val="20"/>
                <w:szCs w:val="20"/>
              </w:rPr>
              <w:t xml:space="preserve"> (including MRSA) bacteraemia (SAB) in acute care hospitals, by MRSA and MSSA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11A.54</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Separations with an adverse event,  public hospitals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11A.55</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Separations for falls resulting in patient harm in hospitals, per 1000 separations, 2012-13</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11A.56</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Nursing workforce (includes midwives), by age group and remoteness area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11A.57</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Nursing workforce (includes midwives), by age group  .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11A.58</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Medical practitioner workforce, by age group and remoteness area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11A.59</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Medical practitioner workforce, by age group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11A.60</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Recurrent cost per casemix-adjusted separation, selected public acute hospitals 2011-12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11A.61</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Costs and utilisation by hospital peer group, public hospitals, 2011-12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11A.62</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Capital cost per casemix-adjusted separation — indicative estimates for inpatient services at major public acute hospitals, 2011-12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11A.63</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Relative stay index for patients in public hospitals, by funding source, 2012-13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11A.64</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Relative stay index, indirectly standardised, patients in public hospitals, by medical, surgical and other type of diagnosis related group 2012-13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11A.65</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NSW recurrent cost per non-admitted patient occasion of service, public hospitals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11A.66</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WA recurrent cost per non-admitted patient occasion of service, public hospitals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11A.67</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SA recurrent cost per non-admitted patient occasion of service, public hospitals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11A.68</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Tasmania recurrent cost per non-admitted patient occasion of service, public hospitals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11A.69</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ACT recurrent cost per non-admitted patient occasion of service, public hospitals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11A.70</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Emergency department admitted and non-admitted cost per presentation, 2011-12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11A.71</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Emergency department presentations by Urgency Related Groupings (URG) codes - presentations and average cost per presentation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11A.72</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Non-admitted service events and average cost per service event   </w:t>
            </w:r>
          </w:p>
        </w:tc>
      </w:tr>
      <w:tr w:rsidR="00A50767" w:rsidRPr="00A50767" w:rsidTr="00A50767">
        <w:trPr>
          <w:trHeight w:val="112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lastRenderedPageBreak/>
              <w:t>Table 11A.73</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Proportion of persons who went to an emergency department in the last 12 months reporting the ED doctors or specialists always or often: listened carefully, showed respect, and spent enough time with them, by State and Territory, by remoteness,  2013-14   </w:t>
            </w:r>
          </w:p>
        </w:tc>
      </w:tr>
      <w:tr w:rsidR="00A50767" w:rsidRPr="00A50767" w:rsidTr="00A50767">
        <w:trPr>
          <w:trHeight w:val="86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11A.74</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Proportion of persons who went to an emergency department in the last 12 months reporting the ED doctors or specialists always or often: listened carefully, showed respect, and spent enough time with them, by remoteness, 2013-14   </w:t>
            </w:r>
          </w:p>
        </w:tc>
      </w:tr>
      <w:tr w:rsidR="00A50767" w:rsidRPr="00A50767" w:rsidTr="00A50767">
        <w:trPr>
          <w:trHeight w:val="112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11A.75</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Proportion of persons who went to an emergency department in the last 12 months reporting the ED nurses always or often: listened carefully, showed respect, and spent enough time with them, by remoteness, by State and Territory, 2013-14   </w:t>
            </w:r>
          </w:p>
        </w:tc>
      </w:tr>
      <w:tr w:rsidR="00A50767" w:rsidRPr="00A50767" w:rsidTr="00A50767">
        <w:trPr>
          <w:trHeight w:val="86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11A.76</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Proportion of persons who went to an emergency department in the last 12 months reporting the ED nurses always or often: listened carefully, showed respect, and spent enough time with them, by remoteness, 2013-14   </w:t>
            </w:r>
          </w:p>
        </w:tc>
      </w:tr>
      <w:tr w:rsidR="00A50767" w:rsidRPr="00A50767" w:rsidTr="00A50767">
        <w:trPr>
          <w:trHeight w:val="1122"/>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11A.77</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Proportion of persons who were admitted to hospital in the last 12 months reporting the hospital doctors or specialists always or often: listened carefully, showed respect, and spent enough time with them, by remoteness, by State and Territory, 2013-14   </w:t>
            </w:r>
          </w:p>
        </w:tc>
      </w:tr>
      <w:tr w:rsidR="00A50767" w:rsidRPr="00A50767" w:rsidTr="00A50767">
        <w:trPr>
          <w:trHeight w:val="86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11A.78</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Proportion of persons who were admitted to hospital in the last 12 months reporting the hospital doctors or specialists always or often: listened carefully, showed respect, and spent enough time with them, by remoteness, 2013-14   </w:t>
            </w:r>
          </w:p>
        </w:tc>
      </w:tr>
      <w:tr w:rsidR="00A50767" w:rsidRPr="00A50767" w:rsidTr="00A50767">
        <w:trPr>
          <w:trHeight w:val="86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11A.79</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Proportion of persons who were admitted to hospital in the last 12 months reporting the hospital nurses always or often: listened carefully, showed respect, and spent enough time with them, by State and Territory, by remoteness, 2013-14   </w:t>
            </w:r>
          </w:p>
        </w:tc>
      </w:tr>
      <w:tr w:rsidR="00A50767" w:rsidRPr="00A50767" w:rsidTr="00A50767">
        <w:trPr>
          <w:trHeight w:val="86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11A.80</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Proportion of persons who were admitted to hospital in the last 12 months reporting the hospital nurses always or often: listened carefully, showed respect, and spent enough time with them, by remoteness, 2013-14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11A.81</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NSW patient evaluation of hospital services</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11A.82</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Victorian patient evaluation of hospital services</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sidRPr="00A50767">
              <w:rPr>
                <w:rFonts w:ascii="Arial" w:hAnsi="Arial" w:cs="Arial"/>
                <w:b/>
                <w:sz w:val="20"/>
                <w:szCs w:val="20"/>
              </w:rPr>
              <w:t>Tabl</w:t>
            </w:r>
            <w:r w:rsidR="00612CC2">
              <w:rPr>
                <w:rFonts w:ascii="Arial" w:hAnsi="Arial" w:cs="Arial"/>
                <w:b/>
                <w:sz w:val="20"/>
                <w:szCs w:val="20"/>
              </w:rPr>
              <w:t>e 11A.83</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Queensland patient evaluation of hospital services</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11A.84</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WA patient evaluation of hospital services</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11A.85</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SA patient evaluation of hospital services</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11A.86</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Tasmanian patient evaluation of hospital services</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11A.87</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ACT patient evaluation of hospital services</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11A.88</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NT patient evaluation of hospital services</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11A.89</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NSW selected sentinel events (number)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11A.90</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Victoria selected sentinel events (number)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11A.91</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Queensland selected sentinel events (number)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11A.92</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WA selected sentinel events (number)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11A.93</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SA selected sentinel events (number)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11A.94</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Tasmania selected sentinel events (number)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11A.95</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ACT selected sentinel events (number)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t>Table 11A.96</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NT selected sentinel events (number)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612CC2" w:rsidP="00A50767">
            <w:pPr>
              <w:jc w:val="both"/>
              <w:rPr>
                <w:rFonts w:ascii="Arial" w:hAnsi="Arial" w:cs="Arial"/>
                <w:b/>
                <w:sz w:val="20"/>
                <w:szCs w:val="20"/>
              </w:rPr>
            </w:pPr>
            <w:r>
              <w:rPr>
                <w:rFonts w:ascii="Arial" w:hAnsi="Arial" w:cs="Arial"/>
                <w:b/>
                <w:sz w:val="20"/>
                <w:szCs w:val="20"/>
              </w:rPr>
              <w:lastRenderedPageBreak/>
              <w:t>Table 11A.97</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Australia selected sentinel events (number)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11A.98</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Separations, same day separations, patient days, average length of stay and costs for MDC 14 and MDC 15, public hospitals, Australia, 2012-13</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11A.99</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Separations by major diagnostic category (AR-DRGs) version 6.0x, public hospitals, 2012-13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11A.100</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10 Diagnosis related groups with highest cost, by volume, public hospitals, Australia, 2012-13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11A.101</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Mean age of mothers at time of giving birth, public hospitals</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11A.102</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Intervention rates for selected primiparae, 2013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11A.103</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Intervention rates for selected primiparae, NSW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11A.104</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Intervention rates for selected primiparae, Victoria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11A.105</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Intervention rates for selected primiparae, Queensland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11A.106</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Intervention rates for selected primiparae, WA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11A.107</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Intervention rates for selected primiparae, SA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11A.108</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Intervention rates for selected primiparae, Tasmania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11A.109</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Intervention rates for selected primiparae, ACT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11A.110</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Intervention rates for selected primiparae, NT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11A.111</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Method of birth for selected women giving birth for the first time, 2012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11A.112</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Multiparous mothers who have had a previous caesarean section by current method of birth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11A.113</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Perineal status after vaginal births   </w:t>
            </w:r>
          </w:p>
        </w:tc>
      </w:tr>
      <w:tr w:rsidR="00A50767" w:rsidRPr="00A50767" w:rsidTr="00A50767">
        <w:trPr>
          <w:trHeight w:val="612"/>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11A.114</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Separations, patient days, ALOS and estimated cost per separation for selected maternity AR-DRG (version 6.0x) in selected public hospitals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11A.115</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Average length of stay for selected maternity AR-DRG (version 6.0x) 2012-13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11A.116</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Baby's Apgar scores at five minutes, by birthweight, public hospitals</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11A.117</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Fetal deaths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sidRPr="00A50767">
              <w:rPr>
                <w:rFonts w:ascii="Arial" w:hAnsi="Arial" w:cs="Arial"/>
                <w:b/>
                <w:sz w:val="20"/>
                <w:szCs w:val="20"/>
              </w:rPr>
              <w:t>T</w:t>
            </w:r>
            <w:r>
              <w:rPr>
                <w:rFonts w:ascii="Arial" w:hAnsi="Arial" w:cs="Arial"/>
                <w:b/>
                <w:sz w:val="20"/>
                <w:szCs w:val="20"/>
              </w:rPr>
              <w:t>able 11A.118</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Neonatal deaths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11A.119</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Neonatal, fetal and perinatal death rates, Australia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11A.120</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Perinatal deaths </w:t>
            </w:r>
          </w:p>
        </w:tc>
      </w:tr>
      <w:tr w:rsidR="00A50767" w:rsidRPr="00A50767" w:rsidTr="00A50767">
        <w:trPr>
          <w:trHeight w:val="357"/>
        </w:trPr>
        <w:tc>
          <w:tcPr>
            <w:tcW w:w="1560" w:type="dxa"/>
            <w:tcBorders>
              <w:top w:val="nil"/>
              <w:left w:val="nil"/>
              <w:bottom w:val="nil"/>
              <w:right w:val="nil"/>
            </w:tcBorders>
            <w:shd w:val="clear" w:color="auto" w:fill="auto"/>
            <w:noWrap/>
            <w:hideMark/>
          </w:tcPr>
          <w:p w:rsidR="00A50767" w:rsidRPr="00A50767" w:rsidRDefault="00A50767" w:rsidP="00A50767">
            <w:pPr>
              <w:jc w:val="both"/>
              <w:rPr>
                <w:rFonts w:ascii="Arial" w:hAnsi="Arial" w:cs="Arial"/>
                <w:b/>
                <w:sz w:val="20"/>
                <w:szCs w:val="20"/>
              </w:rPr>
            </w:pPr>
            <w:r>
              <w:rPr>
                <w:rFonts w:ascii="Arial" w:hAnsi="Arial" w:cs="Arial"/>
                <w:b/>
                <w:sz w:val="20"/>
                <w:szCs w:val="20"/>
              </w:rPr>
              <w:t>Table 11A.121</w:t>
            </w:r>
          </w:p>
        </w:tc>
        <w:tc>
          <w:tcPr>
            <w:tcW w:w="7300" w:type="dxa"/>
            <w:tcBorders>
              <w:top w:val="nil"/>
              <w:left w:val="nil"/>
              <w:bottom w:val="nil"/>
              <w:right w:val="nil"/>
            </w:tcBorders>
            <w:shd w:val="clear" w:color="auto" w:fill="auto"/>
            <w:hideMark/>
          </w:tcPr>
          <w:p w:rsidR="00A50767" w:rsidRPr="00A50767" w:rsidRDefault="00A50767" w:rsidP="00A50767">
            <w:pPr>
              <w:jc w:val="both"/>
              <w:rPr>
                <w:rFonts w:ascii="Arial" w:hAnsi="Arial" w:cs="Arial"/>
                <w:sz w:val="20"/>
                <w:szCs w:val="20"/>
              </w:rPr>
            </w:pPr>
            <w:r w:rsidRPr="00A50767">
              <w:rPr>
                <w:rFonts w:ascii="Arial" w:hAnsi="Arial" w:cs="Arial"/>
                <w:sz w:val="20"/>
                <w:szCs w:val="20"/>
              </w:rPr>
              <w:t xml:space="preserve">Perinatal, neonatal and fetal deaths    </w:t>
            </w:r>
          </w:p>
        </w:tc>
      </w:tr>
    </w:tbl>
    <w:p w:rsidR="00814F52" w:rsidRDefault="00814F52" w:rsidP="00814F52">
      <w:pPr>
        <w:pStyle w:val="BodyText"/>
      </w:pPr>
      <w:r>
        <w:br w:type="page"/>
      </w:r>
    </w:p>
    <w:p w:rsidR="00814F52" w:rsidRDefault="00814F52" w:rsidP="00814F52">
      <w:pPr>
        <w:pStyle w:val="Heading2"/>
      </w:pPr>
      <w:bookmarkStart w:id="15" w:name="_Toc397611348"/>
      <w:r>
        <w:lastRenderedPageBreak/>
        <w:t>11.</w:t>
      </w:r>
      <w:r w:rsidR="009A53E9">
        <w:rPr>
          <w:noProof/>
        </w:rPr>
        <w:t>10</w:t>
      </w:r>
      <w:r>
        <w:tab/>
      </w:r>
      <w:r w:rsidRPr="00814F52">
        <w:t>References</w:t>
      </w:r>
      <w:bookmarkEnd w:id="15"/>
    </w:p>
    <w:p w:rsidR="00814F52" w:rsidRDefault="00814F52" w:rsidP="00814F52">
      <w:pPr>
        <w:pStyle w:val="Reference"/>
      </w:pPr>
      <w:r>
        <w:t xml:space="preserve">ABS (Australian Bureau of Statistics) 2004, </w:t>
      </w:r>
      <w:r w:rsidRPr="00AA1C7A">
        <w:rPr>
          <w:i/>
        </w:rPr>
        <w:t>Deaths, Australia 2003,</w:t>
      </w:r>
      <w:r>
        <w:t xml:space="preserve"> Cat. no. 3302.0, Canberra.</w:t>
      </w:r>
    </w:p>
    <w:p w:rsidR="00814F52" w:rsidRDefault="00814F52" w:rsidP="00814F52">
      <w:pPr>
        <w:pStyle w:val="Reference"/>
      </w:pPr>
      <w:r>
        <w:t xml:space="preserve">AHMAC (Australian Health Ministers’ Advisory Council) 2012, </w:t>
      </w:r>
      <w:r w:rsidRPr="00AA1C7A">
        <w:rPr>
          <w:i/>
        </w:rPr>
        <w:t>The Aboriginal and Torres Strait Islander Health Performance Framework 2012 Report</w:t>
      </w:r>
      <w:r>
        <w:t>, AHMAC, Canberra.</w:t>
      </w:r>
    </w:p>
    <w:p w:rsidR="00814F52" w:rsidRDefault="00814F52" w:rsidP="00814F52">
      <w:pPr>
        <w:pStyle w:val="Reference"/>
      </w:pPr>
      <w:r>
        <w:t>AIHW (Australian Institute of Health and Welfare) 2000, 2001, 2006, 2009, 2010, 2011, 2012, 2013</w:t>
      </w:r>
      <w:r w:rsidR="00816E0B">
        <w:t>, 2014</w:t>
      </w:r>
      <w:r>
        <w:t xml:space="preserve">a </w:t>
      </w:r>
      <w:r w:rsidRPr="00AA1C7A">
        <w:rPr>
          <w:i/>
        </w:rPr>
        <w:t>Australian Hospital Statistics</w:t>
      </w:r>
      <w:r>
        <w:t>, Cat. nos HSE 11, 14, 41, 71, 84, 107, 117</w:t>
      </w:r>
      <w:r w:rsidR="00816E0B">
        <w:t>,</w:t>
      </w:r>
      <w:r>
        <w:t xml:space="preserve"> 134</w:t>
      </w:r>
      <w:r w:rsidR="00816E0B" w:rsidRPr="00816E0B">
        <w:t xml:space="preserve"> </w:t>
      </w:r>
      <w:r w:rsidR="00816E0B">
        <w:t>and 145</w:t>
      </w:r>
      <w:r>
        <w:t xml:space="preserve"> AIHW, Canberra.</w:t>
      </w:r>
    </w:p>
    <w:p w:rsidR="00814F52" w:rsidRDefault="00814F52" w:rsidP="00814F52">
      <w:pPr>
        <w:pStyle w:val="Reference"/>
      </w:pPr>
      <w:r>
        <w:t>—— 201</w:t>
      </w:r>
      <w:r w:rsidR="00816E0B">
        <w:t>4</w:t>
      </w:r>
      <w:r>
        <w:t xml:space="preserve">b, </w:t>
      </w:r>
      <w:r w:rsidRPr="00AA1C7A">
        <w:rPr>
          <w:i/>
        </w:rPr>
        <w:t>Health expenditure Australia 201</w:t>
      </w:r>
      <w:r w:rsidR="00816E0B">
        <w:rPr>
          <w:i/>
        </w:rPr>
        <w:t>2</w:t>
      </w:r>
      <w:r w:rsidRPr="00AA1C7A">
        <w:rPr>
          <w:i/>
        </w:rPr>
        <w:t>–1</w:t>
      </w:r>
      <w:r w:rsidR="00816E0B">
        <w:rPr>
          <w:i/>
        </w:rPr>
        <w:t>3</w:t>
      </w:r>
      <w:r w:rsidRPr="00AA1C7A">
        <w:rPr>
          <w:i/>
        </w:rPr>
        <w:t>,</w:t>
      </w:r>
      <w:r>
        <w:t xml:space="preserve"> Health and Welfare Expenditure Series No. 5</w:t>
      </w:r>
      <w:r w:rsidR="00816E0B">
        <w:t>2</w:t>
      </w:r>
      <w:r>
        <w:t xml:space="preserve">, Cat. no. HWE </w:t>
      </w:r>
      <w:r w:rsidR="00816E0B">
        <w:t>61</w:t>
      </w:r>
      <w:r>
        <w:t>. Canberra, AIHW.</w:t>
      </w:r>
    </w:p>
    <w:p w:rsidR="00814F52" w:rsidRDefault="00814F52" w:rsidP="00814F52">
      <w:pPr>
        <w:pStyle w:val="Reference"/>
      </w:pPr>
      <w:r>
        <w:t>—— 201</w:t>
      </w:r>
      <w:r w:rsidR="00816E0B">
        <w:t>4</w:t>
      </w:r>
      <w:r>
        <w:t xml:space="preserve">c, </w:t>
      </w:r>
      <w:r w:rsidRPr="00AA1C7A">
        <w:rPr>
          <w:i/>
        </w:rPr>
        <w:t>Australian hospital statistics 201</w:t>
      </w:r>
      <w:r w:rsidR="00816E0B">
        <w:rPr>
          <w:i/>
        </w:rPr>
        <w:t>3</w:t>
      </w:r>
      <w:r w:rsidRPr="00AA1C7A">
        <w:rPr>
          <w:i/>
        </w:rPr>
        <w:t>–1</w:t>
      </w:r>
      <w:r w:rsidR="00816E0B">
        <w:rPr>
          <w:i/>
        </w:rPr>
        <w:t>4</w:t>
      </w:r>
      <w:r w:rsidRPr="00AA1C7A">
        <w:rPr>
          <w:i/>
        </w:rPr>
        <w:t>: elective surgery waiting times</w:t>
      </w:r>
      <w:r>
        <w:t>. Health services series no. 51. Cat. no. HSE 140. Canberra: AIHW.</w:t>
      </w:r>
    </w:p>
    <w:p w:rsidR="001952BF" w:rsidRDefault="001952BF" w:rsidP="009B1642">
      <w:pPr>
        <w:pStyle w:val="Reference"/>
      </w:pPr>
      <w:r w:rsidRPr="001952BF">
        <w:t>—— 2014</w:t>
      </w:r>
      <w:r>
        <w:t>d</w:t>
      </w:r>
      <w:r w:rsidRPr="001952BF">
        <w:t xml:space="preserve">, </w:t>
      </w:r>
      <w:r w:rsidRPr="001952BF">
        <w:rPr>
          <w:i/>
        </w:rPr>
        <w:t>Australian hospital statistics 2013–14: emergency department care</w:t>
      </w:r>
      <w:r w:rsidRPr="001952BF">
        <w:t>, Health services series no. 58 Cat. no. HSE 153</w:t>
      </w:r>
      <w:r>
        <w:t>. Canberra: AIHW.</w:t>
      </w:r>
    </w:p>
    <w:p w:rsidR="00814F52" w:rsidRDefault="00814F52" w:rsidP="00814F52">
      <w:pPr>
        <w:pStyle w:val="Reference"/>
      </w:pPr>
      <w:r>
        <w:t xml:space="preserve">AIHW (Australian Institute of Health and Welfare) and ACSQHC (Australian Commission on Safety and Quality in Health Care) 2007, </w:t>
      </w:r>
      <w:r w:rsidRPr="00AA1C7A">
        <w:rPr>
          <w:i/>
        </w:rPr>
        <w:t>Sentinel events in Australian public hospitals 2004–05</w:t>
      </w:r>
      <w:r>
        <w:t>, Cat. no. HSE. 51 Canberra: AIHW.</w:t>
      </w:r>
    </w:p>
    <w:p w:rsidR="00814F52" w:rsidRDefault="00814F52" w:rsidP="00814F52">
      <w:pPr>
        <w:pStyle w:val="Reference"/>
      </w:pPr>
      <w:r>
        <w:t xml:space="preserve">Day, P., Sullivan, E.A., Ford, J. and Lancaster, P. 1999, </w:t>
      </w:r>
      <w:r w:rsidRPr="00AA1C7A">
        <w:rPr>
          <w:i/>
        </w:rPr>
        <w:t>Australia’s Mothers and Babies 1997</w:t>
      </w:r>
      <w:r>
        <w:t>, AIHW Cat. no. PER 12, AIHW NPSU, Sydney.</w:t>
      </w:r>
    </w:p>
    <w:p w:rsidR="00814F52" w:rsidRDefault="00814F52" w:rsidP="00814F52">
      <w:pPr>
        <w:pStyle w:val="Reference"/>
      </w:pPr>
      <w:r>
        <w:t xml:space="preserve">Eshani, J., Jackson, T., Duckett, J., 2006, </w:t>
      </w:r>
      <w:r w:rsidRPr="00AA1C7A">
        <w:rPr>
          <w:i/>
        </w:rPr>
        <w:t>‘The incidence and cost of adverse events in Victorian hospitals 2003-04’</w:t>
      </w:r>
      <w:r>
        <w:t>, The Medical Journal of Australia, Vol 184, No.11, pp 551-555.</w:t>
      </w:r>
    </w:p>
    <w:p w:rsidR="00814F52" w:rsidRDefault="00814F52" w:rsidP="00814F52">
      <w:pPr>
        <w:pStyle w:val="Reference"/>
      </w:pPr>
      <w:r>
        <w:t>HDSC (Health Data Standards Committee) 2012</w:t>
      </w:r>
      <w:r w:rsidRPr="00AA1C7A">
        <w:rPr>
          <w:i/>
        </w:rPr>
        <w:t>, National health data dictionary. Version 16</w:t>
      </w:r>
      <w:r>
        <w:t>. Cat. no. HWI 119. AIHW, Canberra.</w:t>
      </w:r>
    </w:p>
    <w:p w:rsidR="00814F52" w:rsidRDefault="00814F52" w:rsidP="00814F52">
      <w:pPr>
        <w:pStyle w:val="Reference"/>
      </w:pPr>
      <w:r>
        <w:t xml:space="preserve">Li, Z., McNally, L., Hilder, L. and Sullivan, EA., 2008, 2009, 2010, 2011 and 2012, </w:t>
      </w:r>
      <w:r w:rsidRPr="00AA1C7A">
        <w:rPr>
          <w:i/>
        </w:rPr>
        <w:t>Australia’s mothers and babies</w:t>
      </w:r>
      <w:r>
        <w:t>, Cat. no. PER 22, 48, 50, 52 and 56; Sydney, AIHW National Perinatal Epidemiology and Statistics Unit.</w:t>
      </w:r>
    </w:p>
    <w:p w:rsidR="00814F52" w:rsidRDefault="00814F52" w:rsidP="00814F52">
      <w:pPr>
        <w:pStyle w:val="Reference"/>
      </w:pPr>
      <w:r>
        <w:t xml:space="preserve">NCCH (National Centre for Classification in Health) 2008, </w:t>
      </w:r>
      <w:r w:rsidRPr="00AA1C7A">
        <w:rPr>
          <w:i/>
        </w:rPr>
        <w:t>The International Statistical Classification of Diseases and Related Health Problems, 10th Revision</w:t>
      </w:r>
      <w:r>
        <w:t>, Australian Modification, 6th edition (ICD-10-AM), Sydney.</w:t>
      </w:r>
    </w:p>
    <w:p w:rsidR="00814F52" w:rsidRDefault="00814F52" w:rsidP="00814F52">
      <w:pPr>
        <w:pStyle w:val="Reference"/>
      </w:pPr>
      <w:r>
        <w:t xml:space="preserve">Runciman W. 2006, </w:t>
      </w:r>
      <w:r w:rsidRPr="00AA1C7A">
        <w:t>The Safety and Quality of Health Care: Where Are We Now?</w:t>
      </w:r>
      <w:r>
        <w:t xml:space="preserve">, </w:t>
      </w:r>
      <w:r w:rsidRPr="00AA1C7A">
        <w:rPr>
          <w:i/>
        </w:rPr>
        <w:t>Medical Journal of Australia</w:t>
      </w:r>
      <w:r>
        <w:t>; vol. 184, no. 10: S41-S43.</w:t>
      </w:r>
    </w:p>
    <w:p w:rsidR="00814F52" w:rsidRDefault="00814F52" w:rsidP="00814F52">
      <w:pPr>
        <w:pStyle w:val="Reference"/>
      </w:pPr>
      <w:r>
        <w:t xml:space="preserve">SCRCSSP (Steering Committee for the Review of Commonwealth/State Service Provision) 2001, </w:t>
      </w:r>
      <w:r w:rsidRPr="00AA1C7A">
        <w:rPr>
          <w:i/>
        </w:rPr>
        <w:t>Asset Measurement in the Costing of Government Services</w:t>
      </w:r>
      <w:r>
        <w:t>, Productivity Commission, Canberra.</w:t>
      </w:r>
    </w:p>
    <w:p w:rsidR="00814F52" w:rsidRPr="00814F52" w:rsidRDefault="00814F52" w:rsidP="00814F52">
      <w:pPr>
        <w:pStyle w:val="Reference"/>
      </w:pPr>
      <w:r>
        <w:lastRenderedPageBreak/>
        <w:t xml:space="preserve">Van Den Bos, J., Rustagi, K., Gray, T., Halford, M,. Ziemkiewicz,. E. and Shreve, J., 2011, </w:t>
      </w:r>
      <w:r w:rsidRPr="00AA1C7A">
        <w:rPr>
          <w:i/>
        </w:rPr>
        <w:t>The $17.1 Billion Problem: The Annual Cost Of Measurable Medical Errors</w:t>
      </w:r>
      <w:r>
        <w:t>, Health Affairs, 30, no.4: 596-603.</w:t>
      </w:r>
    </w:p>
    <w:sectPr w:rsidR="00814F52" w:rsidRPr="00814F52" w:rsidSect="00033205">
      <w:headerReference w:type="even" r:id="rId50"/>
      <w:headerReference w:type="default" r:id="rId51"/>
      <w:footerReference w:type="even" r:id="rId52"/>
      <w:footerReference w:type="default" r:id="rId53"/>
      <w:pgSz w:w="11907" w:h="16840" w:code="9"/>
      <w:pgMar w:top="1985" w:right="1304" w:bottom="1247" w:left="1814" w:header="1701" w:footer="39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100" w:rsidRDefault="008D2100">
      <w:r>
        <w:separator/>
      </w:r>
    </w:p>
  </w:endnote>
  <w:endnote w:type="continuationSeparator" w:id="0">
    <w:p w:rsidR="008D2100" w:rsidRDefault="008D2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D2100" w:rsidTr="005F48ED">
      <w:trPr>
        <w:trHeight w:hRule="exact" w:val="567"/>
      </w:trPr>
      <w:tc>
        <w:tcPr>
          <w:tcW w:w="510" w:type="dxa"/>
        </w:tcPr>
        <w:p w:rsidR="008D2100" w:rsidRPr="00A24443" w:rsidRDefault="008D2100" w:rsidP="0019293B">
          <w:pPr>
            <w:pStyle w:val="Footer"/>
            <w:tabs>
              <w:tab w:val="left" w:pos="0"/>
            </w:tabs>
            <w:ind w:right="0"/>
            <w:rPr>
              <w:rStyle w:val="PageNumber"/>
              <w:caps w:val="0"/>
            </w:rPr>
          </w:pPr>
          <w:r>
            <w:rPr>
              <w:rStyle w:val="PageNumber"/>
              <w:caps w:val="0"/>
            </w:rPr>
            <w:t>11.</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807FC">
            <w:rPr>
              <w:rStyle w:val="PageNumber"/>
              <w:caps w:val="0"/>
              <w:noProof/>
            </w:rPr>
            <w:t>2</w:t>
          </w:r>
          <w:r w:rsidRPr="00A24443">
            <w:rPr>
              <w:rStyle w:val="PageNumber"/>
              <w:caps w:val="0"/>
            </w:rPr>
            <w:fldChar w:fldCharType="end"/>
          </w:r>
        </w:p>
      </w:tc>
      <w:tc>
        <w:tcPr>
          <w:tcW w:w="7767" w:type="dxa"/>
        </w:tcPr>
        <w:p w:rsidR="008D2100" w:rsidRPr="0013739A" w:rsidRDefault="008D2100" w:rsidP="0013739A">
          <w:pPr>
            <w:pStyle w:val="Footer"/>
            <w:rPr>
              <w:rFonts w:cs="Arial"/>
            </w:rPr>
          </w:pPr>
          <w:r>
            <w:rPr>
              <w:rFonts w:cs="Arial"/>
            </w:rPr>
            <w:t>Report on Government Services 2015</w:t>
          </w:r>
          <w:bookmarkStart w:id="16" w:name="DraftReportEven"/>
          <w:bookmarkEnd w:id="16"/>
        </w:p>
      </w:tc>
      <w:tc>
        <w:tcPr>
          <w:tcW w:w="510" w:type="dxa"/>
        </w:tcPr>
        <w:p w:rsidR="008D2100" w:rsidRDefault="008D2100" w:rsidP="0019293B">
          <w:pPr>
            <w:pStyle w:val="Footer"/>
          </w:pPr>
        </w:p>
      </w:tc>
    </w:tr>
  </w:tbl>
  <w:p w:rsidR="008D2100" w:rsidRDefault="008D2100"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D2100" w:rsidTr="005F48ED">
      <w:trPr>
        <w:trHeight w:hRule="exact" w:val="567"/>
      </w:trPr>
      <w:tc>
        <w:tcPr>
          <w:tcW w:w="510" w:type="dxa"/>
        </w:tcPr>
        <w:p w:rsidR="008D2100" w:rsidRDefault="008D2100">
          <w:pPr>
            <w:pStyle w:val="Footer"/>
            <w:ind w:right="360" w:firstLine="360"/>
          </w:pPr>
        </w:p>
      </w:tc>
      <w:tc>
        <w:tcPr>
          <w:tcW w:w="7767" w:type="dxa"/>
        </w:tcPr>
        <w:p w:rsidR="008D2100" w:rsidRPr="00BA5B14" w:rsidRDefault="008D2100" w:rsidP="0013739A">
          <w:pPr>
            <w:pStyle w:val="Footer"/>
            <w:jc w:val="right"/>
            <w:rPr>
              <w:rFonts w:cs="Arial"/>
            </w:rPr>
          </w:pPr>
          <w:r>
            <w:rPr>
              <w:rFonts w:cs="Arial"/>
            </w:rPr>
            <w:t>Public hospitals</w:t>
          </w:r>
          <w:bookmarkStart w:id="17" w:name="DraftReportOdd"/>
          <w:bookmarkEnd w:id="17"/>
        </w:p>
      </w:tc>
      <w:tc>
        <w:tcPr>
          <w:tcW w:w="510" w:type="dxa"/>
        </w:tcPr>
        <w:p w:rsidR="008D2100" w:rsidRPr="00A24443" w:rsidRDefault="008D2100">
          <w:pPr>
            <w:pStyle w:val="Footer"/>
            <w:jc w:val="right"/>
            <w:rPr>
              <w:caps w:val="0"/>
            </w:rPr>
          </w:pPr>
          <w:r>
            <w:rPr>
              <w:rStyle w:val="PageNumber"/>
              <w:caps w:val="0"/>
            </w:rPr>
            <w:t>11.</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807FC">
            <w:rPr>
              <w:rStyle w:val="PageNumber"/>
              <w:caps w:val="0"/>
              <w:noProof/>
            </w:rPr>
            <w:t>1</w:t>
          </w:r>
          <w:r w:rsidRPr="00A24443">
            <w:rPr>
              <w:rStyle w:val="PageNumber"/>
              <w:caps w:val="0"/>
            </w:rPr>
            <w:fldChar w:fldCharType="end"/>
          </w:r>
        </w:p>
      </w:tc>
    </w:tr>
  </w:tbl>
  <w:p w:rsidR="008D2100" w:rsidRDefault="008D2100">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100" w:rsidRDefault="008D2100">
      <w:r>
        <w:separator/>
      </w:r>
    </w:p>
  </w:footnote>
  <w:footnote w:type="continuationSeparator" w:id="0">
    <w:p w:rsidR="008D2100" w:rsidRDefault="008D2100">
      <w:r>
        <w:continuationSeparator/>
      </w:r>
    </w:p>
  </w:footnote>
  <w:footnote w:id="1">
    <w:p w:rsidR="008D2100" w:rsidRDefault="008D2100">
      <w:pPr>
        <w:pStyle w:val="FootnoteText"/>
      </w:pPr>
      <w:r>
        <w:rPr>
          <w:rStyle w:val="FootnoteReference"/>
        </w:rPr>
        <w:footnoteRef/>
      </w:r>
      <w:r>
        <w:tab/>
        <w:t>Victoria</w:t>
      </w:r>
      <w:r w:rsidRPr="00BA5842">
        <w:t xml:space="preserve"> has supplied data using the sentinel event definition applicable to the data collection period. Most other jurisdictions have retrospectively applied the amended definition to 2012-13 data.</w:t>
      </w:r>
    </w:p>
  </w:footnote>
  <w:footnote w:id="2">
    <w:p w:rsidR="008D2100" w:rsidRDefault="008D2100" w:rsidP="0083330D">
      <w:pPr>
        <w:pStyle w:val="FootnoteText"/>
      </w:pPr>
      <w:r>
        <w:rPr>
          <w:rStyle w:val="FootnoteReference"/>
        </w:rPr>
        <w:footnoteRef/>
      </w:r>
      <w:r>
        <w:tab/>
      </w:r>
      <w:r w:rsidRPr="007625BC">
        <w:t xml:space="preserve">WA has supplied data using the sentinel event definition applicable to the data collection period. </w:t>
      </w:r>
      <w:r>
        <w:t>Most</w:t>
      </w:r>
      <w:r w:rsidRPr="007625BC">
        <w:t xml:space="preserve"> other jurisdictions have retrospectively applied the amended definition to 2012-13 data.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D2100">
      <w:tc>
        <w:tcPr>
          <w:tcW w:w="2155" w:type="dxa"/>
          <w:tcBorders>
            <w:top w:val="single" w:sz="24" w:space="0" w:color="auto"/>
          </w:tcBorders>
        </w:tcPr>
        <w:p w:rsidR="008D2100" w:rsidRDefault="008D2100" w:rsidP="0019293B">
          <w:pPr>
            <w:pStyle w:val="HeaderEven"/>
          </w:pPr>
        </w:p>
      </w:tc>
      <w:tc>
        <w:tcPr>
          <w:tcW w:w="6634" w:type="dxa"/>
          <w:tcBorders>
            <w:top w:val="single" w:sz="6" w:space="0" w:color="auto"/>
          </w:tcBorders>
        </w:tcPr>
        <w:p w:rsidR="008D2100" w:rsidRDefault="008D2100" w:rsidP="0019293B">
          <w:pPr>
            <w:pStyle w:val="HeaderEven"/>
          </w:pPr>
        </w:p>
      </w:tc>
    </w:tr>
  </w:tbl>
  <w:p w:rsidR="008D2100" w:rsidRDefault="008D2100"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D2100">
      <w:tc>
        <w:tcPr>
          <w:tcW w:w="6634" w:type="dxa"/>
          <w:tcBorders>
            <w:top w:val="single" w:sz="6" w:space="0" w:color="auto"/>
          </w:tcBorders>
        </w:tcPr>
        <w:p w:rsidR="008D2100" w:rsidRDefault="008D2100" w:rsidP="00033205">
          <w:pPr>
            <w:pStyle w:val="HeaderOdd"/>
            <w:jc w:val="right"/>
          </w:pPr>
        </w:p>
      </w:tc>
      <w:tc>
        <w:tcPr>
          <w:tcW w:w="2155" w:type="dxa"/>
          <w:tcBorders>
            <w:top w:val="single" w:sz="24" w:space="0" w:color="auto"/>
          </w:tcBorders>
        </w:tcPr>
        <w:p w:rsidR="008D2100" w:rsidRDefault="008D2100" w:rsidP="00E669E2">
          <w:pPr>
            <w:pStyle w:val="HeaderOdd"/>
          </w:pPr>
        </w:p>
      </w:tc>
    </w:tr>
  </w:tbl>
  <w:p w:rsidR="008D2100" w:rsidRDefault="008D2100"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 w:numId="22">
    <w:abstractNumId w:val="13"/>
  </w:num>
  <w:num w:numId="23">
    <w:abstractNumId w:val="11"/>
  </w:num>
  <w:num w:numId="24">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ublic hospitals"/>
    <w:docVar w:name="ShortReportTitle" w:val="Report on Government Services 2015"/>
  </w:docVars>
  <w:rsids>
    <w:rsidRoot w:val="00033205"/>
    <w:rsid w:val="00007065"/>
    <w:rsid w:val="0001285D"/>
    <w:rsid w:val="00016BEE"/>
    <w:rsid w:val="000227D5"/>
    <w:rsid w:val="00022C6F"/>
    <w:rsid w:val="000245AA"/>
    <w:rsid w:val="0003172E"/>
    <w:rsid w:val="00032B18"/>
    <w:rsid w:val="00033205"/>
    <w:rsid w:val="00033209"/>
    <w:rsid w:val="0003635A"/>
    <w:rsid w:val="0003664B"/>
    <w:rsid w:val="0004111F"/>
    <w:rsid w:val="00042EB1"/>
    <w:rsid w:val="00044772"/>
    <w:rsid w:val="00050BCE"/>
    <w:rsid w:val="00050EF9"/>
    <w:rsid w:val="000539E3"/>
    <w:rsid w:val="00055077"/>
    <w:rsid w:val="000553AE"/>
    <w:rsid w:val="000565B3"/>
    <w:rsid w:val="0007150B"/>
    <w:rsid w:val="00081A22"/>
    <w:rsid w:val="000842E9"/>
    <w:rsid w:val="000938F5"/>
    <w:rsid w:val="00095663"/>
    <w:rsid w:val="00096E55"/>
    <w:rsid w:val="0009783E"/>
    <w:rsid w:val="000A2769"/>
    <w:rsid w:val="000A6A0C"/>
    <w:rsid w:val="000A736D"/>
    <w:rsid w:val="000B00B4"/>
    <w:rsid w:val="000B1022"/>
    <w:rsid w:val="000B58BF"/>
    <w:rsid w:val="000B601B"/>
    <w:rsid w:val="000C207E"/>
    <w:rsid w:val="000C2EAC"/>
    <w:rsid w:val="000C5053"/>
    <w:rsid w:val="000D0370"/>
    <w:rsid w:val="000D26EC"/>
    <w:rsid w:val="000D41E9"/>
    <w:rsid w:val="000E06A7"/>
    <w:rsid w:val="000E0DD0"/>
    <w:rsid w:val="000E1B15"/>
    <w:rsid w:val="000E1C2B"/>
    <w:rsid w:val="000F0035"/>
    <w:rsid w:val="000F04E7"/>
    <w:rsid w:val="000F060A"/>
    <w:rsid w:val="000F1838"/>
    <w:rsid w:val="000F225D"/>
    <w:rsid w:val="000F420B"/>
    <w:rsid w:val="001008A9"/>
    <w:rsid w:val="001017D1"/>
    <w:rsid w:val="001076E0"/>
    <w:rsid w:val="00110116"/>
    <w:rsid w:val="00111DF5"/>
    <w:rsid w:val="00116236"/>
    <w:rsid w:val="00120072"/>
    <w:rsid w:val="0012082B"/>
    <w:rsid w:val="001259D0"/>
    <w:rsid w:val="00126531"/>
    <w:rsid w:val="00126EB8"/>
    <w:rsid w:val="001274D4"/>
    <w:rsid w:val="00127A69"/>
    <w:rsid w:val="001303BE"/>
    <w:rsid w:val="001308A7"/>
    <w:rsid w:val="001363AA"/>
    <w:rsid w:val="0013739A"/>
    <w:rsid w:val="001411FA"/>
    <w:rsid w:val="00142165"/>
    <w:rsid w:val="001475E3"/>
    <w:rsid w:val="001551A2"/>
    <w:rsid w:val="001605A5"/>
    <w:rsid w:val="00162434"/>
    <w:rsid w:val="00164049"/>
    <w:rsid w:val="001703F0"/>
    <w:rsid w:val="001736FD"/>
    <w:rsid w:val="0017457C"/>
    <w:rsid w:val="00180AEC"/>
    <w:rsid w:val="00183E82"/>
    <w:rsid w:val="0018577D"/>
    <w:rsid w:val="00185790"/>
    <w:rsid w:val="001878BB"/>
    <w:rsid w:val="00187B63"/>
    <w:rsid w:val="001901C0"/>
    <w:rsid w:val="00191AE0"/>
    <w:rsid w:val="0019293B"/>
    <w:rsid w:val="0019426B"/>
    <w:rsid w:val="001952BF"/>
    <w:rsid w:val="0019610A"/>
    <w:rsid w:val="001A6A4B"/>
    <w:rsid w:val="001B09E9"/>
    <w:rsid w:val="001B38C1"/>
    <w:rsid w:val="001B47A8"/>
    <w:rsid w:val="001B4B51"/>
    <w:rsid w:val="001B73E8"/>
    <w:rsid w:val="001C0865"/>
    <w:rsid w:val="001C0AED"/>
    <w:rsid w:val="001C3ABA"/>
    <w:rsid w:val="001C5111"/>
    <w:rsid w:val="001C582A"/>
    <w:rsid w:val="001D061E"/>
    <w:rsid w:val="001D5D1F"/>
    <w:rsid w:val="001D6C0A"/>
    <w:rsid w:val="001D7B7D"/>
    <w:rsid w:val="001E496A"/>
    <w:rsid w:val="001E5151"/>
    <w:rsid w:val="001E7BE8"/>
    <w:rsid w:val="001F000D"/>
    <w:rsid w:val="001F0248"/>
    <w:rsid w:val="001F1EF5"/>
    <w:rsid w:val="001F3C85"/>
    <w:rsid w:val="001F3EB3"/>
    <w:rsid w:val="001F4F86"/>
    <w:rsid w:val="002006A1"/>
    <w:rsid w:val="00200849"/>
    <w:rsid w:val="00202C2C"/>
    <w:rsid w:val="00203050"/>
    <w:rsid w:val="00211D97"/>
    <w:rsid w:val="002135AB"/>
    <w:rsid w:val="002144BE"/>
    <w:rsid w:val="00215AD4"/>
    <w:rsid w:val="002163A8"/>
    <w:rsid w:val="00221BB8"/>
    <w:rsid w:val="002236F0"/>
    <w:rsid w:val="0022393B"/>
    <w:rsid w:val="0022493D"/>
    <w:rsid w:val="002251C7"/>
    <w:rsid w:val="002256CE"/>
    <w:rsid w:val="00226F28"/>
    <w:rsid w:val="002278AD"/>
    <w:rsid w:val="00232AA2"/>
    <w:rsid w:val="002333C8"/>
    <w:rsid w:val="00233533"/>
    <w:rsid w:val="00234E6F"/>
    <w:rsid w:val="00242279"/>
    <w:rsid w:val="00243997"/>
    <w:rsid w:val="0024516C"/>
    <w:rsid w:val="00245C82"/>
    <w:rsid w:val="0025128B"/>
    <w:rsid w:val="00251433"/>
    <w:rsid w:val="0025242A"/>
    <w:rsid w:val="00254603"/>
    <w:rsid w:val="00256DF0"/>
    <w:rsid w:val="00267442"/>
    <w:rsid w:val="002724BA"/>
    <w:rsid w:val="002728B5"/>
    <w:rsid w:val="00274E5E"/>
    <w:rsid w:val="0027618F"/>
    <w:rsid w:val="00280DC9"/>
    <w:rsid w:val="002841C9"/>
    <w:rsid w:val="002901E9"/>
    <w:rsid w:val="00291B40"/>
    <w:rsid w:val="002A22DE"/>
    <w:rsid w:val="002A3F91"/>
    <w:rsid w:val="002A6201"/>
    <w:rsid w:val="002B0DE6"/>
    <w:rsid w:val="002B3BA2"/>
    <w:rsid w:val="002B4008"/>
    <w:rsid w:val="002C439F"/>
    <w:rsid w:val="002C6F81"/>
    <w:rsid w:val="002D0C42"/>
    <w:rsid w:val="002D0E8E"/>
    <w:rsid w:val="002D266B"/>
    <w:rsid w:val="002D3AB8"/>
    <w:rsid w:val="002D5981"/>
    <w:rsid w:val="002D7A62"/>
    <w:rsid w:val="002E104F"/>
    <w:rsid w:val="002E10C1"/>
    <w:rsid w:val="002E138A"/>
    <w:rsid w:val="002E24C4"/>
    <w:rsid w:val="002F4115"/>
    <w:rsid w:val="00301189"/>
    <w:rsid w:val="00301E4A"/>
    <w:rsid w:val="00306712"/>
    <w:rsid w:val="00306C24"/>
    <w:rsid w:val="0031358D"/>
    <w:rsid w:val="0031637B"/>
    <w:rsid w:val="003168B8"/>
    <w:rsid w:val="00316989"/>
    <w:rsid w:val="00320973"/>
    <w:rsid w:val="00320EE9"/>
    <w:rsid w:val="00322D64"/>
    <w:rsid w:val="00323E09"/>
    <w:rsid w:val="0032683D"/>
    <w:rsid w:val="0033286A"/>
    <w:rsid w:val="00333932"/>
    <w:rsid w:val="00340186"/>
    <w:rsid w:val="00346E2F"/>
    <w:rsid w:val="003518AA"/>
    <w:rsid w:val="00351EB7"/>
    <w:rsid w:val="00351FAE"/>
    <w:rsid w:val="00352165"/>
    <w:rsid w:val="00353182"/>
    <w:rsid w:val="003542AE"/>
    <w:rsid w:val="003542E4"/>
    <w:rsid w:val="003565D9"/>
    <w:rsid w:val="00356738"/>
    <w:rsid w:val="003602E1"/>
    <w:rsid w:val="00362AD7"/>
    <w:rsid w:val="003637FA"/>
    <w:rsid w:val="0036435D"/>
    <w:rsid w:val="0036736C"/>
    <w:rsid w:val="0037026F"/>
    <w:rsid w:val="00371240"/>
    <w:rsid w:val="00373D64"/>
    <w:rsid w:val="00374731"/>
    <w:rsid w:val="003759EF"/>
    <w:rsid w:val="00376E59"/>
    <w:rsid w:val="00377EC1"/>
    <w:rsid w:val="00380340"/>
    <w:rsid w:val="003844D5"/>
    <w:rsid w:val="00385770"/>
    <w:rsid w:val="003866FC"/>
    <w:rsid w:val="003919F9"/>
    <w:rsid w:val="003920CF"/>
    <w:rsid w:val="00393026"/>
    <w:rsid w:val="0039613C"/>
    <w:rsid w:val="003B23C2"/>
    <w:rsid w:val="003B25AE"/>
    <w:rsid w:val="003C1278"/>
    <w:rsid w:val="003C38B5"/>
    <w:rsid w:val="003C5D99"/>
    <w:rsid w:val="003D1087"/>
    <w:rsid w:val="003D442B"/>
    <w:rsid w:val="003D6635"/>
    <w:rsid w:val="003D6BEE"/>
    <w:rsid w:val="003E2F59"/>
    <w:rsid w:val="003E68E6"/>
    <w:rsid w:val="003E746B"/>
    <w:rsid w:val="003F0789"/>
    <w:rsid w:val="003F0DC1"/>
    <w:rsid w:val="003F23DF"/>
    <w:rsid w:val="003F5D50"/>
    <w:rsid w:val="003F6423"/>
    <w:rsid w:val="00400E5D"/>
    <w:rsid w:val="004013B7"/>
    <w:rsid w:val="00401882"/>
    <w:rsid w:val="0040276C"/>
    <w:rsid w:val="004100C8"/>
    <w:rsid w:val="004104D3"/>
    <w:rsid w:val="00411DBD"/>
    <w:rsid w:val="00412ACE"/>
    <w:rsid w:val="004145D2"/>
    <w:rsid w:val="0042106A"/>
    <w:rsid w:val="00421B74"/>
    <w:rsid w:val="004256D6"/>
    <w:rsid w:val="00426CB4"/>
    <w:rsid w:val="004270C2"/>
    <w:rsid w:val="00427E55"/>
    <w:rsid w:val="00431249"/>
    <w:rsid w:val="00434C19"/>
    <w:rsid w:val="00435F29"/>
    <w:rsid w:val="004360D8"/>
    <w:rsid w:val="00447053"/>
    <w:rsid w:val="004470C5"/>
    <w:rsid w:val="00450810"/>
    <w:rsid w:val="00454145"/>
    <w:rsid w:val="00457248"/>
    <w:rsid w:val="00457D63"/>
    <w:rsid w:val="00462C59"/>
    <w:rsid w:val="00463A4B"/>
    <w:rsid w:val="00466A30"/>
    <w:rsid w:val="0047053E"/>
    <w:rsid w:val="00470737"/>
    <w:rsid w:val="00472037"/>
    <w:rsid w:val="00475EFE"/>
    <w:rsid w:val="00477144"/>
    <w:rsid w:val="00491380"/>
    <w:rsid w:val="004939AA"/>
    <w:rsid w:val="0049459F"/>
    <w:rsid w:val="004A1261"/>
    <w:rsid w:val="004A1661"/>
    <w:rsid w:val="004A38DD"/>
    <w:rsid w:val="004A50CE"/>
    <w:rsid w:val="004A727F"/>
    <w:rsid w:val="004B2356"/>
    <w:rsid w:val="004B43AE"/>
    <w:rsid w:val="004C251D"/>
    <w:rsid w:val="004C30ED"/>
    <w:rsid w:val="004C58BC"/>
    <w:rsid w:val="004D0FB7"/>
    <w:rsid w:val="004D11D7"/>
    <w:rsid w:val="004D447D"/>
    <w:rsid w:val="004D5675"/>
    <w:rsid w:val="004E023B"/>
    <w:rsid w:val="004E0EE9"/>
    <w:rsid w:val="004E127C"/>
    <w:rsid w:val="004E4BA3"/>
    <w:rsid w:val="004E5D01"/>
    <w:rsid w:val="004F76D6"/>
    <w:rsid w:val="004F7D79"/>
    <w:rsid w:val="00502C22"/>
    <w:rsid w:val="005105FF"/>
    <w:rsid w:val="00517795"/>
    <w:rsid w:val="00523639"/>
    <w:rsid w:val="00525D2E"/>
    <w:rsid w:val="00530226"/>
    <w:rsid w:val="00531FE5"/>
    <w:rsid w:val="00532248"/>
    <w:rsid w:val="005402FA"/>
    <w:rsid w:val="00542080"/>
    <w:rsid w:val="0054245A"/>
    <w:rsid w:val="00547BF0"/>
    <w:rsid w:val="00554AEB"/>
    <w:rsid w:val="005551E7"/>
    <w:rsid w:val="005574AD"/>
    <w:rsid w:val="005626C0"/>
    <w:rsid w:val="00562929"/>
    <w:rsid w:val="005729BD"/>
    <w:rsid w:val="005739A0"/>
    <w:rsid w:val="00574193"/>
    <w:rsid w:val="00580154"/>
    <w:rsid w:val="00581675"/>
    <w:rsid w:val="00583C39"/>
    <w:rsid w:val="00586A90"/>
    <w:rsid w:val="00587F28"/>
    <w:rsid w:val="005909CF"/>
    <w:rsid w:val="00591E71"/>
    <w:rsid w:val="0059330E"/>
    <w:rsid w:val="005950D5"/>
    <w:rsid w:val="00596429"/>
    <w:rsid w:val="005A0D41"/>
    <w:rsid w:val="005A20A9"/>
    <w:rsid w:val="005A22A1"/>
    <w:rsid w:val="005A6BE8"/>
    <w:rsid w:val="005B7087"/>
    <w:rsid w:val="005C0535"/>
    <w:rsid w:val="005C27B8"/>
    <w:rsid w:val="005C529A"/>
    <w:rsid w:val="005D329F"/>
    <w:rsid w:val="005D53F8"/>
    <w:rsid w:val="005D6554"/>
    <w:rsid w:val="005E2A54"/>
    <w:rsid w:val="005F067D"/>
    <w:rsid w:val="005F0C33"/>
    <w:rsid w:val="005F48ED"/>
    <w:rsid w:val="005F4FD3"/>
    <w:rsid w:val="005F522C"/>
    <w:rsid w:val="00600EFB"/>
    <w:rsid w:val="006015F2"/>
    <w:rsid w:val="00602670"/>
    <w:rsid w:val="00604654"/>
    <w:rsid w:val="0060526D"/>
    <w:rsid w:val="00606E78"/>
    <w:rsid w:val="00607BF1"/>
    <w:rsid w:val="00611A37"/>
    <w:rsid w:val="00612CC2"/>
    <w:rsid w:val="006138FA"/>
    <w:rsid w:val="006160B6"/>
    <w:rsid w:val="00630D4D"/>
    <w:rsid w:val="00631F6C"/>
    <w:rsid w:val="00632A74"/>
    <w:rsid w:val="00634931"/>
    <w:rsid w:val="00636535"/>
    <w:rsid w:val="00640A94"/>
    <w:rsid w:val="00640E93"/>
    <w:rsid w:val="006433C3"/>
    <w:rsid w:val="00645ED7"/>
    <w:rsid w:val="00646051"/>
    <w:rsid w:val="00646155"/>
    <w:rsid w:val="00654D42"/>
    <w:rsid w:val="006635C7"/>
    <w:rsid w:val="00666E02"/>
    <w:rsid w:val="00673C30"/>
    <w:rsid w:val="00685E5A"/>
    <w:rsid w:val="00685FC7"/>
    <w:rsid w:val="00690B2A"/>
    <w:rsid w:val="00694D3D"/>
    <w:rsid w:val="00696C96"/>
    <w:rsid w:val="0069790F"/>
    <w:rsid w:val="006A0A57"/>
    <w:rsid w:val="006A1083"/>
    <w:rsid w:val="006A2881"/>
    <w:rsid w:val="006A4655"/>
    <w:rsid w:val="006A7260"/>
    <w:rsid w:val="006B16C7"/>
    <w:rsid w:val="006B2B3C"/>
    <w:rsid w:val="006B39F4"/>
    <w:rsid w:val="006B773A"/>
    <w:rsid w:val="006C194C"/>
    <w:rsid w:val="006C1D81"/>
    <w:rsid w:val="006C251D"/>
    <w:rsid w:val="006C3E71"/>
    <w:rsid w:val="006C5A5B"/>
    <w:rsid w:val="006C7038"/>
    <w:rsid w:val="006D16B2"/>
    <w:rsid w:val="006D7128"/>
    <w:rsid w:val="006E1461"/>
    <w:rsid w:val="006E73EF"/>
    <w:rsid w:val="006F0609"/>
    <w:rsid w:val="006F2BA5"/>
    <w:rsid w:val="006F56FC"/>
    <w:rsid w:val="006F615F"/>
    <w:rsid w:val="00701F7D"/>
    <w:rsid w:val="007079C9"/>
    <w:rsid w:val="00711DD6"/>
    <w:rsid w:val="00712FE1"/>
    <w:rsid w:val="00714D4D"/>
    <w:rsid w:val="007150D6"/>
    <w:rsid w:val="00722493"/>
    <w:rsid w:val="007266D3"/>
    <w:rsid w:val="00732029"/>
    <w:rsid w:val="00733451"/>
    <w:rsid w:val="007417BD"/>
    <w:rsid w:val="00746E4F"/>
    <w:rsid w:val="00754C53"/>
    <w:rsid w:val="007604BB"/>
    <w:rsid w:val="007625BC"/>
    <w:rsid w:val="00767521"/>
    <w:rsid w:val="00772909"/>
    <w:rsid w:val="00775B6A"/>
    <w:rsid w:val="00782385"/>
    <w:rsid w:val="00785232"/>
    <w:rsid w:val="007955FC"/>
    <w:rsid w:val="0079701E"/>
    <w:rsid w:val="007A21EB"/>
    <w:rsid w:val="007A48D1"/>
    <w:rsid w:val="007A4D7D"/>
    <w:rsid w:val="007A6572"/>
    <w:rsid w:val="007A6EC9"/>
    <w:rsid w:val="007A7397"/>
    <w:rsid w:val="007B0B99"/>
    <w:rsid w:val="007B1A93"/>
    <w:rsid w:val="007B4C01"/>
    <w:rsid w:val="007B791D"/>
    <w:rsid w:val="007C36C9"/>
    <w:rsid w:val="007C67FB"/>
    <w:rsid w:val="007D1680"/>
    <w:rsid w:val="007D32D3"/>
    <w:rsid w:val="007D422B"/>
    <w:rsid w:val="007D6401"/>
    <w:rsid w:val="007E01E4"/>
    <w:rsid w:val="007E1F41"/>
    <w:rsid w:val="007E68BD"/>
    <w:rsid w:val="007E73D7"/>
    <w:rsid w:val="007E7A12"/>
    <w:rsid w:val="007F028B"/>
    <w:rsid w:val="007F5E2F"/>
    <w:rsid w:val="007F5EDF"/>
    <w:rsid w:val="007F7107"/>
    <w:rsid w:val="007F72D1"/>
    <w:rsid w:val="00800D4C"/>
    <w:rsid w:val="00807705"/>
    <w:rsid w:val="0081030F"/>
    <w:rsid w:val="00812F4A"/>
    <w:rsid w:val="00814F52"/>
    <w:rsid w:val="00816564"/>
    <w:rsid w:val="00816E0B"/>
    <w:rsid w:val="0082087D"/>
    <w:rsid w:val="00823826"/>
    <w:rsid w:val="008246B3"/>
    <w:rsid w:val="00832A2F"/>
    <w:rsid w:val="0083312F"/>
    <w:rsid w:val="0083330D"/>
    <w:rsid w:val="00835771"/>
    <w:rsid w:val="008362DC"/>
    <w:rsid w:val="00837768"/>
    <w:rsid w:val="0084035E"/>
    <w:rsid w:val="00840D2A"/>
    <w:rsid w:val="00841728"/>
    <w:rsid w:val="00842933"/>
    <w:rsid w:val="00843167"/>
    <w:rsid w:val="00853D5A"/>
    <w:rsid w:val="0086082C"/>
    <w:rsid w:val="00863D1A"/>
    <w:rsid w:val="00864ADC"/>
    <w:rsid w:val="0087477F"/>
    <w:rsid w:val="00880153"/>
    <w:rsid w:val="00880F97"/>
    <w:rsid w:val="0088133A"/>
    <w:rsid w:val="00885D28"/>
    <w:rsid w:val="00886C7D"/>
    <w:rsid w:val="00890A59"/>
    <w:rsid w:val="0089285E"/>
    <w:rsid w:val="0089436C"/>
    <w:rsid w:val="008953BE"/>
    <w:rsid w:val="00897099"/>
    <w:rsid w:val="008A3156"/>
    <w:rsid w:val="008A39DB"/>
    <w:rsid w:val="008A6272"/>
    <w:rsid w:val="008A777D"/>
    <w:rsid w:val="008A7B2C"/>
    <w:rsid w:val="008B102A"/>
    <w:rsid w:val="008B1B79"/>
    <w:rsid w:val="008B6B5A"/>
    <w:rsid w:val="008B7196"/>
    <w:rsid w:val="008C0152"/>
    <w:rsid w:val="008C0402"/>
    <w:rsid w:val="008C0550"/>
    <w:rsid w:val="008C1ED9"/>
    <w:rsid w:val="008D03A7"/>
    <w:rsid w:val="008D2100"/>
    <w:rsid w:val="008D365C"/>
    <w:rsid w:val="008D602E"/>
    <w:rsid w:val="008D7622"/>
    <w:rsid w:val="008E1B05"/>
    <w:rsid w:val="008F1E67"/>
    <w:rsid w:val="009021A6"/>
    <w:rsid w:val="009021E2"/>
    <w:rsid w:val="009027BC"/>
    <w:rsid w:val="009030BF"/>
    <w:rsid w:val="00903B52"/>
    <w:rsid w:val="00906659"/>
    <w:rsid w:val="0091032F"/>
    <w:rsid w:val="0091396F"/>
    <w:rsid w:val="00914368"/>
    <w:rsid w:val="009156AB"/>
    <w:rsid w:val="00920E29"/>
    <w:rsid w:val="00931076"/>
    <w:rsid w:val="009345D9"/>
    <w:rsid w:val="00934B15"/>
    <w:rsid w:val="009361DA"/>
    <w:rsid w:val="00940C87"/>
    <w:rsid w:val="00942B62"/>
    <w:rsid w:val="0095323B"/>
    <w:rsid w:val="009551A6"/>
    <w:rsid w:val="00956A0C"/>
    <w:rsid w:val="00956BD9"/>
    <w:rsid w:val="00957431"/>
    <w:rsid w:val="00962489"/>
    <w:rsid w:val="00964ADC"/>
    <w:rsid w:val="00964CAF"/>
    <w:rsid w:val="00965547"/>
    <w:rsid w:val="00967CD3"/>
    <w:rsid w:val="00973C53"/>
    <w:rsid w:val="009807FC"/>
    <w:rsid w:val="00980FDB"/>
    <w:rsid w:val="00990C2C"/>
    <w:rsid w:val="00991020"/>
    <w:rsid w:val="0099310A"/>
    <w:rsid w:val="009A5171"/>
    <w:rsid w:val="009A53E9"/>
    <w:rsid w:val="009A67FB"/>
    <w:rsid w:val="009A6D17"/>
    <w:rsid w:val="009B01E5"/>
    <w:rsid w:val="009B1642"/>
    <w:rsid w:val="009B30EC"/>
    <w:rsid w:val="009B3F36"/>
    <w:rsid w:val="009B4896"/>
    <w:rsid w:val="009B579A"/>
    <w:rsid w:val="009B7024"/>
    <w:rsid w:val="009C36BE"/>
    <w:rsid w:val="009C43B5"/>
    <w:rsid w:val="009E1844"/>
    <w:rsid w:val="009E55BA"/>
    <w:rsid w:val="009F0D1B"/>
    <w:rsid w:val="009F0E39"/>
    <w:rsid w:val="009F0FB6"/>
    <w:rsid w:val="009F2AFB"/>
    <w:rsid w:val="009F4845"/>
    <w:rsid w:val="009F5BBD"/>
    <w:rsid w:val="009F696D"/>
    <w:rsid w:val="009F6BC6"/>
    <w:rsid w:val="009F74EF"/>
    <w:rsid w:val="00A00906"/>
    <w:rsid w:val="00A02826"/>
    <w:rsid w:val="00A148AE"/>
    <w:rsid w:val="00A15D5A"/>
    <w:rsid w:val="00A160CF"/>
    <w:rsid w:val="00A17328"/>
    <w:rsid w:val="00A23A20"/>
    <w:rsid w:val="00A24443"/>
    <w:rsid w:val="00A2571D"/>
    <w:rsid w:val="00A268B9"/>
    <w:rsid w:val="00A2703A"/>
    <w:rsid w:val="00A311DE"/>
    <w:rsid w:val="00A32FE4"/>
    <w:rsid w:val="00A33DFF"/>
    <w:rsid w:val="00A35115"/>
    <w:rsid w:val="00A36D9A"/>
    <w:rsid w:val="00A376A3"/>
    <w:rsid w:val="00A40CB4"/>
    <w:rsid w:val="00A416AE"/>
    <w:rsid w:val="00A451DC"/>
    <w:rsid w:val="00A50767"/>
    <w:rsid w:val="00A51977"/>
    <w:rsid w:val="00A52A23"/>
    <w:rsid w:val="00A537E4"/>
    <w:rsid w:val="00A554AB"/>
    <w:rsid w:val="00A57062"/>
    <w:rsid w:val="00A67781"/>
    <w:rsid w:val="00A70042"/>
    <w:rsid w:val="00A7155A"/>
    <w:rsid w:val="00A761F9"/>
    <w:rsid w:val="00A81422"/>
    <w:rsid w:val="00A8206B"/>
    <w:rsid w:val="00A8387F"/>
    <w:rsid w:val="00A84917"/>
    <w:rsid w:val="00A92B53"/>
    <w:rsid w:val="00A94FA6"/>
    <w:rsid w:val="00A972C2"/>
    <w:rsid w:val="00AA1A38"/>
    <w:rsid w:val="00AA1C7A"/>
    <w:rsid w:val="00AA49A0"/>
    <w:rsid w:val="00AA6710"/>
    <w:rsid w:val="00AA7C7F"/>
    <w:rsid w:val="00AB0681"/>
    <w:rsid w:val="00AB0A2C"/>
    <w:rsid w:val="00AB33DA"/>
    <w:rsid w:val="00AB67E3"/>
    <w:rsid w:val="00AC2E8C"/>
    <w:rsid w:val="00AC3A15"/>
    <w:rsid w:val="00AC6D5B"/>
    <w:rsid w:val="00AC7D84"/>
    <w:rsid w:val="00AD520B"/>
    <w:rsid w:val="00AE0A87"/>
    <w:rsid w:val="00AE264A"/>
    <w:rsid w:val="00AE3BCC"/>
    <w:rsid w:val="00AF0FAC"/>
    <w:rsid w:val="00AF6760"/>
    <w:rsid w:val="00B02B12"/>
    <w:rsid w:val="00B02B8A"/>
    <w:rsid w:val="00B0709D"/>
    <w:rsid w:val="00B10808"/>
    <w:rsid w:val="00B12F8F"/>
    <w:rsid w:val="00B245FF"/>
    <w:rsid w:val="00B30582"/>
    <w:rsid w:val="00B33C47"/>
    <w:rsid w:val="00B35B76"/>
    <w:rsid w:val="00B3687A"/>
    <w:rsid w:val="00B42091"/>
    <w:rsid w:val="00B425C3"/>
    <w:rsid w:val="00B43737"/>
    <w:rsid w:val="00B440AD"/>
    <w:rsid w:val="00B479BB"/>
    <w:rsid w:val="00B53E7E"/>
    <w:rsid w:val="00B56D2D"/>
    <w:rsid w:val="00B57CB4"/>
    <w:rsid w:val="00B609BC"/>
    <w:rsid w:val="00B62FDA"/>
    <w:rsid w:val="00B6342E"/>
    <w:rsid w:val="00B64FE7"/>
    <w:rsid w:val="00B65F2D"/>
    <w:rsid w:val="00B7113F"/>
    <w:rsid w:val="00B74015"/>
    <w:rsid w:val="00B76090"/>
    <w:rsid w:val="00B764F5"/>
    <w:rsid w:val="00B81EBB"/>
    <w:rsid w:val="00BA0FB1"/>
    <w:rsid w:val="00BA1573"/>
    <w:rsid w:val="00BA2BCF"/>
    <w:rsid w:val="00BA3821"/>
    <w:rsid w:val="00BA5842"/>
    <w:rsid w:val="00BA5B14"/>
    <w:rsid w:val="00BA6129"/>
    <w:rsid w:val="00BA73B6"/>
    <w:rsid w:val="00BA7E27"/>
    <w:rsid w:val="00BB2603"/>
    <w:rsid w:val="00BB2B11"/>
    <w:rsid w:val="00BB4F14"/>
    <w:rsid w:val="00BB4FCD"/>
    <w:rsid w:val="00BC04E9"/>
    <w:rsid w:val="00BC2582"/>
    <w:rsid w:val="00BC6024"/>
    <w:rsid w:val="00BC7D0C"/>
    <w:rsid w:val="00BC7D36"/>
    <w:rsid w:val="00BD0373"/>
    <w:rsid w:val="00BD13EA"/>
    <w:rsid w:val="00BD192D"/>
    <w:rsid w:val="00BD35EC"/>
    <w:rsid w:val="00BE0456"/>
    <w:rsid w:val="00BE1695"/>
    <w:rsid w:val="00BE3808"/>
    <w:rsid w:val="00BE6192"/>
    <w:rsid w:val="00BE7904"/>
    <w:rsid w:val="00BF1A08"/>
    <w:rsid w:val="00C0001D"/>
    <w:rsid w:val="00C00780"/>
    <w:rsid w:val="00C01760"/>
    <w:rsid w:val="00C03B88"/>
    <w:rsid w:val="00C062E9"/>
    <w:rsid w:val="00C07B64"/>
    <w:rsid w:val="00C13721"/>
    <w:rsid w:val="00C14FE4"/>
    <w:rsid w:val="00C17391"/>
    <w:rsid w:val="00C17556"/>
    <w:rsid w:val="00C21C9F"/>
    <w:rsid w:val="00C22CA1"/>
    <w:rsid w:val="00C233ED"/>
    <w:rsid w:val="00C27472"/>
    <w:rsid w:val="00C3066D"/>
    <w:rsid w:val="00C438BA"/>
    <w:rsid w:val="00C51F1A"/>
    <w:rsid w:val="00C52416"/>
    <w:rsid w:val="00C529DD"/>
    <w:rsid w:val="00C52DCC"/>
    <w:rsid w:val="00C543F4"/>
    <w:rsid w:val="00C544B8"/>
    <w:rsid w:val="00C55DDB"/>
    <w:rsid w:val="00C562EC"/>
    <w:rsid w:val="00C6291C"/>
    <w:rsid w:val="00C62A62"/>
    <w:rsid w:val="00C633AB"/>
    <w:rsid w:val="00C633CB"/>
    <w:rsid w:val="00C653E8"/>
    <w:rsid w:val="00C664CD"/>
    <w:rsid w:val="00C736B7"/>
    <w:rsid w:val="00C74971"/>
    <w:rsid w:val="00C75A0E"/>
    <w:rsid w:val="00C778D5"/>
    <w:rsid w:val="00C77C5D"/>
    <w:rsid w:val="00C81D4A"/>
    <w:rsid w:val="00C822D2"/>
    <w:rsid w:val="00C85195"/>
    <w:rsid w:val="00C8762C"/>
    <w:rsid w:val="00C97DAD"/>
    <w:rsid w:val="00CA00F9"/>
    <w:rsid w:val="00CA2961"/>
    <w:rsid w:val="00CB2253"/>
    <w:rsid w:val="00CB26A6"/>
    <w:rsid w:val="00CB50D7"/>
    <w:rsid w:val="00CB7177"/>
    <w:rsid w:val="00CB7CED"/>
    <w:rsid w:val="00CC070F"/>
    <w:rsid w:val="00CC1998"/>
    <w:rsid w:val="00CC490F"/>
    <w:rsid w:val="00CC4946"/>
    <w:rsid w:val="00CC4A84"/>
    <w:rsid w:val="00CC64A1"/>
    <w:rsid w:val="00CC6BBD"/>
    <w:rsid w:val="00CD315C"/>
    <w:rsid w:val="00CE510F"/>
    <w:rsid w:val="00CE7BF9"/>
    <w:rsid w:val="00CE7FB4"/>
    <w:rsid w:val="00CF2893"/>
    <w:rsid w:val="00CF3B11"/>
    <w:rsid w:val="00D0099F"/>
    <w:rsid w:val="00D1043B"/>
    <w:rsid w:val="00D107B6"/>
    <w:rsid w:val="00D1090F"/>
    <w:rsid w:val="00D17324"/>
    <w:rsid w:val="00D217E8"/>
    <w:rsid w:val="00D22CE9"/>
    <w:rsid w:val="00D270A4"/>
    <w:rsid w:val="00D304B3"/>
    <w:rsid w:val="00D31014"/>
    <w:rsid w:val="00D31FE9"/>
    <w:rsid w:val="00D339ED"/>
    <w:rsid w:val="00D33AB0"/>
    <w:rsid w:val="00D34E1B"/>
    <w:rsid w:val="00D35317"/>
    <w:rsid w:val="00D376BA"/>
    <w:rsid w:val="00D434A0"/>
    <w:rsid w:val="00D45634"/>
    <w:rsid w:val="00D5568A"/>
    <w:rsid w:val="00D571C6"/>
    <w:rsid w:val="00D6278F"/>
    <w:rsid w:val="00D63D73"/>
    <w:rsid w:val="00D64336"/>
    <w:rsid w:val="00D64452"/>
    <w:rsid w:val="00D66E1E"/>
    <w:rsid w:val="00D70696"/>
    <w:rsid w:val="00D7283A"/>
    <w:rsid w:val="00D75704"/>
    <w:rsid w:val="00D75722"/>
    <w:rsid w:val="00D80CF5"/>
    <w:rsid w:val="00D8447A"/>
    <w:rsid w:val="00D86C30"/>
    <w:rsid w:val="00DA10A8"/>
    <w:rsid w:val="00DA2079"/>
    <w:rsid w:val="00DA3262"/>
    <w:rsid w:val="00DA5BBA"/>
    <w:rsid w:val="00DB2061"/>
    <w:rsid w:val="00DB26D2"/>
    <w:rsid w:val="00DB67C9"/>
    <w:rsid w:val="00DC0C95"/>
    <w:rsid w:val="00DC4C30"/>
    <w:rsid w:val="00DC4F0B"/>
    <w:rsid w:val="00DC7B42"/>
    <w:rsid w:val="00DD0951"/>
    <w:rsid w:val="00DD5D1C"/>
    <w:rsid w:val="00DD6580"/>
    <w:rsid w:val="00DD696A"/>
    <w:rsid w:val="00DE2D57"/>
    <w:rsid w:val="00DF1228"/>
    <w:rsid w:val="00E01D7F"/>
    <w:rsid w:val="00E055D1"/>
    <w:rsid w:val="00E05A56"/>
    <w:rsid w:val="00E05B07"/>
    <w:rsid w:val="00E05C03"/>
    <w:rsid w:val="00E14510"/>
    <w:rsid w:val="00E179DE"/>
    <w:rsid w:val="00E17C72"/>
    <w:rsid w:val="00E21097"/>
    <w:rsid w:val="00E21FC6"/>
    <w:rsid w:val="00E25305"/>
    <w:rsid w:val="00E27B34"/>
    <w:rsid w:val="00E27FFE"/>
    <w:rsid w:val="00E30F6D"/>
    <w:rsid w:val="00E34B32"/>
    <w:rsid w:val="00E37AEC"/>
    <w:rsid w:val="00E4012C"/>
    <w:rsid w:val="00E431A9"/>
    <w:rsid w:val="00E45D96"/>
    <w:rsid w:val="00E5102C"/>
    <w:rsid w:val="00E51EC9"/>
    <w:rsid w:val="00E576FD"/>
    <w:rsid w:val="00E57F9D"/>
    <w:rsid w:val="00E6090E"/>
    <w:rsid w:val="00E669E2"/>
    <w:rsid w:val="00E677EB"/>
    <w:rsid w:val="00E70026"/>
    <w:rsid w:val="00E72D71"/>
    <w:rsid w:val="00E76135"/>
    <w:rsid w:val="00E82F4F"/>
    <w:rsid w:val="00E847EB"/>
    <w:rsid w:val="00E864DF"/>
    <w:rsid w:val="00E9094C"/>
    <w:rsid w:val="00E919A3"/>
    <w:rsid w:val="00EA2FD4"/>
    <w:rsid w:val="00EA550A"/>
    <w:rsid w:val="00EB2CC3"/>
    <w:rsid w:val="00EB796A"/>
    <w:rsid w:val="00EC2844"/>
    <w:rsid w:val="00EC5500"/>
    <w:rsid w:val="00ED0F5C"/>
    <w:rsid w:val="00ED18F8"/>
    <w:rsid w:val="00ED5345"/>
    <w:rsid w:val="00ED58D6"/>
    <w:rsid w:val="00ED6769"/>
    <w:rsid w:val="00EE0B04"/>
    <w:rsid w:val="00EE2C15"/>
    <w:rsid w:val="00EE6EDA"/>
    <w:rsid w:val="00EE778E"/>
    <w:rsid w:val="00EF1858"/>
    <w:rsid w:val="00EF6342"/>
    <w:rsid w:val="00EF6719"/>
    <w:rsid w:val="00EF6C6C"/>
    <w:rsid w:val="00EF6D03"/>
    <w:rsid w:val="00F056FC"/>
    <w:rsid w:val="00F0632F"/>
    <w:rsid w:val="00F069AE"/>
    <w:rsid w:val="00F10476"/>
    <w:rsid w:val="00F10933"/>
    <w:rsid w:val="00F109F4"/>
    <w:rsid w:val="00F135D8"/>
    <w:rsid w:val="00F17337"/>
    <w:rsid w:val="00F17753"/>
    <w:rsid w:val="00F210C6"/>
    <w:rsid w:val="00F21886"/>
    <w:rsid w:val="00F22632"/>
    <w:rsid w:val="00F2723D"/>
    <w:rsid w:val="00F31299"/>
    <w:rsid w:val="00F3534A"/>
    <w:rsid w:val="00F353DA"/>
    <w:rsid w:val="00F35BFB"/>
    <w:rsid w:val="00F36ACC"/>
    <w:rsid w:val="00F375F0"/>
    <w:rsid w:val="00F40ACB"/>
    <w:rsid w:val="00F42C80"/>
    <w:rsid w:val="00F473F2"/>
    <w:rsid w:val="00F47A08"/>
    <w:rsid w:val="00F51609"/>
    <w:rsid w:val="00F52708"/>
    <w:rsid w:val="00F52876"/>
    <w:rsid w:val="00F55C25"/>
    <w:rsid w:val="00F56077"/>
    <w:rsid w:val="00F6049B"/>
    <w:rsid w:val="00F61EFD"/>
    <w:rsid w:val="00F73727"/>
    <w:rsid w:val="00F766A7"/>
    <w:rsid w:val="00F76A6C"/>
    <w:rsid w:val="00F81006"/>
    <w:rsid w:val="00F81BE4"/>
    <w:rsid w:val="00F83ACA"/>
    <w:rsid w:val="00F85325"/>
    <w:rsid w:val="00F90BA4"/>
    <w:rsid w:val="00F91AC7"/>
    <w:rsid w:val="00F95C30"/>
    <w:rsid w:val="00FA2C16"/>
    <w:rsid w:val="00FA4287"/>
    <w:rsid w:val="00FB0BC3"/>
    <w:rsid w:val="00FB439A"/>
    <w:rsid w:val="00FC5CA5"/>
    <w:rsid w:val="00FD22B1"/>
    <w:rsid w:val="00FD33F1"/>
    <w:rsid w:val="00FD3566"/>
    <w:rsid w:val="00FD7CBA"/>
    <w:rsid w:val="00FE3FE5"/>
    <w:rsid w:val="00FE5397"/>
    <w:rsid w:val="00FF0510"/>
    <w:rsid w:val="00FF13E8"/>
    <w:rsid w:val="00FF17C6"/>
    <w:rsid w:val="00FF5D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653E8"/>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73727"/>
    <w:rPr>
      <w:rFonts w:ascii="Arial" w:hAnsi="Arial"/>
      <w:b/>
      <w:sz w:val="26"/>
      <w:szCs w:val="26"/>
      <w:lang w:eastAsia="en-US"/>
    </w:rPr>
  </w:style>
  <w:style w:type="character" w:styleId="Hyperlink">
    <w:name w:val="Hyperlink"/>
    <w:basedOn w:val="DefaultParagraphFont"/>
    <w:rsid w:val="00B02B12"/>
    <w:rPr>
      <w:color w:val="78A22F" w:themeColor="hyperlink"/>
      <w:u w:val="single"/>
    </w:rPr>
  </w:style>
  <w:style w:type="paragraph" w:customStyle="1" w:styleId="Heading1NotTOC">
    <w:name w:val="Heading 1 Not TOC"/>
    <w:basedOn w:val="Heading1"/>
    <w:next w:val="BodyText"/>
    <w:rsid w:val="005F522C"/>
    <w:rPr>
      <w:kern w:val="28"/>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653E8"/>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73727"/>
    <w:rPr>
      <w:rFonts w:ascii="Arial" w:hAnsi="Arial"/>
      <w:b/>
      <w:sz w:val="26"/>
      <w:szCs w:val="26"/>
      <w:lang w:eastAsia="en-US"/>
    </w:rPr>
  </w:style>
  <w:style w:type="character" w:styleId="Hyperlink">
    <w:name w:val="Hyperlink"/>
    <w:basedOn w:val="DefaultParagraphFont"/>
    <w:rsid w:val="00B02B12"/>
    <w:rPr>
      <w:color w:val="78A22F" w:themeColor="hyperlink"/>
      <w:u w:val="single"/>
    </w:rPr>
  </w:style>
  <w:style w:type="paragraph" w:customStyle="1" w:styleId="Heading1NotTOC">
    <w:name w:val="Heading 1 Not TOC"/>
    <w:basedOn w:val="Heading1"/>
    <w:next w:val="BodyText"/>
    <w:rsid w:val="005F522C"/>
    <w:rPr>
      <w:kern w:val="28"/>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1133">
      <w:bodyDiv w:val="1"/>
      <w:marLeft w:val="0"/>
      <w:marRight w:val="0"/>
      <w:marTop w:val="0"/>
      <w:marBottom w:val="0"/>
      <w:divBdr>
        <w:top w:val="none" w:sz="0" w:space="0" w:color="auto"/>
        <w:left w:val="none" w:sz="0" w:space="0" w:color="auto"/>
        <w:bottom w:val="none" w:sz="0" w:space="0" w:color="auto"/>
        <w:right w:val="none" w:sz="0" w:space="0" w:color="auto"/>
      </w:divBdr>
    </w:div>
    <w:div w:id="206525746">
      <w:bodyDiv w:val="1"/>
      <w:marLeft w:val="0"/>
      <w:marRight w:val="0"/>
      <w:marTop w:val="0"/>
      <w:marBottom w:val="0"/>
      <w:divBdr>
        <w:top w:val="none" w:sz="0" w:space="0" w:color="auto"/>
        <w:left w:val="none" w:sz="0" w:space="0" w:color="auto"/>
        <w:bottom w:val="none" w:sz="0" w:space="0" w:color="auto"/>
        <w:right w:val="none" w:sz="0" w:space="0" w:color="auto"/>
      </w:divBdr>
    </w:div>
    <w:div w:id="231502018">
      <w:bodyDiv w:val="1"/>
      <w:marLeft w:val="0"/>
      <w:marRight w:val="0"/>
      <w:marTop w:val="0"/>
      <w:marBottom w:val="0"/>
      <w:divBdr>
        <w:top w:val="none" w:sz="0" w:space="0" w:color="auto"/>
        <w:left w:val="none" w:sz="0" w:space="0" w:color="auto"/>
        <w:bottom w:val="none" w:sz="0" w:space="0" w:color="auto"/>
        <w:right w:val="none" w:sz="0" w:space="0" w:color="auto"/>
      </w:divBdr>
    </w:div>
    <w:div w:id="409885883">
      <w:bodyDiv w:val="1"/>
      <w:marLeft w:val="0"/>
      <w:marRight w:val="0"/>
      <w:marTop w:val="0"/>
      <w:marBottom w:val="0"/>
      <w:divBdr>
        <w:top w:val="none" w:sz="0" w:space="0" w:color="auto"/>
        <w:left w:val="none" w:sz="0" w:space="0" w:color="auto"/>
        <w:bottom w:val="none" w:sz="0" w:space="0" w:color="auto"/>
        <w:right w:val="none" w:sz="0" w:space="0" w:color="auto"/>
      </w:divBdr>
    </w:div>
    <w:div w:id="529883445">
      <w:bodyDiv w:val="1"/>
      <w:marLeft w:val="0"/>
      <w:marRight w:val="0"/>
      <w:marTop w:val="0"/>
      <w:marBottom w:val="0"/>
      <w:divBdr>
        <w:top w:val="none" w:sz="0" w:space="0" w:color="auto"/>
        <w:left w:val="none" w:sz="0" w:space="0" w:color="auto"/>
        <w:bottom w:val="none" w:sz="0" w:space="0" w:color="auto"/>
        <w:right w:val="none" w:sz="0" w:space="0" w:color="auto"/>
      </w:divBdr>
    </w:div>
    <w:div w:id="991133611">
      <w:bodyDiv w:val="1"/>
      <w:marLeft w:val="0"/>
      <w:marRight w:val="0"/>
      <w:marTop w:val="0"/>
      <w:marBottom w:val="0"/>
      <w:divBdr>
        <w:top w:val="none" w:sz="0" w:space="0" w:color="auto"/>
        <w:left w:val="none" w:sz="0" w:space="0" w:color="auto"/>
        <w:bottom w:val="none" w:sz="0" w:space="0" w:color="auto"/>
        <w:right w:val="none" w:sz="0" w:space="0" w:color="auto"/>
      </w:divBdr>
    </w:div>
    <w:div w:id="1048258267">
      <w:bodyDiv w:val="1"/>
      <w:marLeft w:val="0"/>
      <w:marRight w:val="0"/>
      <w:marTop w:val="0"/>
      <w:marBottom w:val="0"/>
      <w:divBdr>
        <w:top w:val="none" w:sz="0" w:space="0" w:color="auto"/>
        <w:left w:val="none" w:sz="0" w:space="0" w:color="auto"/>
        <w:bottom w:val="none" w:sz="0" w:space="0" w:color="auto"/>
        <w:right w:val="none" w:sz="0" w:space="0" w:color="auto"/>
      </w:divBdr>
    </w:div>
    <w:div w:id="1318846972">
      <w:bodyDiv w:val="1"/>
      <w:marLeft w:val="0"/>
      <w:marRight w:val="0"/>
      <w:marTop w:val="0"/>
      <w:marBottom w:val="0"/>
      <w:divBdr>
        <w:top w:val="none" w:sz="0" w:space="0" w:color="auto"/>
        <w:left w:val="none" w:sz="0" w:space="0" w:color="auto"/>
        <w:bottom w:val="none" w:sz="0" w:space="0" w:color="auto"/>
        <w:right w:val="none" w:sz="0" w:space="0" w:color="auto"/>
      </w:divBdr>
    </w:div>
    <w:div w:id="1517427445">
      <w:bodyDiv w:val="1"/>
      <w:marLeft w:val="0"/>
      <w:marRight w:val="0"/>
      <w:marTop w:val="0"/>
      <w:marBottom w:val="0"/>
      <w:divBdr>
        <w:top w:val="none" w:sz="0" w:space="0" w:color="auto"/>
        <w:left w:val="none" w:sz="0" w:space="0" w:color="auto"/>
        <w:bottom w:val="none" w:sz="0" w:space="0" w:color="auto"/>
        <w:right w:val="none" w:sz="0" w:space="0" w:color="auto"/>
      </w:divBdr>
    </w:div>
    <w:div w:id="1616713879">
      <w:bodyDiv w:val="1"/>
      <w:marLeft w:val="0"/>
      <w:marRight w:val="0"/>
      <w:marTop w:val="0"/>
      <w:marBottom w:val="0"/>
      <w:divBdr>
        <w:top w:val="none" w:sz="0" w:space="0" w:color="auto"/>
        <w:left w:val="none" w:sz="0" w:space="0" w:color="auto"/>
        <w:bottom w:val="none" w:sz="0" w:space="0" w:color="auto"/>
        <w:right w:val="none" w:sz="0" w:space="0" w:color="auto"/>
      </w:divBdr>
    </w:div>
    <w:div w:id="1624192660">
      <w:bodyDiv w:val="1"/>
      <w:marLeft w:val="0"/>
      <w:marRight w:val="0"/>
      <w:marTop w:val="0"/>
      <w:marBottom w:val="0"/>
      <w:divBdr>
        <w:top w:val="none" w:sz="0" w:space="0" w:color="auto"/>
        <w:left w:val="none" w:sz="0" w:space="0" w:color="auto"/>
        <w:bottom w:val="none" w:sz="0" w:space="0" w:color="auto"/>
        <w:right w:val="none" w:sz="0" w:space="0" w:color="auto"/>
      </w:divBdr>
    </w:div>
    <w:div w:id="1886287481">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04232705">
      <w:bodyDiv w:val="1"/>
      <w:marLeft w:val="0"/>
      <w:marRight w:val="0"/>
      <w:marTop w:val="0"/>
      <w:marBottom w:val="0"/>
      <w:divBdr>
        <w:top w:val="none" w:sz="0" w:space="0" w:color="auto"/>
        <w:left w:val="none" w:sz="0" w:space="0" w:color="auto"/>
        <w:bottom w:val="none" w:sz="0" w:space="0" w:color="auto"/>
        <w:right w:val="none" w:sz="0" w:space="0" w:color="auto"/>
      </w:divBdr>
    </w:div>
    <w:div w:id="206120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header" Target="header1.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image" Target="media/image41.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emf"/><Relationship Id="rId8" Type="http://schemas.openxmlformats.org/officeDocument/2006/relationships/endnotes" Target="endnotes.xml"/><Relationship Id="rId51" Type="http://schemas.openxmlformats.org/officeDocument/2006/relationships/header" Target="header2.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F75F7-BC37-42A7-A510-E57AF505C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2064</TotalTime>
  <Pages>98</Pages>
  <Words>28761</Words>
  <Characters>162946</Characters>
  <Application>Microsoft Office Word</Application>
  <DocSecurity>0</DocSecurity>
  <Lines>1357</Lines>
  <Paragraphs>382</Paragraphs>
  <ScaleCrop>false</ScaleCrop>
  <HeadingPairs>
    <vt:vector size="2" baseType="variant">
      <vt:variant>
        <vt:lpstr>Title</vt:lpstr>
      </vt:variant>
      <vt:variant>
        <vt:i4>1</vt:i4>
      </vt:variant>
    </vt:vector>
  </HeadingPairs>
  <TitlesOfParts>
    <vt:vector size="1" baseType="lpstr">
      <vt:lpstr>Chapter 11 Public hospitals - Report on Government Services 2015</vt:lpstr>
    </vt:vector>
  </TitlesOfParts>
  <Company>Productivity Commission</Company>
  <LinksUpToDate>false</LinksUpToDate>
  <CharactersWithSpaces>191325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 Public hospitals - Report on Government Services 2015</dc:title>
  <dc:subject/>
  <dc:creator>Steering Committee for the Review of Government Services</dc:creator>
  <dc:description/>
  <cp:lastModifiedBy>Frech, Tanya</cp:lastModifiedBy>
  <cp:revision>190</cp:revision>
  <cp:lastPrinted>2014-12-19T01:43:00Z</cp:lastPrinted>
  <dcterms:created xsi:type="dcterms:W3CDTF">2014-10-28T02:19:00Z</dcterms:created>
  <dcterms:modified xsi:type="dcterms:W3CDTF">2015-01-20T02:04:00Z</dcterms:modified>
</cp:coreProperties>
</file>