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EF" w:rsidRPr="000E15EF" w:rsidRDefault="000E15EF" w:rsidP="000E15EF">
      <w:pPr>
        <w:pStyle w:val="Heading2"/>
      </w:pPr>
      <w:bookmarkStart w:id="0" w:name="_Toc401912920"/>
      <w:bookmarkStart w:id="1" w:name="_GoBack"/>
      <w:bookmarkEnd w:id="1"/>
      <w:r w:rsidRPr="000E15EF">
        <w:t>Data quality information — Public hospitals, chapter 11</w:t>
      </w:r>
      <w:bookmarkEnd w:id="0"/>
    </w:p>
    <w:p w:rsidR="000E15EF" w:rsidRDefault="000E15EF">
      <w:pPr>
        <w:pStyle w:val="BoxSpaceAbove"/>
      </w:pPr>
      <w:bookmarkStart w:id="2" w:name="begin"/>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15EF" w:rsidTr="00905501">
        <w:tc>
          <w:tcPr>
            <w:tcW w:w="8771" w:type="dxa"/>
            <w:tcBorders>
              <w:top w:val="single" w:sz="6" w:space="0" w:color="78A22F"/>
              <w:left w:val="nil"/>
              <w:bottom w:val="nil"/>
              <w:right w:val="nil"/>
            </w:tcBorders>
            <w:shd w:val="clear" w:color="auto" w:fill="F2F2F2"/>
          </w:tcPr>
          <w:p w:rsidR="000E15EF" w:rsidRDefault="000E15EF" w:rsidP="000E15EF">
            <w:pPr>
              <w:pStyle w:val="BoxTitle"/>
            </w:pPr>
            <w:r w:rsidRPr="000E15EF">
              <w:t>Data quality information</w:t>
            </w:r>
          </w:p>
        </w:tc>
      </w:tr>
      <w:tr w:rsidR="000E15EF" w:rsidTr="00905501">
        <w:trPr>
          <w:cantSplit/>
        </w:trPr>
        <w:tc>
          <w:tcPr>
            <w:tcW w:w="8771" w:type="dxa"/>
            <w:tcBorders>
              <w:top w:val="nil"/>
              <w:left w:val="nil"/>
              <w:bottom w:val="nil"/>
              <w:right w:val="nil"/>
            </w:tcBorders>
            <w:shd w:val="clear" w:color="auto" w:fill="F2F2F2"/>
          </w:tcPr>
          <w:p w:rsidR="0018245F" w:rsidRDefault="0018245F" w:rsidP="0018245F">
            <w:pPr>
              <w:pStyle w:val="Box"/>
            </w:pPr>
            <w:r>
              <w:t>Data quality information (DQI) provides information against the seven Australian Bureau of Statistics (ABS) data quality framework dimensions, for a selection of performance indicators and/or measures in the Public hospitals chapter. DQI for additional indicators will be progressively introduced in future reports.</w:t>
            </w:r>
          </w:p>
          <w:p w:rsidR="000E15EF" w:rsidRDefault="0018245F" w:rsidP="0018245F">
            <w:pPr>
              <w:pStyle w:val="Box"/>
            </w:pPr>
            <w:r>
              <w:t>Technical DQI has been supplied or agreed by relevant data providers. Additional Steering Committee commentary does not necessarily reflect the views of data providers.</w:t>
            </w:r>
          </w:p>
        </w:tc>
      </w:tr>
      <w:tr w:rsidR="000E15EF" w:rsidTr="00905501">
        <w:trPr>
          <w:cantSplit/>
        </w:trPr>
        <w:tc>
          <w:tcPr>
            <w:tcW w:w="8771" w:type="dxa"/>
            <w:tcBorders>
              <w:top w:val="nil"/>
              <w:left w:val="nil"/>
              <w:bottom w:val="single" w:sz="6" w:space="0" w:color="78A22F"/>
              <w:right w:val="nil"/>
            </w:tcBorders>
            <w:shd w:val="clear" w:color="auto" w:fill="F2F2F2"/>
          </w:tcPr>
          <w:p w:rsidR="000E15EF" w:rsidRDefault="000E15EF">
            <w:pPr>
              <w:pStyle w:val="Box"/>
              <w:spacing w:before="0" w:line="120" w:lineRule="exact"/>
            </w:pPr>
          </w:p>
        </w:tc>
      </w:tr>
      <w:tr w:rsidR="000E15EF" w:rsidRPr="000863A5" w:rsidTr="00905501">
        <w:tc>
          <w:tcPr>
            <w:tcW w:w="8771" w:type="dxa"/>
            <w:tcBorders>
              <w:top w:val="single" w:sz="6" w:space="0" w:color="78A22F"/>
              <w:left w:val="nil"/>
              <w:bottom w:val="nil"/>
              <w:right w:val="nil"/>
            </w:tcBorders>
          </w:tcPr>
          <w:p w:rsidR="000E15EF" w:rsidRPr="00626D32" w:rsidRDefault="000E15EF" w:rsidP="00905501">
            <w:pPr>
              <w:pStyle w:val="BoxSpaceBelow"/>
            </w:pPr>
          </w:p>
        </w:tc>
      </w:tr>
    </w:tbl>
    <w:p w:rsidR="00666E02" w:rsidRDefault="000E15EF" w:rsidP="00120072">
      <w:pPr>
        <w:pStyle w:val="BodyText"/>
      </w:pPr>
      <w:r w:rsidRPr="000E15EF">
        <w:t>DQI are available for the following performance indicators:</w:t>
      </w:r>
      <w:r w:rsidR="00A26DAF">
        <w:t xml:space="preserve"> </w:t>
      </w:r>
    </w:p>
    <w:sdt>
      <w:sdtPr>
        <w:rPr>
          <w:rFonts w:ascii="Times New Roman" w:hAnsi="Times New Roman"/>
          <w:b w:val="0"/>
          <w:sz w:val="24"/>
          <w:szCs w:val="24"/>
          <w:lang w:eastAsia="en-AU"/>
        </w:rPr>
        <w:id w:val="1545098005"/>
        <w:docPartObj>
          <w:docPartGallery w:val="Table of Contents"/>
          <w:docPartUnique/>
        </w:docPartObj>
      </w:sdtPr>
      <w:sdtEndPr>
        <w:rPr>
          <w:bCs/>
          <w:noProof/>
        </w:rPr>
      </w:sdtEndPr>
      <w:sdtContent>
        <w:p w:rsidR="00167D68" w:rsidRPr="00DA51E6" w:rsidRDefault="00167D68" w:rsidP="00167D68">
          <w:pPr>
            <w:pStyle w:val="TOC1"/>
          </w:pPr>
        </w:p>
        <w:p w:rsidR="00167D68" w:rsidRDefault="00167D68" w:rsidP="00167D68">
          <w:pPr>
            <w:pStyle w:val="TOC2"/>
            <w:rPr>
              <w:rFonts w:asciiTheme="minorHAnsi" w:eastAsiaTheme="minorEastAsia" w:hAnsiTheme="minorHAnsi" w:cstheme="minorBidi"/>
              <w:noProof/>
              <w:sz w:val="22"/>
              <w:szCs w:val="22"/>
              <w:lang w:eastAsia="en-AU"/>
            </w:rPr>
          </w:pPr>
          <w:r w:rsidRPr="0031171C">
            <w:rPr>
              <w:noProof/>
            </w:rPr>
            <w:t>Emergency department waiting times</w:t>
          </w:r>
          <w:r>
            <w:rPr>
              <w:noProof/>
              <w:webHidden/>
            </w:rPr>
            <w:tab/>
            <w:t>2</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Waiting times for admitted patient services</w:t>
          </w:r>
          <w:r>
            <w:rPr>
              <w:noProof/>
              <w:webHidden/>
            </w:rPr>
            <w:tab/>
            <w:t>8</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Separation rates for selected procedures</w:t>
          </w:r>
          <w:r>
            <w:rPr>
              <w:noProof/>
              <w:webHidden/>
            </w:rPr>
            <w:tab/>
            <w:t>19</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Unplanned hospital readmission rates</w:t>
          </w:r>
          <w:r>
            <w:rPr>
              <w:noProof/>
              <w:webHidden/>
            </w:rPr>
            <w:tab/>
            <w:t>22</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Accreditation</w:t>
          </w:r>
          <w:r>
            <w:rPr>
              <w:noProof/>
              <w:webHidden/>
            </w:rPr>
            <w:tab/>
            <w:t>26</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Adverse events in public hospitals</w:t>
          </w:r>
          <w:r>
            <w:rPr>
              <w:noProof/>
              <w:webHidden/>
            </w:rPr>
            <w:tab/>
            <w:t>28</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Workforce sustainability</w:t>
          </w:r>
          <w:r>
            <w:rPr>
              <w:noProof/>
              <w:webHidden/>
            </w:rPr>
            <w:tab/>
            <w:t>37</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Cost per casemix-adjusted separation</w:t>
          </w:r>
          <w:r>
            <w:rPr>
              <w:noProof/>
              <w:webHidden/>
            </w:rPr>
            <w:tab/>
            <w:t>41</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Relative stay index</w:t>
          </w:r>
          <w:r>
            <w:rPr>
              <w:noProof/>
              <w:webHidden/>
            </w:rPr>
            <w:tab/>
            <w:t>46</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Recurrent cost per non-admitted occasion of service</w:t>
          </w:r>
          <w:r>
            <w:rPr>
              <w:noProof/>
              <w:webHidden/>
            </w:rPr>
            <w:tab/>
            <w:t>49</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Patient satisfaction</w:t>
          </w:r>
          <w:r>
            <w:rPr>
              <w:noProof/>
              <w:webHidden/>
            </w:rPr>
            <w:tab/>
            <w:t>50</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Caesareans and inductions for selected primiparae</w:t>
          </w:r>
          <w:r>
            <w:rPr>
              <w:noProof/>
              <w:webHidden/>
            </w:rPr>
            <w:tab/>
            <w:t>54</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Instrument vaginal births</w:t>
          </w:r>
          <w:r>
            <w:rPr>
              <w:noProof/>
              <w:webHidden/>
            </w:rPr>
            <w:tab/>
            <w:t>55</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Vaginal birth after caesarean section</w:t>
          </w:r>
          <w:r>
            <w:rPr>
              <w:noProof/>
              <w:webHidden/>
            </w:rPr>
            <w:tab/>
            <w:t>57</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Perineal status after vaginal birth</w:t>
          </w:r>
          <w:r>
            <w:rPr>
              <w:noProof/>
              <w:webHidden/>
            </w:rPr>
            <w:tab/>
            <w:t>58</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Mother’s average length of stay</w:t>
          </w:r>
          <w:r>
            <w:rPr>
              <w:noProof/>
              <w:webHidden/>
            </w:rPr>
            <w:tab/>
            <w:t>60</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Apgar score at five minutes</w:t>
          </w:r>
          <w:r>
            <w:rPr>
              <w:noProof/>
              <w:webHidden/>
            </w:rPr>
            <w:tab/>
            <w:t>62</w:t>
          </w:r>
        </w:p>
        <w:p w:rsidR="00167D68" w:rsidRDefault="00167D68" w:rsidP="00167D68">
          <w:pPr>
            <w:pStyle w:val="TOC3"/>
            <w:rPr>
              <w:rFonts w:asciiTheme="minorHAnsi" w:eastAsiaTheme="minorEastAsia" w:hAnsiTheme="minorHAnsi" w:cstheme="minorBidi"/>
              <w:noProof/>
              <w:sz w:val="22"/>
              <w:szCs w:val="22"/>
              <w:lang w:eastAsia="en-AU"/>
            </w:rPr>
          </w:pPr>
          <w:r w:rsidRPr="0031171C">
            <w:rPr>
              <w:noProof/>
            </w:rPr>
            <w:t>Fetal, neonatal and perinatal deaths</w:t>
          </w:r>
          <w:r>
            <w:rPr>
              <w:noProof/>
              <w:webHidden/>
            </w:rPr>
            <w:tab/>
            <w:t>63</w:t>
          </w:r>
        </w:p>
        <w:p w:rsidR="00167D68" w:rsidRDefault="005025FB" w:rsidP="00167D68"/>
      </w:sdtContent>
    </w:sdt>
    <w:p w:rsidR="000E15EF" w:rsidRDefault="000E15EF" w:rsidP="000E15EF">
      <w:pPr>
        <w:pStyle w:val="Heading3"/>
      </w:pPr>
      <w:bookmarkStart w:id="3" w:name="_Toc401912921"/>
      <w:r>
        <w:lastRenderedPageBreak/>
        <w:t>Emergency department waiting times</w:t>
      </w:r>
      <w:bookmarkEnd w:id="3"/>
    </w:p>
    <w:p w:rsidR="000E15EF" w:rsidRDefault="000E15EF" w:rsidP="000E15EF">
      <w:pPr>
        <w:pStyle w:val="BodyText"/>
      </w:pPr>
      <w:r>
        <w:t>Data quality information for this indicator has been sourced from the AIHW with additional Steering Committee comments.</w:t>
      </w:r>
    </w:p>
    <w:p w:rsidR="009F4002" w:rsidRPr="00F42252" w:rsidRDefault="009F4002" w:rsidP="009F4002">
      <w:pPr>
        <w:pStyle w:val="Heading4"/>
      </w:pPr>
      <w:r w:rsidRPr="00F42252">
        <w:t>Emergency department waiting times by triage category</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F42252" w:rsidRPr="00F42252" w:rsidTr="009F4002">
        <w:tc>
          <w:tcPr>
            <w:tcW w:w="8789" w:type="dxa"/>
            <w:gridSpan w:val="2"/>
            <w:vAlign w:val="bottom"/>
          </w:tcPr>
          <w:p w:rsidR="003846CE" w:rsidRPr="00F42252" w:rsidRDefault="003846CE" w:rsidP="003846CE">
            <w:pPr>
              <w:widowControl w:val="0"/>
              <w:spacing w:after="40" w:line="200" w:lineRule="atLeast"/>
              <w:ind w:left="6" w:right="113"/>
              <w:jc w:val="both"/>
              <w:rPr>
                <w:rFonts w:ascii="Arial" w:hAnsi="Arial"/>
                <w:b/>
                <w:sz w:val="18"/>
                <w:szCs w:val="20"/>
              </w:rPr>
            </w:pPr>
          </w:p>
          <w:p w:rsidR="003846CE" w:rsidRPr="00F42252" w:rsidRDefault="003846CE" w:rsidP="003846CE">
            <w:pPr>
              <w:widowControl w:val="0"/>
              <w:spacing w:after="40" w:line="200" w:lineRule="atLeast"/>
              <w:ind w:left="6" w:right="113"/>
              <w:jc w:val="both"/>
              <w:rPr>
                <w:rFonts w:ascii="Arial" w:hAnsi="Arial"/>
                <w:b/>
                <w:sz w:val="18"/>
                <w:szCs w:val="20"/>
                <w:u w:val="single"/>
              </w:rPr>
            </w:pPr>
            <w:r w:rsidRPr="00F42252">
              <w:rPr>
                <w:rFonts w:ascii="Arial" w:hAnsi="Arial"/>
                <w:b/>
                <w:sz w:val="18"/>
                <w:szCs w:val="20"/>
                <w:u w:val="single"/>
              </w:rPr>
              <w:t>Indicator definition and description</w:t>
            </w:r>
          </w:p>
        </w:tc>
      </w:tr>
      <w:tr w:rsidR="00F42252" w:rsidRPr="00F42252" w:rsidTr="009F4002">
        <w:tc>
          <w:tcPr>
            <w:tcW w:w="1620" w:type="dxa"/>
          </w:tcPr>
          <w:p w:rsidR="0013559B" w:rsidRPr="00F42252" w:rsidRDefault="0013559B" w:rsidP="003846CE">
            <w:pPr>
              <w:widowControl w:val="0"/>
              <w:spacing w:after="40" w:line="200" w:lineRule="atLeast"/>
              <w:ind w:left="6" w:right="113"/>
              <w:jc w:val="both"/>
              <w:rPr>
                <w:rFonts w:ascii="Arial" w:hAnsi="Arial"/>
                <w:b/>
                <w:sz w:val="18"/>
                <w:szCs w:val="20"/>
              </w:rPr>
            </w:pPr>
            <w:r w:rsidRPr="00F42252">
              <w:rPr>
                <w:rFonts w:ascii="Arial" w:hAnsi="Arial"/>
                <w:b/>
                <w:sz w:val="18"/>
                <w:szCs w:val="20"/>
              </w:rPr>
              <w:t>Element</w:t>
            </w:r>
          </w:p>
        </w:tc>
        <w:tc>
          <w:tcPr>
            <w:tcW w:w="7169" w:type="dxa"/>
          </w:tcPr>
          <w:p w:rsidR="0013559B" w:rsidRPr="00F42252" w:rsidRDefault="0013559B" w:rsidP="007957BE">
            <w:pPr>
              <w:pStyle w:val="TableBodyText"/>
              <w:jc w:val="both"/>
            </w:pPr>
            <w:r w:rsidRPr="00F42252">
              <w:t xml:space="preserve">Effectiveness — access </w:t>
            </w:r>
          </w:p>
        </w:tc>
      </w:tr>
      <w:tr w:rsidR="00F42252" w:rsidRPr="00F42252" w:rsidTr="009F4002">
        <w:tc>
          <w:tcPr>
            <w:tcW w:w="1620" w:type="dxa"/>
          </w:tcPr>
          <w:p w:rsidR="0013559B" w:rsidRPr="00F42252" w:rsidRDefault="0013559B" w:rsidP="003846CE">
            <w:pPr>
              <w:widowControl w:val="0"/>
              <w:spacing w:after="40" w:line="200" w:lineRule="atLeast"/>
              <w:ind w:left="6" w:right="113"/>
              <w:jc w:val="both"/>
              <w:rPr>
                <w:rFonts w:ascii="Arial" w:hAnsi="Arial"/>
                <w:b/>
                <w:sz w:val="18"/>
                <w:szCs w:val="20"/>
              </w:rPr>
            </w:pPr>
            <w:r w:rsidRPr="00F42252">
              <w:rPr>
                <w:rFonts w:ascii="Arial" w:hAnsi="Arial"/>
                <w:b/>
                <w:sz w:val="18"/>
                <w:szCs w:val="20"/>
              </w:rPr>
              <w:t>Indicator</w:t>
            </w:r>
          </w:p>
        </w:tc>
        <w:tc>
          <w:tcPr>
            <w:tcW w:w="7169" w:type="dxa"/>
            <w:vAlign w:val="bottom"/>
          </w:tcPr>
          <w:p w:rsidR="0013559B" w:rsidRPr="00F42252" w:rsidRDefault="0013559B" w:rsidP="007957BE">
            <w:pPr>
              <w:pStyle w:val="TableBodyText"/>
              <w:jc w:val="both"/>
            </w:pPr>
            <w:r w:rsidRPr="00F42252">
              <w:t>Emergency department waiting times</w:t>
            </w:r>
            <w:r w:rsidR="00614760" w:rsidRPr="00F42252">
              <w:t xml:space="preserve"> — Emergency department waiting times by triage category</w:t>
            </w:r>
          </w:p>
        </w:tc>
      </w:tr>
      <w:tr w:rsidR="00F42252" w:rsidRPr="00F42252" w:rsidTr="009F4002">
        <w:tc>
          <w:tcPr>
            <w:tcW w:w="1620" w:type="dxa"/>
          </w:tcPr>
          <w:p w:rsidR="0013559B" w:rsidRPr="00F42252" w:rsidRDefault="0013559B" w:rsidP="00E213E3">
            <w:pPr>
              <w:widowControl w:val="0"/>
              <w:spacing w:after="40" w:line="200" w:lineRule="atLeast"/>
              <w:ind w:left="6" w:right="113"/>
              <w:jc w:val="both"/>
              <w:rPr>
                <w:rFonts w:ascii="Arial" w:hAnsi="Arial"/>
                <w:b/>
                <w:sz w:val="18"/>
                <w:szCs w:val="20"/>
              </w:rPr>
            </w:pPr>
            <w:r w:rsidRPr="00F42252">
              <w:rPr>
                <w:rFonts w:ascii="Arial" w:hAnsi="Arial"/>
                <w:b/>
                <w:sz w:val="18"/>
                <w:szCs w:val="20"/>
              </w:rPr>
              <w:t>Measure</w:t>
            </w:r>
          </w:p>
          <w:p w:rsidR="0013559B" w:rsidRPr="00F42252" w:rsidRDefault="0013559B" w:rsidP="00E213E3">
            <w:pPr>
              <w:widowControl w:val="0"/>
              <w:spacing w:after="40" w:line="200" w:lineRule="atLeast"/>
              <w:ind w:left="6" w:right="113"/>
              <w:jc w:val="both"/>
              <w:rPr>
                <w:rFonts w:ascii="Arial" w:hAnsi="Arial"/>
                <w:b/>
                <w:sz w:val="18"/>
                <w:szCs w:val="20"/>
              </w:rPr>
            </w:pPr>
            <w:r w:rsidRPr="00F42252">
              <w:rPr>
                <w:rFonts w:ascii="Arial" w:hAnsi="Arial"/>
                <w:b/>
                <w:sz w:val="18"/>
                <w:szCs w:val="20"/>
              </w:rPr>
              <w:t>(computation</w:t>
            </w:r>
          </w:p>
        </w:tc>
        <w:tc>
          <w:tcPr>
            <w:tcW w:w="7169" w:type="dxa"/>
            <w:vAlign w:val="bottom"/>
          </w:tcPr>
          <w:p w:rsidR="002C426D" w:rsidRPr="002C426D" w:rsidRDefault="002C426D" w:rsidP="00E213E3">
            <w:pPr>
              <w:spacing w:before="40" w:after="40"/>
              <w:jc w:val="both"/>
              <w:rPr>
                <w:rFonts w:asciiTheme="minorHAnsi" w:hAnsiTheme="minorHAnsi" w:cstheme="minorHAnsi"/>
                <w:sz w:val="18"/>
                <w:szCs w:val="18"/>
                <w:lang w:eastAsia="en-US"/>
              </w:rPr>
            </w:pPr>
            <w:r w:rsidRPr="002C426D">
              <w:rPr>
                <w:rFonts w:asciiTheme="minorHAnsi" w:hAnsiTheme="minorHAnsi" w:cstheme="minorHAnsi"/>
                <w:sz w:val="18"/>
                <w:szCs w:val="18"/>
              </w:rPr>
              <w:t>Percentage of patients who are treated within national benchmarks for waiting times for each triage category in public hospital emergency departments.</w:t>
            </w:r>
          </w:p>
          <w:p w:rsidR="00F42252" w:rsidRPr="00F42252" w:rsidRDefault="00F42252" w:rsidP="00E213E3">
            <w:pPr>
              <w:spacing w:before="40" w:after="40"/>
              <w:jc w:val="both"/>
              <w:rPr>
                <w:rFonts w:asciiTheme="minorHAnsi" w:hAnsiTheme="minorHAnsi" w:cstheme="minorHAnsi"/>
                <w:sz w:val="18"/>
                <w:szCs w:val="18"/>
                <w:lang w:eastAsia="en-US"/>
              </w:rPr>
            </w:pPr>
            <w:r w:rsidRPr="00F42252">
              <w:rPr>
                <w:rFonts w:asciiTheme="minorHAnsi" w:hAnsiTheme="minorHAnsi" w:cstheme="minorHAnsi"/>
                <w:sz w:val="18"/>
                <w:szCs w:val="18"/>
                <w:lang w:eastAsia="en-US"/>
              </w:rPr>
              <w:t>The national benchmark waiting times are:</w:t>
            </w:r>
          </w:p>
          <w:p w:rsidR="00F42252" w:rsidRPr="00F42252" w:rsidRDefault="00F42252" w:rsidP="00E213E3">
            <w:pPr>
              <w:numPr>
                <w:ilvl w:val="0"/>
                <w:numId w:val="28"/>
              </w:numPr>
              <w:spacing w:before="40" w:after="40"/>
              <w:ind w:left="360"/>
              <w:jc w:val="both"/>
              <w:rPr>
                <w:rFonts w:asciiTheme="minorHAnsi" w:hAnsiTheme="minorHAnsi" w:cstheme="minorHAnsi"/>
                <w:sz w:val="18"/>
                <w:szCs w:val="18"/>
                <w:lang w:eastAsia="en-US"/>
              </w:rPr>
            </w:pPr>
            <w:r w:rsidRPr="00F42252">
              <w:rPr>
                <w:rFonts w:asciiTheme="minorHAnsi" w:hAnsiTheme="minorHAnsi" w:cstheme="minorHAnsi"/>
                <w:sz w:val="18"/>
                <w:szCs w:val="18"/>
                <w:lang w:eastAsia="en-US"/>
              </w:rPr>
              <w:t>Triage category 1: seen within seconds, calculated as less than or equal to 2 minutes</w:t>
            </w:r>
          </w:p>
          <w:p w:rsidR="00F42252" w:rsidRPr="00F42252" w:rsidRDefault="00F42252" w:rsidP="00E213E3">
            <w:pPr>
              <w:numPr>
                <w:ilvl w:val="0"/>
                <w:numId w:val="28"/>
              </w:numPr>
              <w:spacing w:before="40" w:after="40"/>
              <w:ind w:left="360"/>
              <w:jc w:val="both"/>
              <w:rPr>
                <w:rFonts w:asciiTheme="minorHAnsi" w:hAnsiTheme="minorHAnsi" w:cstheme="minorHAnsi"/>
                <w:sz w:val="18"/>
                <w:szCs w:val="18"/>
                <w:lang w:eastAsia="en-US"/>
              </w:rPr>
            </w:pPr>
            <w:r w:rsidRPr="00F42252">
              <w:rPr>
                <w:rFonts w:asciiTheme="minorHAnsi" w:hAnsiTheme="minorHAnsi" w:cstheme="minorHAnsi"/>
                <w:sz w:val="18"/>
                <w:szCs w:val="18"/>
                <w:lang w:eastAsia="en-US"/>
              </w:rPr>
              <w:t>Triage category 2: seen within 10 minutes</w:t>
            </w:r>
          </w:p>
          <w:p w:rsidR="00F42252" w:rsidRPr="00F42252" w:rsidRDefault="00F42252" w:rsidP="00E213E3">
            <w:pPr>
              <w:numPr>
                <w:ilvl w:val="0"/>
                <w:numId w:val="28"/>
              </w:numPr>
              <w:spacing w:before="40" w:after="40"/>
              <w:ind w:left="360"/>
              <w:jc w:val="both"/>
              <w:rPr>
                <w:rFonts w:asciiTheme="minorHAnsi" w:hAnsiTheme="minorHAnsi" w:cstheme="minorHAnsi"/>
                <w:sz w:val="18"/>
                <w:szCs w:val="18"/>
                <w:lang w:eastAsia="en-US"/>
              </w:rPr>
            </w:pPr>
            <w:r w:rsidRPr="00F42252">
              <w:rPr>
                <w:rFonts w:asciiTheme="minorHAnsi" w:hAnsiTheme="minorHAnsi" w:cstheme="minorHAnsi"/>
                <w:sz w:val="18"/>
                <w:szCs w:val="18"/>
                <w:lang w:eastAsia="en-US"/>
              </w:rPr>
              <w:t>Triage category 3: seen within 30 minutes</w:t>
            </w:r>
          </w:p>
          <w:p w:rsidR="00F42252" w:rsidRPr="00F42252" w:rsidRDefault="00F42252" w:rsidP="00E213E3">
            <w:pPr>
              <w:numPr>
                <w:ilvl w:val="0"/>
                <w:numId w:val="28"/>
              </w:numPr>
              <w:spacing w:before="40" w:after="40"/>
              <w:ind w:left="360"/>
              <w:jc w:val="both"/>
              <w:rPr>
                <w:rFonts w:asciiTheme="minorHAnsi" w:hAnsiTheme="minorHAnsi" w:cstheme="minorHAnsi"/>
                <w:sz w:val="18"/>
                <w:szCs w:val="18"/>
                <w:lang w:eastAsia="en-US"/>
              </w:rPr>
            </w:pPr>
            <w:r w:rsidRPr="00F42252">
              <w:rPr>
                <w:rFonts w:asciiTheme="minorHAnsi" w:hAnsiTheme="minorHAnsi" w:cstheme="minorHAnsi"/>
                <w:sz w:val="18"/>
                <w:szCs w:val="18"/>
                <w:lang w:eastAsia="en-US"/>
              </w:rPr>
              <w:t>Triage category 4: seen within 60 minutes</w:t>
            </w:r>
          </w:p>
          <w:p w:rsidR="00F42252" w:rsidRPr="00F42252" w:rsidRDefault="00F42252" w:rsidP="00E213E3">
            <w:pPr>
              <w:numPr>
                <w:ilvl w:val="0"/>
                <w:numId w:val="28"/>
              </w:numPr>
              <w:spacing w:before="40" w:after="40"/>
              <w:ind w:left="360"/>
              <w:jc w:val="both"/>
              <w:rPr>
                <w:rFonts w:asciiTheme="minorHAnsi" w:hAnsiTheme="minorHAnsi" w:cstheme="minorHAnsi"/>
                <w:sz w:val="18"/>
                <w:szCs w:val="18"/>
                <w:lang w:eastAsia="en-US"/>
              </w:rPr>
            </w:pPr>
            <w:r w:rsidRPr="00F42252">
              <w:rPr>
                <w:rFonts w:asciiTheme="minorHAnsi" w:hAnsiTheme="minorHAnsi" w:cstheme="minorHAnsi"/>
                <w:sz w:val="18"/>
                <w:szCs w:val="18"/>
                <w:lang w:eastAsia="en-US"/>
              </w:rPr>
              <w:t>Triage category 5: seen within 120 minutes</w:t>
            </w:r>
          </w:p>
          <w:p w:rsidR="00F42252" w:rsidRPr="00F42252" w:rsidRDefault="00F42252" w:rsidP="00E213E3">
            <w:pPr>
              <w:keepNext/>
              <w:keepLines/>
              <w:spacing w:after="40" w:line="220" w:lineRule="atLeast"/>
              <w:ind w:left="6" w:right="113"/>
              <w:jc w:val="both"/>
              <w:rPr>
                <w:rFonts w:asciiTheme="minorHAnsi" w:hAnsiTheme="minorHAnsi" w:cstheme="minorHAnsi"/>
                <w:sz w:val="18"/>
                <w:szCs w:val="18"/>
              </w:rPr>
            </w:pPr>
            <w:r w:rsidRPr="00F42252">
              <w:rPr>
                <w:rFonts w:asciiTheme="minorHAnsi" w:hAnsiTheme="minorHAnsi" w:cstheme="minorHAnsi"/>
                <w:sz w:val="18"/>
                <w:szCs w:val="18"/>
              </w:rPr>
              <w:t>The proportion of patients seen on time is calculated as:</w:t>
            </w:r>
            <w:r w:rsidRPr="00F42252">
              <w:rPr>
                <w:rFonts w:asciiTheme="minorHAnsi" w:hAnsiTheme="minorHAnsi" w:cstheme="minorHAnsi"/>
                <w:sz w:val="18"/>
                <w:szCs w:val="18"/>
              </w:rPr>
              <w:tab/>
            </w:r>
          </w:p>
          <w:p w:rsidR="00F42252" w:rsidRPr="00F42252" w:rsidRDefault="00F42252" w:rsidP="00E213E3">
            <w:pPr>
              <w:keepNext/>
              <w:keepLines/>
              <w:spacing w:after="40" w:line="220" w:lineRule="atLeast"/>
              <w:ind w:left="6" w:right="113"/>
              <w:jc w:val="both"/>
              <w:rPr>
                <w:rFonts w:asciiTheme="minorHAnsi" w:hAnsiTheme="minorHAnsi" w:cstheme="minorHAnsi"/>
                <w:sz w:val="18"/>
                <w:szCs w:val="18"/>
              </w:rPr>
            </w:pPr>
            <w:r w:rsidRPr="00F42252">
              <w:rPr>
                <w:rFonts w:asciiTheme="minorHAnsi" w:hAnsiTheme="minorHAnsi" w:cstheme="minorHAnsi"/>
                <w:i/>
                <w:sz w:val="18"/>
                <w:szCs w:val="18"/>
              </w:rPr>
              <w:t>Numerator</w:t>
            </w:r>
            <w:r w:rsidRPr="00F42252">
              <w:rPr>
                <w:rFonts w:asciiTheme="minorHAnsi" w:hAnsiTheme="minorHAnsi" w:cstheme="minorHAnsi"/>
                <w:sz w:val="18"/>
                <w:szCs w:val="18"/>
              </w:rPr>
              <w:t>—Number of patients seen within the cut-off point, by triage category.</w:t>
            </w:r>
          </w:p>
          <w:p w:rsidR="00F42252" w:rsidRPr="00F42252" w:rsidRDefault="00F42252" w:rsidP="00E213E3">
            <w:pPr>
              <w:keepNext/>
              <w:keepLines/>
              <w:spacing w:after="40" w:line="220" w:lineRule="atLeast"/>
              <w:ind w:left="6" w:right="113"/>
              <w:jc w:val="both"/>
              <w:rPr>
                <w:rFonts w:asciiTheme="minorHAnsi" w:hAnsiTheme="minorHAnsi" w:cstheme="minorHAnsi"/>
                <w:sz w:val="18"/>
                <w:szCs w:val="18"/>
              </w:rPr>
            </w:pPr>
            <w:r w:rsidRPr="00F42252">
              <w:rPr>
                <w:rFonts w:asciiTheme="minorHAnsi" w:hAnsiTheme="minorHAnsi" w:cstheme="minorHAnsi"/>
                <w:i/>
                <w:sz w:val="18"/>
                <w:szCs w:val="18"/>
              </w:rPr>
              <w:t>Denominator</w:t>
            </w:r>
            <w:r w:rsidRPr="00F42252">
              <w:rPr>
                <w:rFonts w:asciiTheme="minorHAnsi" w:hAnsiTheme="minorHAnsi" w:cstheme="minorHAnsi"/>
                <w:sz w:val="18"/>
                <w:szCs w:val="18"/>
              </w:rPr>
              <w:t>—Number of patients by triage category.</w:t>
            </w:r>
            <w:r w:rsidRPr="00F42252">
              <w:rPr>
                <w:rFonts w:asciiTheme="minorHAnsi" w:hAnsiTheme="minorHAnsi" w:cstheme="minorHAnsi"/>
                <w:sz w:val="18"/>
                <w:szCs w:val="18"/>
              </w:rPr>
              <w:tab/>
            </w:r>
          </w:p>
          <w:p w:rsidR="00F42252" w:rsidRPr="00F42252" w:rsidRDefault="00F42252" w:rsidP="00E213E3">
            <w:pPr>
              <w:keepNext/>
              <w:keepLines/>
              <w:spacing w:after="40" w:line="220" w:lineRule="atLeast"/>
              <w:ind w:left="6" w:right="113"/>
              <w:jc w:val="both"/>
              <w:rPr>
                <w:rFonts w:asciiTheme="minorHAnsi" w:hAnsiTheme="minorHAnsi" w:cstheme="minorHAnsi"/>
                <w:sz w:val="18"/>
                <w:szCs w:val="18"/>
              </w:rPr>
            </w:pPr>
            <w:r w:rsidRPr="00F42252">
              <w:rPr>
                <w:rFonts w:asciiTheme="minorHAnsi" w:hAnsiTheme="minorHAnsi" w:cstheme="minorHAnsi"/>
                <w:sz w:val="18"/>
                <w:szCs w:val="18"/>
              </w:rPr>
              <w:t xml:space="preserve">Inclusions: records with a type of visit of </w:t>
            </w:r>
            <w:r w:rsidRPr="00F42252">
              <w:rPr>
                <w:rFonts w:asciiTheme="minorHAnsi" w:hAnsiTheme="minorHAnsi" w:cstheme="minorHAnsi"/>
                <w:i/>
                <w:sz w:val="18"/>
                <w:szCs w:val="18"/>
              </w:rPr>
              <w:t>Emergency presentation</w:t>
            </w:r>
            <w:r w:rsidRPr="00F42252">
              <w:rPr>
                <w:rFonts w:asciiTheme="minorHAnsi" w:hAnsiTheme="minorHAnsi" w:cstheme="minorHAnsi"/>
                <w:sz w:val="18"/>
                <w:szCs w:val="18"/>
              </w:rPr>
              <w:t xml:space="preserve">. </w:t>
            </w:r>
          </w:p>
          <w:p w:rsidR="00F42252" w:rsidRPr="00F42252" w:rsidRDefault="00F42252" w:rsidP="00E213E3">
            <w:pPr>
              <w:keepNext/>
              <w:keepLines/>
              <w:spacing w:after="40" w:line="220" w:lineRule="atLeast"/>
              <w:ind w:left="6" w:right="113"/>
              <w:jc w:val="both"/>
              <w:rPr>
                <w:rFonts w:asciiTheme="minorHAnsi" w:hAnsiTheme="minorHAnsi" w:cstheme="minorHAnsi"/>
                <w:sz w:val="18"/>
                <w:szCs w:val="18"/>
              </w:rPr>
            </w:pPr>
            <w:r w:rsidRPr="00F42252">
              <w:rPr>
                <w:rFonts w:asciiTheme="minorHAnsi" w:hAnsiTheme="minorHAnsi" w:cstheme="minorHAnsi"/>
                <w:sz w:val="18"/>
                <w:szCs w:val="18"/>
              </w:rPr>
              <w:t>Restricted to hospitals that were classified as either peer group A (Principal referral and Specialist women’s and children’s hospital) or peer group B (Large hospitals).</w:t>
            </w:r>
          </w:p>
          <w:p w:rsidR="0013559B" w:rsidRPr="00F42252" w:rsidRDefault="00F42252" w:rsidP="00E213E3">
            <w:pPr>
              <w:pStyle w:val="TableBodyText"/>
              <w:jc w:val="both"/>
            </w:pPr>
            <w:r w:rsidRPr="00F42252">
              <w:rPr>
                <w:rFonts w:asciiTheme="minorHAnsi" w:hAnsiTheme="minorHAnsi" w:cstheme="minorHAnsi"/>
                <w:szCs w:val="18"/>
                <w:lang w:eastAsia="en-US"/>
              </w:rPr>
              <w:t xml:space="preserve">Exclusions: records with an episode end status of </w:t>
            </w:r>
            <w:r w:rsidRPr="00F42252">
              <w:rPr>
                <w:rFonts w:asciiTheme="minorHAnsi" w:hAnsiTheme="minorHAnsi" w:cstheme="minorHAnsi"/>
                <w:i/>
                <w:szCs w:val="18"/>
                <w:lang w:eastAsia="en-US"/>
              </w:rPr>
              <w:t>Did not wait to be attended by a health care professional</w:t>
            </w:r>
            <w:r w:rsidRPr="00F42252">
              <w:rPr>
                <w:rFonts w:asciiTheme="minorHAnsi" w:hAnsiTheme="minorHAnsi" w:cstheme="minorHAnsi"/>
                <w:szCs w:val="18"/>
                <w:lang w:eastAsia="en-US"/>
              </w:rPr>
              <w:t xml:space="preserve"> or </w:t>
            </w:r>
            <w:r w:rsidRPr="00F42252">
              <w:rPr>
                <w:rFonts w:asciiTheme="minorHAnsi" w:hAnsiTheme="minorHAnsi" w:cstheme="minorHAnsi"/>
                <w:i/>
                <w:szCs w:val="18"/>
                <w:lang w:eastAsia="en-US"/>
              </w:rPr>
              <w:t>Dead on arrival, not treated in emergency department</w:t>
            </w:r>
            <w:r w:rsidRPr="00F42252">
              <w:rPr>
                <w:rFonts w:asciiTheme="minorHAnsi" w:hAnsiTheme="minorHAnsi" w:cstheme="minorHAnsi"/>
                <w:szCs w:val="18"/>
                <w:lang w:eastAsia="en-US"/>
              </w:rPr>
              <w:t>. Records are also excluded if the waiting time was missing or otherwise invalid.</w:t>
            </w:r>
          </w:p>
        </w:tc>
      </w:tr>
      <w:tr w:rsidR="00F42252" w:rsidRPr="00F42252" w:rsidTr="009F4002">
        <w:tc>
          <w:tcPr>
            <w:tcW w:w="1620" w:type="dxa"/>
          </w:tcPr>
          <w:p w:rsidR="0013559B" w:rsidRPr="00F42252" w:rsidRDefault="0013559B" w:rsidP="00E213E3">
            <w:pPr>
              <w:widowControl w:val="0"/>
              <w:spacing w:after="40" w:line="200" w:lineRule="atLeast"/>
              <w:ind w:left="6" w:right="113"/>
              <w:jc w:val="both"/>
              <w:rPr>
                <w:rFonts w:ascii="Arial" w:hAnsi="Arial"/>
                <w:b/>
                <w:sz w:val="18"/>
                <w:szCs w:val="20"/>
              </w:rPr>
            </w:pPr>
            <w:r w:rsidRPr="00F42252">
              <w:rPr>
                <w:rFonts w:ascii="Arial" w:hAnsi="Arial"/>
                <w:b/>
                <w:sz w:val="18"/>
                <w:szCs w:val="20"/>
              </w:rPr>
              <w:t>Data source/s</w:t>
            </w:r>
          </w:p>
        </w:tc>
        <w:tc>
          <w:tcPr>
            <w:tcW w:w="7169" w:type="dxa"/>
          </w:tcPr>
          <w:p w:rsidR="00F42252" w:rsidRPr="00F42252" w:rsidRDefault="00F42252" w:rsidP="00E213E3">
            <w:pPr>
              <w:pStyle w:val="TableBodyText"/>
              <w:jc w:val="both"/>
              <w:rPr>
                <w:rFonts w:asciiTheme="minorHAnsi" w:hAnsiTheme="minorHAnsi" w:cstheme="minorHAnsi"/>
              </w:rPr>
            </w:pPr>
            <w:r w:rsidRPr="00F42252">
              <w:rPr>
                <w:rFonts w:asciiTheme="minorHAnsi" w:hAnsiTheme="minorHAnsi" w:cstheme="minorHAnsi"/>
              </w:rPr>
              <w:t xml:space="preserve">This indicator is calculated using data from the AIHW’s NNAPEDCD, based on the National Minimum Data Set (NMDS) for Non-admitted patient emergency department care (NAPEDC). </w:t>
            </w:r>
          </w:p>
          <w:p w:rsidR="00F42252" w:rsidRPr="00F42252" w:rsidRDefault="00F42252" w:rsidP="00E213E3">
            <w:pPr>
              <w:pStyle w:val="TableBodyText"/>
              <w:jc w:val="both"/>
              <w:rPr>
                <w:rFonts w:asciiTheme="minorHAnsi" w:hAnsiTheme="minorHAnsi" w:cstheme="minorHAnsi"/>
              </w:rPr>
            </w:pPr>
            <w:r w:rsidRPr="00F42252">
              <w:rPr>
                <w:rFonts w:asciiTheme="minorHAnsi" w:hAnsiTheme="minorHAnsi" w:cstheme="minorHAnsi"/>
                <w:u w:val="single"/>
              </w:rPr>
              <w:t>For data by socioeconomic status</w:t>
            </w:r>
            <w:r w:rsidRPr="00F42252">
              <w:rPr>
                <w:rFonts w:asciiTheme="minorHAnsi" w:hAnsiTheme="minorHAnsi" w:cstheme="minorHAnsi"/>
              </w:rPr>
              <w:t>: calculated by AIHW using the Australian Bureau of Statistics (ABS) Socio-Economic Indexes For Areas (SEIFA), Index of Relative Socio-Economic Disadvantage (IRSD) 2011 and Estimated Resident Population (ERP) by Statistical Area level 2 (SA2) as at 30 June 2012 (2012–13) or 30 June 2013 (2013–14). Each SA2 in Australia is ranked and divided into quintiles and deciles in a population-based manner, such that each quintile has approximately 20 per cent of the population and each decile has approximately 10 per cent of the population.</w:t>
            </w:r>
          </w:p>
          <w:p w:rsidR="0013559B" w:rsidRPr="00F42252" w:rsidRDefault="00F42252" w:rsidP="00E213E3">
            <w:pPr>
              <w:pStyle w:val="TableBodyText"/>
              <w:jc w:val="both"/>
            </w:pPr>
            <w:r w:rsidRPr="00F42252">
              <w:rPr>
                <w:rFonts w:asciiTheme="minorHAnsi" w:hAnsiTheme="minorHAnsi" w:cstheme="minorHAnsi"/>
                <w:u w:val="single"/>
              </w:rPr>
              <w:t>For data by remoteness</w:t>
            </w:r>
            <w:r w:rsidRPr="00F42252">
              <w:rPr>
                <w:rFonts w:asciiTheme="minorHAnsi" w:hAnsiTheme="minorHAnsi" w:cstheme="minorHAnsi"/>
              </w:rPr>
              <w:t>: ABS ERP as at 30 June 2011 (2011–12) or 30 June 2012 (2012–13), by remoteness areas, as specified in the Australian Statistical Geography Standard.</w:t>
            </w:r>
          </w:p>
        </w:tc>
      </w:tr>
      <w:tr w:rsidR="00F42252" w:rsidRPr="00F42252" w:rsidTr="009F4002">
        <w:tc>
          <w:tcPr>
            <w:tcW w:w="8789" w:type="dxa"/>
            <w:gridSpan w:val="2"/>
            <w:vAlign w:val="bottom"/>
          </w:tcPr>
          <w:p w:rsidR="0013559B" w:rsidRPr="00F42252" w:rsidRDefault="0013559B" w:rsidP="003846CE">
            <w:pPr>
              <w:widowControl w:val="0"/>
              <w:spacing w:after="40" w:line="200" w:lineRule="atLeast"/>
              <w:ind w:left="6" w:right="113"/>
              <w:jc w:val="both"/>
              <w:rPr>
                <w:rFonts w:ascii="Arial" w:hAnsi="Arial"/>
                <w:b/>
                <w:sz w:val="18"/>
                <w:szCs w:val="20"/>
              </w:rPr>
            </w:pPr>
          </w:p>
          <w:p w:rsidR="0013559B" w:rsidRPr="00F42252" w:rsidRDefault="0013559B" w:rsidP="003846CE">
            <w:pPr>
              <w:widowControl w:val="0"/>
              <w:spacing w:after="40" w:line="200" w:lineRule="atLeast"/>
              <w:ind w:left="6" w:right="113"/>
              <w:jc w:val="both"/>
              <w:rPr>
                <w:rFonts w:ascii="Arial" w:hAnsi="Arial"/>
                <w:b/>
                <w:sz w:val="18"/>
                <w:szCs w:val="20"/>
                <w:u w:val="single"/>
              </w:rPr>
            </w:pPr>
            <w:r w:rsidRPr="00F42252">
              <w:rPr>
                <w:rFonts w:ascii="Arial" w:hAnsi="Arial"/>
                <w:b/>
                <w:sz w:val="18"/>
                <w:szCs w:val="20"/>
                <w:u w:val="single"/>
              </w:rPr>
              <w:t>Data Quality Framework Dimensions</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t>Institutional environment</w:t>
            </w:r>
          </w:p>
        </w:tc>
        <w:tc>
          <w:tcPr>
            <w:tcW w:w="7169" w:type="dxa"/>
            <w:shd w:val="clear" w:color="auto" w:fill="auto"/>
          </w:tcPr>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Australian Institute of Health and Welfare (AIHW) is a major national agency set up by the Australian Government under the </w:t>
            </w:r>
            <w:r w:rsidRPr="00F42252">
              <w:rPr>
                <w:rFonts w:asciiTheme="minorHAnsi" w:hAnsiTheme="minorHAnsi" w:cstheme="minorHAnsi"/>
                <w:i/>
                <w:sz w:val="18"/>
                <w:szCs w:val="18"/>
              </w:rPr>
              <w:t>Australian Institute of Health and Welfare Act 1987</w:t>
            </w:r>
            <w:r w:rsidRPr="00F42252">
              <w:rPr>
                <w:rFonts w:asciiTheme="minorHAnsi" w:hAnsiTheme="minorHAnsi" w:cstheme="minorHAnsi"/>
                <w:sz w:val="18"/>
                <w:szCs w:val="18"/>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Institute also plays a role in developing and maintaining national metadata </w:t>
            </w:r>
            <w:r w:rsidRPr="00F42252">
              <w:rPr>
                <w:rFonts w:asciiTheme="minorHAnsi" w:hAnsiTheme="minorHAnsi" w:cstheme="minorHAnsi"/>
                <w:sz w:val="18"/>
                <w:szCs w:val="18"/>
              </w:rPr>
              <w:lastRenderedPageBreak/>
              <w:t>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w:t>
            </w:r>
            <w:r w:rsidRPr="00F42252">
              <w:rPr>
                <w:rFonts w:asciiTheme="minorHAnsi" w:hAnsiTheme="minorHAnsi" w:cstheme="minorHAnsi"/>
                <w:i/>
                <w:sz w:val="18"/>
                <w:szCs w:val="18"/>
              </w:rPr>
              <w:t>Australian Institute of Health and Welfare Act 1987</w:t>
            </w:r>
            <w:r w:rsidRPr="00F42252">
              <w:rPr>
                <w:rFonts w:asciiTheme="minorHAnsi" w:hAnsiTheme="minorHAnsi" w:cstheme="minorHAnsi"/>
                <w:sz w:val="18"/>
                <w:szCs w:val="18"/>
              </w:rPr>
              <w:t xml:space="preserve">, in conjunction with compliance to the </w:t>
            </w:r>
            <w:r w:rsidRPr="00F42252">
              <w:rPr>
                <w:rFonts w:asciiTheme="minorHAnsi" w:hAnsiTheme="minorHAnsi" w:cstheme="minorHAnsi"/>
                <w:i/>
                <w:sz w:val="18"/>
                <w:szCs w:val="18"/>
              </w:rPr>
              <w:t>Privacy Act 1988 (Commonwealth),</w:t>
            </w:r>
            <w:r w:rsidRPr="00F42252">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For further information see the AIHW website </w:t>
            </w:r>
            <w:r w:rsidRPr="001E5CC7">
              <w:rPr>
                <w:rFonts w:asciiTheme="minorHAnsi" w:hAnsiTheme="minorHAnsi" w:cstheme="minorHAnsi"/>
                <w:sz w:val="18"/>
                <w:szCs w:val="18"/>
              </w:rPr>
              <w:t>www.aihw.gov.au</w:t>
            </w:r>
            <w:r w:rsidRPr="00F42252">
              <w:rPr>
                <w:rFonts w:asciiTheme="minorHAnsi" w:hAnsiTheme="minorHAnsi" w:cstheme="minorHAnsi"/>
                <w:sz w:val="18"/>
                <w:szCs w:val="18"/>
              </w:rPr>
              <w:t>.</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Data for the NNAPEDCD were supplied to the AIHW by state and territory health authorities under the terms of the National Health Information Agreement (see the following links):</w:t>
            </w:r>
          </w:p>
          <w:p w:rsidR="00F42252" w:rsidRPr="00F42252" w:rsidRDefault="00F42252" w:rsidP="00F42252">
            <w:pPr>
              <w:jc w:val="both"/>
              <w:rPr>
                <w:rFonts w:asciiTheme="minorHAnsi" w:hAnsiTheme="minorHAnsi" w:cstheme="minorHAnsi"/>
                <w:sz w:val="18"/>
                <w:szCs w:val="18"/>
              </w:rPr>
            </w:pPr>
            <w:r w:rsidRPr="001E5CC7">
              <w:rPr>
                <w:rFonts w:asciiTheme="minorHAnsi" w:hAnsiTheme="minorHAnsi" w:cstheme="minorHAnsi"/>
                <w:sz w:val="18"/>
                <w:szCs w:val="18"/>
              </w:rPr>
              <w:t>http://www.aihw.gov.au/nhissc/</w:t>
            </w:r>
            <w:r w:rsidRPr="00F42252">
              <w:rPr>
                <w:rFonts w:asciiTheme="minorHAnsi" w:hAnsiTheme="minorHAnsi" w:cstheme="minorHAnsi"/>
                <w:sz w:val="18"/>
                <w:szCs w:val="18"/>
              </w:rPr>
              <w:t xml:space="preserve"> </w:t>
            </w:r>
          </w:p>
          <w:p w:rsidR="00F42252" w:rsidRPr="00F42252" w:rsidRDefault="00F42252" w:rsidP="00F42252">
            <w:pPr>
              <w:jc w:val="both"/>
              <w:rPr>
                <w:rFonts w:asciiTheme="minorHAnsi" w:hAnsiTheme="minorHAnsi" w:cstheme="minorHAnsi"/>
                <w:sz w:val="18"/>
                <w:szCs w:val="18"/>
              </w:rPr>
            </w:pPr>
            <w:r w:rsidRPr="001E5CC7">
              <w:rPr>
                <w:rFonts w:asciiTheme="minorHAnsi" w:hAnsiTheme="minorHAnsi" w:cstheme="minorHAnsi"/>
                <w:sz w:val="18"/>
                <w:szCs w:val="18"/>
              </w:rPr>
              <w:t>http://meteor.aihw.gov.au/content/index.phtml/itemId/182135</w:t>
            </w:r>
            <w:r w:rsidRPr="00F42252">
              <w:rPr>
                <w:rFonts w:asciiTheme="minorHAnsi" w:hAnsiTheme="minorHAnsi" w:cstheme="minorHAnsi"/>
                <w:sz w:val="18"/>
                <w:szCs w:val="18"/>
              </w:rPr>
              <w:t xml:space="preserve">  </w:t>
            </w:r>
          </w:p>
          <w:p w:rsidR="0013559B" w:rsidRPr="00F42252" w:rsidRDefault="00F42252" w:rsidP="00F42252">
            <w:pPr>
              <w:keepNext/>
              <w:keepLines/>
              <w:spacing w:after="40" w:line="220" w:lineRule="atLeast"/>
              <w:ind w:left="6" w:right="113"/>
              <w:jc w:val="both"/>
            </w:pPr>
            <w:r w:rsidRPr="00F42252">
              <w:rPr>
                <w:rFonts w:asciiTheme="minorHAnsi" w:hAnsiTheme="minorHAnsi" w:cstheme="minorHAnsi"/>
                <w:sz w:val="18"/>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lastRenderedPageBreak/>
              <w:t>Relevance</w:t>
            </w:r>
          </w:p>
        </w:tc>
        <w:tc>
          <w:tcPr>
            <w:tcW w:w="7169" w:type="dxa"/>
            <w:shd w:val="clear" w:color="auto" w:fill="auto"/>
          </w:tcPr>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purpose of the NNAPEDCD is to collect information on the characteristics of emergency department care (including waiting times for care) for non-admitted patients registered for care in emergency departments in selected public hospitals classified as either </w:t>
            </w:r>
            <w:r w:rsidRPr="00F42252">
              <w:rPr>
                <w:rFonts w:asciiTheme="minorHAnsi" w:hAnsiTheme="minorHAnsi" w:cstheme="minorHAnsi"/>
                <w:i/>
                <w:sz w:val="18"/>
                <w:szCs w:val="18"/>
              </w:rPr>
              <w:t>Principal referral and Specialist women’s and children’s hospitals</w:t>
            </w:r>
            <w:r w:rsidRPr="00F42252">
              <w:rPr>
                <w:rFonts w:asciiTheme="minorHAnsi" w:hAnsiTheme="minorHAnsi" w:cstheme="minorHAnsi"/>
                <w:sz w:val="18"/>
                <w:szCs w:val="18"/>
              </w:rPr>
              <w:t xml:space="preserve"> (peer group A) or </w:t>
            </w:r>
            <w:r w:rsidRPr="00F42252">
              <w:rPr>
                <w:rFonts w:asciiTheme="minorHAnsi" w:hAnsiTheme="minorHAnsi" w:cstheme="minorHAnsi"/>
                <w:i/>
                <w:sz w:val="18"/>
                <w:szCs w:val="18"/>
              </w:rPr>
              <w:t>Large hospitals</w:t>
            </w:r>
            <w:r w:rsidRPr="00F42252">
              <w:rPr>
                <w:rFonts w:asciiTheme="minorHAnsi" w:hAnsiTheme="minorHAnsi" w:cstheme="minorHAnsi"/>
                <w:sz w:val="18"/>
                <w:szCs w:val="18"/>
              </w:rPr>
              <w:t xml:space="preserve"> (peer group B). </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In 2013–14, hospitals in peer groups A and B provided about 80 per cent of all public hospital emergency presentations.</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The data presented here are not necessarily representative of the hospitals not included in the NNAPEDCD. Hospitals not included do not necessarily have emergency departments that are equivalent to those in hospitals in peer groups A and B.</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The analyses by remoteness and socioeconomic status are based on the Statistical Area level 2 (SA2) of usual residence of the patient. However, data are reported by jurisdiction of presentation, regardless of the jurisdiction of usual residence. Hence, data represent the proportion of patients living in each remoteness area or Socio-Economic Indexes for Areas (SEIFA) population group (regardless of their jurisdiction of residence) seen within the benchmark time in the reporting jurisdiction. This is relevant if significant numbers of one jurisdiction’s residents are treated in another jurisdiction.</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For 2012–13 and 2013–14, the SEIFA scores for each SA2 are derived from 2011 Census data and represent the attributes of the population in that SA2 in 2011. </w:t>
            </w:r>
          </w:p>
          <w:p w:rsidR="0013559B" w:rsidRPr="00F42252" w:rsidRDefault="00F42252" w:rsidP="00F42252">
            <w:pPr>
              <w:pStyle w:val="TableBodyText"/>
              <w:keepNext w:val="0"/>
              <w:keepLines w:val="0"/>
              <w:widowControl w:val="0"/>
              <w:jc w:val="both"/>
            </w:pPr>
            <w:r w:rsidRPr="00F42252">
              <w:rPr>
                <w:rFonts w:asciiTheme="minorHAnsi" w:hAnsiTheme="minorHAnsi" w:cstheme="minorHAnsi"/>
                <w:szCs w:val="18"/>
              </w:rPr>
              <w:t>Other Australians includes separations for non-Indigenous people and those for whom Indigenous status was not stated.</w:t>
            </w:r>
          </w:p>
        </w:tc>
      </w:tr>
      <w:tr w:rsidR="00F42252" w:rsidRPr="00F42252" w:rsidTr="009F4002">
        <w:tc>
          <w:tcPr>
            <w:tcW w:w="1620" w:type="dxa"/>
          </w:tcPr>
          <w:p w:rsidR="0013559B" w:rsidRPr="00F42252" w:rsidRDefault="0013559B" w:rsidP="00B04C80">
            <w:pPr>
              <w:widowControl w:val="0"/>
              <w:spacing w:after="40" w:line="200" w:lineRule="atLeast"/>
              <w:ind w:left="6" w:right="113"/>
              <w:jc w:val="both"/>
              <w:rPr>
                <w:rFonts w:ascii="Arial" w:hAnsi="Arial"/>
                <w:b/>
                <w:sz w:val="18"/>
                <w:szCs w:val="20"/>
              </w:rPr>
            </w:pPr>
            <w:r w:rsidRPr="00F42252">
              <w:rPr>
                <w:rFonts w:ascii="Arial" w:hAnsi="Arial"/>
                <w:b/>
                <w:sz w:val="18"/>
                <w:szCs w:val="20"/>
              </w:rPr>
              <w:t>Timeliness</w:t>
            </w:r>
          </w:p>
        </w:tc>
        <w:tc>
          <w:tcPr>
            <w:tcW w:w="7169" w:type="dxa"/>
          </w:tcPr>
          <w:p w:rsidR="0013559B" w:rsidRPr="00F42252" w:rsidRDefault="00F42252" w:rsidP="00B04C80">
            <w:pPr>
              <w:pStyle w:val="TableBodyText"/>
              <w:keepNext w:val="0"/>
              <w:keepLines w:val="0"/>
              <w:widowControl w:val="0"/>
              <w:jc w:val="both"/>
            </w:pPr>
            <w:r w:rsidRPr="00F42252">
              <w:t>The reference period for these data is 2012–13 and 2013–14.</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t>Accuracy</w:t>
            </w:r>
          </w:p>
        </w:tc>
        <w:tc>
          <w:tcPr>
            <w:tcW w:w="7169" w:type="dxa"/>
          </w:tcPr>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For 2012–13, the coverage of the NNAPEDCD was 100 per cent in all jurisdictions for public hospitals in peer groups A and B. For 2013–14, the preliminary estimate of the proportion of emergency occasions of service reported to the NNAPEDCD was 100</w:t>
            </w:r>
            <w:r w:rsidR="0082746E">
              <w:rPr>
                <w:rFonts w:asciiTheme="minorHAnsi" w:hAnsiTheme="minorHAnsi" w:cstheme="minorHAnsi"/>
                <w:sz w:val="18"/>
                <w:szCs w:val="18"/>
              </w:rPr>
              <w:t xml:space="preserve"> per cent</w:t>
            </w:r>
            <w:r w:rsidRPr="00F42252">
              <w:rPr>
                <w:rFonts w:asciiTheme="minorHAnsi" w:hAnsiTheme="minorHAnsi" w:cstheme="minorHAnsi"/>
                <w:sz w:val="18"/>
                <w:szCs w:val="18"/>
              </w:rPr>
              <w:t xml:space="preserve"> for public hospitals in peer groups A and B.</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In the baseline year (2007–08),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w:t>
            </w:r>
            <w:r w:rsidRPr="00F42252">
              <w:rPr>
                <w:rFonts w:asciiTheme="minorHAnsi" w:hAnsiTheme="minorHAnsi" w:cstheme="minorHAnsi"/>
                <w:sz w:val="18"/>
                <w:szCs w:val="18"/>
              </w:rPr>
              <w:lastRenderedPageBreak/>
              <w:t>across two hospitals. For National Healthcare Agreement purposes, although it is a Peer Group C hospital, the Mersey Community Hospital continues to be included in reporting for Peer Group B hospitals to ensure comparability over time for Tasmania.</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From 2009–10, the data for the Albury Base Hospital (previously reported in </w:t>
            </w:r>
            <w:r w:rsidR="00E8429E">
              <w:rPr>
                <w:rFonts w:asciiTheme="minorHAnsi" w:hAnsiTheme="minorHAnsi" w:cstheme="minorHAnsi"/>
                <w:sz w:val="18"/>
                <w:szCs w:val="18"/>
              </w:rPr>
              <w:t xml:space="preserve">NSW </w:t>
            </w:r>
            <w:r w:rsidRPr="00F42252">
              <w:rPr>
                <w:rFonts w:asciiTheme="minorHAnsi" w:hAnsiTheme="minorHAnsi" w:cstheme="minorHAnsi"/>
                <w:sz w:val="18"/>
                <w:szCs w:val="18"/>
              </w:rPr>
              <w:t xml:space="preserve">hospital statistics) was reported in Victorian hospital statistics. This change in reporting arrangements should be factored into any analysis of data for </w:t>
            </w:r>
            <w:r w:rsidR="00E8429E">
              <w:rPr>
                <w:rFonts w:asciiTheme="minorHAnsi" w:hAnsiTheme="minorHAnsi" w:cstheme="minorHAnsi"/>
                <w:sz w:val="18"/>
                <w:szCs w:val="18"/>
              </w:rPr>
              <w:t xml:space="preserve">NSW </w:t>
            </w:r>
            <w:r w:rsidRPr="00F42252">
              <w:rPr>
                <w:rFonts w:asciiTheme="minorHAnsi" w:hAnsiTheme="minorHAnsi" w:cstheme="minorHAnsi"/>
                <w:sz w:val="18"/>
                <w:szCs w:val="18"/>
              </w:rPr>
              <w:t>and Victoria.</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(including waiting time outliers) are queried with jurisdictions, and corrections and resubmissions may be made in response to these queries. The AIHW does not adjust data to account for possible data errors or missing or incorrect values.</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quality of Indigenous status data in the NNAPEDCD has not been formally assessed for completeness; therefore caution should be exercised when interpreting these data. </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As this indicator is limited to public hospitals classified in peer groups A and B, most of the data relates to hospitals within major cities. Consequently, the data may not cover areas where the proportion of </w:t>
            </w:r>
            <w:r w:rsidR="006B0096" w:rsidRPr="006B0096">
              <w:rPr>
                <w:rFonts w:asciiTheme="minorHAnsi" w:hAnsiTheme="minorHAnsi" w:cstheme="minorHAnsi"/>
                <w:sz w:val="18"/>
                <w:szCs w:val="18"/>
              </w:rPr>
              <w:t xml:space="preserve">Aboriginal and Torres Strait Islander </w:t>
            </w:r>
            <w:r w:rsidRPr="00F42252">
              <w:rPr>
                <w:rFonts w:asciiTheme="minorHAnsi" w:hAnsiTheme="minorHAnsi" w:cstheme="minorHAnsi"/>
                <w:sz w:val="18"/>
                <w:szCs w:val="18"/>
              </w:rPr>
              <w:t xml:space="preserve">Australians (compared with other Australians) is higher than average. Similarly, disaggregation by socioeconomic status and remoteness should be interpreted with caution. </w:t>
            </w:r>
          </w:p>
          <w:p w:rsidR="0013559B" w:rsidRPr="00F42252" w:rsidRDefault="00F42252" w:rsidP="00F42252">
            <w:pPr>
              <w:pStyle w:val="TableBodyText"/>
              <w:keepNext w:val="0"/>
              <w:keepLines w:val="0"/>
              <w:widowControl w:val="0"/>
              <w:jc w:val="both"/>
            </w:pPr>
            <w:r w:rsidRPr="00F42252">
              <w:rPr>
                <w:rFonts w:asciiTheme="minorHAnsi" w:hAnsiTheme="minorHAnsi" w:cstheme="minorHAnsi"/>
                <w:szCs w:val="18"/>
              </w:rPr>
              <w:t>Comparability across jurisdictions may be impacted by variation in the assignment of triage categories.</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lastRenderedPageBreak/>
              <w:t>Coherence</w:t>
            </w:r>
          </w:p>
        </w:tc>
        <w:tc>
          <w:tcPr>
            <w:tcW w:w="7169" w:type="dxa"/>
          </w:tcPr>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The data reported for 2012–13 and 2013–14 are consistent with data reported for the NNAPEDCD for previous years for individual hospitals.</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In addition, the data reported to the NNAPEDCD in previous years has been consistent with the numbers of emergency occasions of services reported to the National Hospital Establishments Database (NPHED) for each hospital for the same reference year.</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Time series presentations may be affected by changes in the number of hospitals reported to the collection and changes in coverage.</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information presented for this indicator are calculated using the same methodology as data published in </w:t>
            </w:r>
            <w:r w:rsidRPr="00F42252">
              <w:rPr>
                <w:rFonts w:asciiTheme="minorHAnsi" w:hAnsiTheme="minorHAnsi" w:cstheme="minorHAnsi"/>
                <w:i/>
                <w:sz w:val="18"/>
                <w:szCs w:val="18"/>
              </w:rPr>
              <w:t>Australian hospital statistics: emergency department care</w:t>
            </w:r>
            <w:r w:rsidRPr="00F42252">
              <w:rPr>
                <w:rFonts w:asciiTheme="minorHAnsi" w:hAnsiTheme="minorHAnsi" w:cstheme="minorHAnsi"/>
                <w:sz w:val="18"/>
                <w:szCs w:val="18"/>
              </w:rPr>
              <w:t xml:space="preserve"> (report series) and the </w:t>
            </w:r>
            <w:r w:rsidRPr="00F42252">
              <w:rPr>
                <w:rFonts w:asciiTheme="minorHAnsi" w:hAnsiTheme="minorHAnsi" w:cstheme="minorHAnsi"/>
                <w:i/>
                <w:sz w:val="18"/>
                <w:szCs w:val="18"/>
              </w:rPr>
              <w:t>National Healthcare Agreement: performance report 2012–13.</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However, 2012–13 data reported previously in these publications are different from the equivalent data published here because the hospitals classified as peer groups A and B were based on 2011–12, rather than 2012–13 peer groups.</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Caution should be used in comparing data across reference years, as the number of hospitals classified as peer group A or B, or the peer group of a hospital, may vary over time. </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In 2011, the ABS updated the standard geography used in Australia for most data collections from the Australian Standard Geographical Classification (ASGC) to the Australian Statistical Geography Standard (ASGS). Also updated at this time were remoteness areas and the Socio-Economic Indices for Areas (SEIFA), based on the 2011 ABS Census of Population and Housing. The new remoteness areas will be referred to as RA 2011, and the previous remoteness areas as RA 2006. The new SEIFA will be referred to as SEIFA 2011, and the previous SEIFA as SEIFA 2006.</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Data for 2007–08 through to 2011–12 reported by remoteness are reported for RA 2006.  Data for 2012–13 and 2013–14 are reported for RA 2011.  The AIHW considers the change from RA 2006 to RA 2011 to be a series break when applied to data supplied for this indicator, therefore remoteness data for 2011–12 and previous years are not directly comparable to remoteness data for 2012–13 and subsequent years.</w:t>
            </w:r>
          </w:p>
          <w:p w:rsidR="0013559B" w:rsidRPr="00F42252" w:rsidRDefault="00F42252" w:rsidP="00F42252">
            <w:pPr>
              <w:pStyle w:val="TableBodyText"/>
              <w:keepNext w:val="0"/>
              <w:keepLines w:val="0"/>
              <w:widowControl w:val="0"/>
              <w:jc w:val="both"/>
            </w:pPr>
            <w:r w:rsidRPr="00F42252">
              <w:rPr>
                <w:rFonts w:asciiTheme="minorHAnsi" w:hAnsiTheme="minorHAnsi" w:cstheme="minorHAnsi"/>
                <w:szCs w:val="18"/>
              </w:rPr>
              <w:t xml:space="preserve">Data for 2007–08 through to 2010–11 reported for SEIFA quintiles and deciles are </w:t>
            </w:r>
            <w:r w:rsidRPr="00F42252">
              <w:rPr>
                <w:rFonts w:asciiTheme="minorHAnsi" w:hAnsiTheme="minorHAnsi" w:cstheme="minorHAnsi"/>
                <w:szCs w:val="18"/>
              </w:rPr>
              <w:lastRenderedPageBreak/>
              <w:t>reported using SEIFA 2006 at the Statistical Local Area (SLA) level.  Data for 2011–12 are reported using SEIFA 2011 at the SLA level.  Data for 2012–13 and 2013–14 are reported using SEIFA 2011 at the Statistical Area level 2 (SA2). The AIHW considers the change from SEIFA 2006 to SEIFA 2011, and the change from SLA to SA2 to be series breaks when applied to data supplied for this indicator.  Therefore, SEIFA data for 2010–11 and previous years are not directly comparable with SEIFA data for 2011–12, and SEIFA data for 2011–12 and previous years are not directly comparable with SEIFA data for 2012–13 and subsequent years.</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lastRenderedPageBreak/>
              <w:t>Accessibility</w:t>
            </w:r>
          </w:p>
        </w:tc>
        <w:tc>
          <w:tcPr>
            <w:tcW w:w="7169" w:type="dxa"/>
          </w:tcPr>
          <w:p w:rsidR="0013559B" w:rsidRPr="00F42252" w:rsidRDefault="00F42252" w:rsidP="00F42252">
            <w:pPr>
              <w:pStyle w:val="TableBodyText"/>
              <w:keepNext w:val="0"/>
              <w:keepLines w:val="0"/>
              <w:widowControl w:val="0"/>
              <w:jc w:val="both"/>
              <w:rPr>
                <w:rFonts w:asciiTheme="minorHAnsi" w:hAnsiTheme="minorHAnsi" w:cstheme="minorHAnsi"/>
                <w:szCs w:val="18"/>
              </w:rPr>
            </w:pPr>
            <w:r w:rsidRPr="00F42252">
              <w:rPr>
                <w:rFonts w:asciiTheme="minorHAnsi" w:hAnsiTheme="minorHAnsi" w:cstheme="minorHAnsi"/>
                <w:szCs w:val="18"/>
              </w:rPr>
              <w:t xml:space="preserve">The AIHW provides a variety of products that draw upon the NNAPEDCD. Published products available on the AIHW website are: </w:t>
            </w:r>
            <w:r w:rsidRPr="00F42252">
              <w:rPr>
                <w:rFonts w:asciiTheme="minorHAnsi" w:hAnsiTheme="minorHAnsi" w:cstheme="minorHAnsi"/>
                <w:i/>
                <w:szCs w:val="18"/>
              </w:rPr>
              <w:t>Australian hospital statistics</w:t>
            </w:r>
            <w:r w:rsidRPr="00F42252">
              <w:rPr>
                <w:rFonts w:asciiTheme="minorHAnsi" w:hAnsiTheme="minorHAnsi" w:cstheme="minorHAnsi"/>
                <w:szCs w:val="18"/>
              </w:rPr>
              <w:t xml:space="preserve"> suite of products with associated Excel tables. These products may be accessed on the AIHW website at: </w:t>
            </w:r>
            <w:r w:rsidRPr="001E5CC7">
              <w:rPr>
                <w:rFonts w:asciiTheme="minorHAnsi" w:hAnsiTheme="minorHAnsi" w:cstheme="minorHAnsi"/>
                <w:szCs w:val="18"/>
              </w:rPr>
              <w:t>http://www.aihw.gov.au/hospitals/</w:t>
            </w:r>
            <w:r w:rsidRPr="00F42252">
              <w:rPr>
                <w:rFonts w:asciiTheme="minorHAnsi" w:hAnsiTheme="minorHAnsi" w:cstheme="minorHAnsi"/>
                <w:szCs w:val="18"/>
              </w:rPr>
              <w:t>.</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t>Interpretability</w:t>
            </w:r>
          </w:p>
        </w:tc>
        <w:tc>
          <w:tcPr>
            <w:tcW w:w="7169" w:type="dxa"/>
          </w:tcPr>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Metadata information for the Non-Admitted Patient Emergency Department Care (NAPEDC) National Minimum Data Set (NMDS) is published in the AIHW’s online metadata repository, METeOR, and the </w:t>
            </w:r>
            <w:r w:rsidRPr="00F42252">
              <w:rPr>
                <w:rFonts w:asciiTheme="minorHAnsi" w:hAnsiTheme="minorHAnsi" w:cstheme="minorHAnsi"/>
                <w:i/>
                <w:sz w:val="18"/>
                <w:szCs w:val="18"/>
              </w:rPr>
              <w:t>National health data dictionary</w:t>
            </w:r>
            <w:r w:rsidRPr="00F42252">
              <w:rPr>
                <w:rFonts w:asciiTheme="minorHAnsi" w:hAnsiTheme="minorHAnsi" w:cstheme="minorHAnsi"/>
                <w:sz w:val="18"/>
                <w:szCs w:val="18"/>
              </w:rPr>
              <w:t>.</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 xml:space="preserve">The </w:t>
            </w:r>
            <w:r w:rsidRPr="00F42252">
              <w:rPr>
                <w:rFonts w:asciiTheme="minorHAnsi" w:hAnsiTheme="minorHAnsi" w:cstheme="minorHAnsi"/>
                <w:i/>
                <w:sz w:val="18"/>
                <w:szCs w:val="18"/>
              </w:rPr>
              <w:t>National health data dictionary</w:t>
            </w:r>
            <w:r w:rsidRPr="00F42252">
              <w:rPr>
                <w:rFonts w:asciiTheme="minorHAnsi" w:hAnsiTheme="minorHAnsi" w:cstheme="minorHAnsi"/>
                <w:sz w:val="18"/>
                <w:szCs w:val="18"/>
              </w:rPr>
              <w:t xml:space="preserve"> can be accessed online at:</w:t>
            </w:r>
          </w:p>
          <w:p w:rsidR="00F42252" w:rsidRPr="00F42252" w:rsidRDefault="00F42252" w:rsidP="00F42252">
            <w:pPr>
              <w:jc w:val="both"/>
              <w:rPr>
                <w:rFonts w:asciiTheme="minorHAnsi" w:hAnsiTheme="minorHAnsi" w:cstheme="minorHAnsi"/>
                <w:sz w:val="18"/>
                <w:szCs w:val="18"/>
              </w:rPr>
            </w:pPr>
            <w:r w:rsidRPr="001E5CC7">
              <w:rPr>
                <w:rFonts w:asciiTheme="minorHAnsi" w:hAnsiTheme="minorHAnsi" w:cstheme="minorHAnsi"/>
                <w:sz w:val="18"/>
                <w:szCs w:val="18"/>
              </w:rPr>
              <w:t>http://www.aihw.gov.au/publication-detail/?id=10737422826</w:t>
            </w:r>
            <w:r w:rsidRPr="00F42252">
              <w:rPr>
                <w:rFonts w:asciiTheme="minorHAnsi" w:hAnsiTheme="minorHAnsi" w:cstheme="minorHAnsi"/>
                <w:sz w:val="18"/>
                <w:szCs w:val="18"/>
              </w:rPr>
              <w:t xml:space="preserve"> </w:t>
            </w:r>
          </w:p>
          <w:p w:rsidR="00F42252" w:rsidRPr="00F42252" w:rsidRDefault="00F42252" w:rsidP="00F42252">
            <w:pPr>
              <w:jc w:val="both"/>
              <w:rPr>
                <w:rFonts w:asciiTheme="minorHAnsi" w:hAnsiTheme="minorHAnsi" w:cstheme="minorHAnsi"/>
                <w:sz w:val="18"/>
                <w:szCs w:val="18"/>
              </w:rPr>
            </w:pPr>
            <w:r w:rsidRPr="00F42252">
              <w:rPr>
                <w:rFonts w:asciiTheme="minorHAnsi" w:hAnsiTheme="minorHAnsi" w:cstheme="minorHAnsi"/>
                <w:sz w:val="18"/>
                <w:szCs w:val="18"/>
              </w:rPr>
              <w:t>The Data Quality Statement for the 2012–13 NNAPEDCD can be accessed on the AIHW website at:</w:t>
            </w:r>
          </w:p>
          <w:p w:rsidR="0013559B" w:rsidRPr="00F42252" w:rsidRDefault="00F42252" w:rsidP="00F42252">
            <w:pPr>
              <w:pStyle w:val="TableBodyText"/>
              <w:keepNext w:val="0"/>
              <w:keepLines w:val="0"/>
              <w:widowControl w:val="0"/>
              <w:jc w:val="both"/>
              <w:rPr>
                <w:rFonts w:asciiTheme="minorHAnsi" w:hAnsiTheme="minorHAnsi" w:cstheme="minorHAnsi"/>
                <w:szCs w:val="18"/>
              </w:rPr>
            </w:pPr>
            <w:r w:rsidRPr="001E5CC7">
              <w:rPr>
                <w:rFonts w:asciiTheme="minorHAnsi" w:hAnsiTheme="minorHAnsi" w:cstheme="minorHAnsi"/>
                <w:szCs w:val="18"/>
              </w:rPr>
              <w:t>http://meteor.aihw.gov.au/content/index.phtml/itemId/546749</w:t>
            </w:r>
            <w:r w:rsidRPr="00F42252">
              <w:rPr>
                <w:rFonts w:asciiTheme="minorHAnsi" w:hAnsiTheme="minorHAnsi" w:cstheme="minorHAnsi"/>
                <w:szCs w:val="18"/>
              </w:rPr>
              <w:t xml:space="preserve">  </w:t>
            </w:r>
          </w:p>
        </w:tc>
      </w:tr>
      <w:tr w:rsidR="003A7941" w:rsidRPr="00E213E3" w:rsidTr="009F4002">
        <w:tc>
          <w:tcPr>
            <w:tcW w:w="8789" w:type="dxa"/>
            <w:gridSpan w:val="2"/>
            <w:vAlign w:val="bottom"/>
          </w:tcPr>
          <w:p w:rsidR="0013559B" w:rsidRPr="00E213E3" w:rsidRDefault="0013559B" w:rsidP="00B04C80">
            <w:pPr>
              <w:widowControl w:val="0"/>
              <w:spacing w:after="40" w:line="200" w:lineRule="atLeast"/>
              <w:ind w:left="6" w:right="113"/>
              <w:jc w:val="both"/>
              <w:rPr>
                <w:rFonts w:ascii="Arial" w:hAnsi="Arial"/>
                <w:b/>
                <w:sz w:val="18"/>
                <w:szCs w:val="20"/>
              </w:rPr>
            </w:pPr>
          </w:p>
          <w:p w:rsidR="0013559B" w:rsidRPr="00E213E3" w:rsidRDefault="0013559B" w:rsidP="00B04C80">
            <w:pPr>
              <w:widowControl w:val="0"/>
              <w:spacing w:after="40" w:line="200" w:lineRule="atLeast"/>
              <w:ind w:left="6" w:right="113"/>
              <w:jc w:val="both"/>
              <w:rPr>
                <w:rFonts w:ascii="Arial" w:hAnsi="Arial"/>
                <w:b/>
                <w:sz w:val="18"/>
                <w:szCs w:val="20"/>
                <w:u w:val="single"/>
              </w:rPr>
            </w:pPr>
            <w:r w:rsidRPr="00E213E3">
              <w:rPr>
                <w:rFonts w:ascii="Arial" w:hAnsi="Arial"/>
                <w:b/>
                <w:sz w:val="18"/>
                <w:szCs w:val="20"/>
                <w:u w:val="single"/>
              </w:rPr>
              <w:t>Data Gaps/Issues Analysis</w:t>
            </w:r>
          </w:p>
        </w:tc>
      </w:tr>
      <w:tr w:rsidR="00E213E3" w:rsidRPr="00E213E3" w:rsidTr="009F4002">
        <w:tc>
          <w:tcPr>
            <w:tcW w:w="1620" w:type="dxa"/>
          </w:tcPr>
          <w:p w:rsidR="0013559B" w:rsidRPr="00E213E3" w:rsidRDefault="0013559B" w:rsidP="00B04C80">
            <w:pPr>
              <w:widowControl w:val="0"/>
              <w:spacing w:after="40" w:line="200" w:lineRule="atLeast"/>
              <w:ind w:left="6" w:right="113"/>
              <w:rPr>
                <w:rFonts w:ascii="Arial" w:hAnsi="Arial"/>
                <w:b/>
                <w:sz w:val="18"/>
                <w:szCs w:val="20"/>
              </w:rPr>
            </w:pPr>
            <w:r w:rsidRPr="00E213E3">
              <w:rPr>
                <w:rFonts w:ascii="Arial" w:hAnsi="Arial"/>
                <w:b/>
                <w:sz w:val="18"/>
                <w:szCs w:val="20"/>
              </w:rPr>
              <w:t>Key data gaps/issues</w:t>
            </w:r>
          </w:p>
        </w:tc>
        <w:tc>
          <w:tcPr>
            <w:tcW w:w="7169" w:type="dxa"/>
          </w:tcPr>
          <w:p w:rsidR="0013559B" w:rsidRPr="00E213E3" w:rsidRDefault="0013559B" w:rsidP="00B04C80">
            <w:pPr>
              <w:pStyle w:val="TableBodyText"/>
              <w:keepNext w:val="0"/>
              <w:keepLines w:val="0"/>
              <w:widowControl w:val="0"/>
              <w:jc w:val="both"/>
            </w:pPr>
            <w:r w:rsidRPr="00E213E3">
              <w:t>The Steering Committee notes the following key data gaps/issues:</w:t>
            </w:r>
          </w:p>
          <w:p w:rsidR="0013559B" w:rsidRPr="00E213E3" w:rsidRDefault="0013559B" w:rsidP="00E213E3">
            <w:pPr>
              <w:numPr>
                <w:ilvl w:val="0"/>
                <w:numId w:val="24"/>
              </w:numPr>
              <w:spacing w:before="40" w:after="40"/>
              <w:rPr>
                <w:rFonts w:asciiTheme="minorHAnsi" w:hAnsiTheme="minorHAnsi" w:cstheme="minorHAnsi"/>
                <w:sz w:val="18"/>
                <w:szCs w:val="18"/>
              </w:rPr>
            </w:pPr>
            <w:r w:rsidRPr="00E213E3">
              <w:rPr>
                <w:rFonts w:asciiTheme="minorHAnsi" w:hAnsiTheme="minorHAnsi" w:cstheme="minorHAnsi"/>
                <w:sz w:val="18"/>
                <w:szCs w:val="18"/>
              </w:rPr>
              <w:t>The comparability of emergency department waiting times data across jurisdictions can be influenced by differences in data coverage and clinical practices — in particular, the allocation of cases to urgency categories. The proportion of patients in each triage category who were subsequently admitted can indicate the comparability of triage categorisations across jurisdictions and thus the comparability of the waiting times data.</w:t>
            </w:r>
          </w:p>
          <w:p w:rsidR="00E213E3" w:rsidRPr="00E213E3" w:rsidRDefault="00E213E3" w:rsidP="00E213E3">
            <w:pPr>
              <w:numPr>
                <w:ilvl w:val="0"/>
                <w:numId w:val="24"/>
              </w:numPr>
              <w:spacing w:before="40" w:after="40"/>
              <w:rPr>
                <w:rFonts w:asciiTheme="minorHAnsi" w:hAnsiTheme="minorHAnsi" w:cstheme="minorHAnsi"/>
                <w:sz w:val="18"/>
                <w:szCs w:val="18"/>
              </w:rPr>
            </w:pPr>
            <w:r w:rsidRPr="00E213E3">
              <w:rPr>
                <w:rFonts w:asciiTheme="minorHAnsi" w:hAnsiTheme="minorHAnsi" w:cstheme="minorHAnsi"/>
                <w:sz w:val="18"/>
                <w:szCs w:val="18"/>
              </w:rPr>
              <w:t xml:space="preserve">The scope of the data used to produce this indicator is non-admitted patients registered for care in emergency departments in public hospitals classified as either </w:t>
            </w:r>
            <w:r w:rsidRPr="00E213E3">
              <w:rPr>
                <w:rFonts w:asciiTheme="minorHAnsi" w:hAnsiTheme="minorHAnsi" w:cstheme="minorHAnsi"/>
                <w:i/>
                <w:sz w:val="18"/>
                <w:szCs w:val="18"/>
              </w:rPr>
              <w:t>Principal referral and Specialist women’s and children’s hospitals</w:t>
            </w:r>
            <w:r w:rsidRPr="00E213E3">
              <w:rPr>
                <w:rFonts w:asciiTheme="minorHAnsi" w:hAnsiTheme="minorHAnsi" w:cstheme="minorHAnsi"/>
                <w:sz w:val="18"/>
                <w:szCs w:val="18"/>
              </w:rPr>
              <w:t xml:space="preserve"> (peer group A) or </w:t>
            </w:r>
            <w:r w:rsidRPr="00E213E3">
              <w:rPr>
                <w:rFonts w:asciiTheme="minorHAnsi" w:hAnsiTheme="minorHAnsi" w:cstheme="minorHAnsi"/>
                <w:i/>
                <w:sz w:val="18"/>
                <w:szCs w:val="18"/>
              </w:rPr>
              <w:t>Large hospitals</w:t>
            </w:r>
            <w:r w:rsidRPr="00E213E3">
              <w:rPr>
                <w:rFonts w:asciiTheme="minorHAnsi" w:hAnsiTheme="minorHAnsi" w:cstheme="minorHAnsi"/>
                <w:sz w:val="18"/>
                <w:szCs w:val="18"/>
              </w:rPr>
              <w:t xml:space="preserve"> (peer group B). Most of the hospitals in peer groups A and B are in major cities. Therefore, disaggregation by remoteness, socioeconomic status and Indigenous status should be interpreted with caution. </w:t>
            </w:r>
          </w:p>
          <w:p w:rsidR="00E213E3" w:rsidRPr="00E213E3" w:rsidRDefault="00E213E3" w:rsidP="00E213E3">
            <w:pPr>
              <w:numPr>
                <w:ilvl w:val="0"/>
                <w:numId w:val="24"/>
              </w:numPr>
              <w:spacing w:before="40" w:after="40"/>
              <w:rPr>
                <w:rFonts w:asciiTheme="minorHAnsi" w:hAnsiTheme="minorHAnsi" w:cstheme="minorHAnsi"/>
                <w:sz w:val="18"/>
                <w:szCs w:val="18"/>
              </w:rPr>
            </w:pPr>
            <w:r w:rsidRPr="00E213E3">
              <w:rPr>
                <w:rFonts w:asciiTheme="minorHAnsi" w:hAnsiTheme="minorHAnsi" w:cstheme="minorHAnsi"/>
                <w:sz w:val="18"/>
                <w:szCs w:val="18"/>
              </w:rPr>
              <w:t>For 2012–13, the coverage of the National Non-admitted Patient Emergency Department Care Database (NNAPEDCD) collection is complete for public hospitals in peer groups A and B. It is estimated that 2013–14 has similar coverage, although final coverage cannot be calculated until the 2013–14 National Public Hospital Establishments Database (NPHED) data are available.</w:t>
            </w:r>
          </w:p>
          <w:p w:rsidR="00E213E3" w:rsidRPr="00E213E3" w:rsidRDefault="00E213E3" w:rsidP="00E213E3">
            <w:pPr>
              <w:numPr>
                <w:ilvl w:val="0"/>
                <w:numId w:val="24"/>
              </w:numPr>
              <w:spacing w:before="40" w:after="40"/>
              <w:rPr>
                <w:rFonts w:asciiTheme="minorHAnsi" w:hAnsiTheme="minorHAnsi" w:cstheme="minorHAnsi"/>
                <w:sz w:val="18"/>
                <w:szCs w:val="18"/>
              </w:rPr>
            </w:pPr>
            <w:r w:rsidRPr="00E213E3">
              <w:rPr>
                <w:rFonts w:asciiTheme="minorHAnsi" w:hAnsiTheme="minorHAnsi" w:cstheme="minorHAnsi"/>
                <w:sz w:val="18"/>
                <w:szCs w:val="18"/>
              </w:rPr>
              <w:t xml:space="preserve">The quality of Indigenous status data in the NNAPEDCD has not been formally assessed for completeness; therefore caution should be exercised when interpreting these data. </w:t>
            </w:r>
          </w:p>
          <w:p w:rsidR="00E213E3" w:rsidRPr="00E213E3" w:rsidRDefault="00E213E3" w:rsidP="00E213E3">
            <w:pPr>
              <w:numPr>
                <w:ilvl w:val="0"/>
                <w:numId w:val="24"/>
              </w:numPr>
              <w:spacing w:before="40" w:after="40"/>
              <w:rPr>
                <w:rFonts w:asciiTheme="minorHAnsi" w:hAnsiTheme="minorHAnsi" w:cstheme="minorHAnsi"/>
                <w:sz w:val="18"/>
                <w:szCs w:val="18"/>
              </w:rPr>
            </w:pPr>
            <w:r w:rsidRPr="00E213E3">
              <w:rPr>
                <w:rFonts w:asciiTheme="minorHAnsi" w:hAnsiTheme="minorHAnsi" w:cstheme="minorHAnsi"/>
                <w:sz w:val="18"/>
                <w:szCs w:val="18"/>
              </w:rPr>
              <w:t>Caution should be used in comparing these data with earlier years as the number of hospitals classified as peer groups A or B, and the peer group for a hospital, may vary over time.</w:t>
            </w:r>
          </w:p>
          <w:p w:rsidR="00E213E3" w:rsidRPr="00E213E3" w:rsidRDefault="00E213E3" w:rsidP="00E213E3">
            <w:pPr>
              <w:numPr>
                <w:ilvl w:val="0"/>
                <w:numId w:val="24"/>
              </w:numPr>
              <w:spacing w:before="40" w:after="40"/>
              <w:rPr>
                <w:rFonts w:asciiTheme="minorHAnsi" w:hAnsiTheme="minorHAnsi" w:cstheme="minorHAnsi"/>
                <w:sz w:val="18"/>
                <w:szCs w:val="18"/>
              </w:rPr>
            </w:pPr>
            <w:r w:rsidRPr="00E213E3">
              <w:rPr>
                <w:rFonts w:asciiTheme="minorHAnsi" w:hAnsiTheme="minorHAnsi" w:cstheme="minorHAnsi"/>
                <w:sz w:val="18"/>
                <w:szCs w:val="18"/>
              </w:rPr>
              <w:t>Remoteness data for 2011–12 and previous years are not directly comparable to remoteness data for 2012–13 and subsequent years.</w:t>
            </w:r>
          </w:p>
          <w:p w:rsidR="00F42252" w:rsidRPr="00E213E3" w:rsidRDefault="00E213E3" w:rsidP="00E213E3">
            <w:pPr>
              <w:numPr>
                <w:ilvl w:val="0"/>
                <w:numId w:val="24"/>
              </w:numPr>
              <w:spacing w:before="40" w:after="40"/>
            </w:pPr>
            <w:r w:rsidRPr="00E213E3">
              <w:rPr>
                <w:rFonts w:asciiTheme="minorHAnsi" w:hAnsiTheme="minorHAnsi" w:cstheme="minorHAnsi"/>
                <w:sz w:val="18"/>
                <w:szCs w:val="18"/>
              </w:rPr>
              <w:t>SEIFA data for 2010–11 and previous years are not directly comparable with SEIFA data for 2011–12, and SEIFA data for 2011–12 and previous years are not directly comparable with SEIFA data for 2012–13 and subsequent years.</w:t>
            </w:r>
          </w:p>
        </w:tc>
      </w:tr>
    </w:tbl>
    <w:p w:rsidR="009F4002" w:rsidRDefault="009F4002" w:rsidP="009F4002">
      <w:pPr>
        <w:pStyle w:val="Heading4"/>
      </w:pPr>
      <w:r w:rsidRPr="009F4002">
        <w:t>Proportion of emergency department presentations with length of stay of 4 hours or less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9F4002" w:rsidRPr="009B41B9" w:rsidRDefault="009F4002" w:rsidP="009B41B9">
            <w:pPr>
              <w:widowControl w:val="0"/>
              <w:spacing w:after="40" w:line="200" w:lineRule="atLeast"/>
              <w:ind w:left="6" w:right="113"/>
              <w:jc w:val="both"/>
              <w:rPr>
                <w:rFonts w:asciiTheme="minorHAnsi" w:hAnsiTheme="minorHAnsi" w:cstheme="minorHAnsi"/>
                <w:b/>
                <w:sz w:val="18"/>
                <w:szCs w:val="18"/>
              </w:rPr>
            </w:pPr>
          </w:p>
          <w:p w:rsidR="009F4002" w:rsidRPr="009B41B9" w:rsidRDefault="009F4002" w:rsidP="009B41B9">
            <w:pPr>
              <w:widowControl w:val="0"/>
              <w:spacing w:after="40" w:line="200" w:lineRule="atLeast"/>
              <w:ind w:left="6" w:right="113"/>
              <w:jc w:val="both"/>
              <w:rPr>
                <w:rFonts w:asciiTheme="minorHAnsi" w:hAnsiTheme="minorHAnsi" w:cstheme="minorHAnsi"/>
                <w:b/>
                <w:sz w:val="18"/>
                <w:szCs w:val="18"/>
                <w:u w:val="single"/>
              </w:rPr>
            </w:pPr>
            <w:r w:rsidRPr="009B41B9">
              <w:rPr>
                <w:rFonts w:asciiTheme="minorHAnsi" w:hAnsiTheme="minorHAnsi" w:cstheme="minorHAnsi"/>
                <w:b/>
                <w:sz w:val="18"/>
                <w:szCs w:val="18"/>
                <w:u w:val="single"/>
              </w:rPr>
              <w:t>Indicator definition and description</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Element</w:t>
            </w:r>
          </w:p>
        </w:tc>
        <w:tc>
          <w:tcPr>
            <w:tcW w:w="7169" w:type="dxa"/>
          </w:tcPr>
          <w:p w:rsidR="00C14A1E" w:rsidRPr="009B41B9" w:rsidRDefault="00C14A1E" w:rsidP="009B41B9">
            <w:pPr>
              <w:pStyle w:val="TableBodyText"/>
              <w:jc w:val="both"/>
              <w:rPr>
                <w:rFonts w:asciiTheme="minorHAnsi" w:hAnsiTheme="minorHAnsi" w:cstheme="minorHAnsi"/>
                <w:szCs w:val="18"/>
              </w:rPr>
            </w:pPr>
            <w:r w:rsidRPr="009B41B9">
              <w:rPr>
                <w:rFonts w:asciiTheme="minorHAnsi" w:hAnsiTheme="minorHAnsi" w:cstheme="minorHAnsi"/>
                <w:szCs w:val="18"/>
              </w:rPr>
              <w:t xml:space="preserve">Effectiveness — access </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Indicator</w:t>
            </w:r>
          </w:p>
        </w:tc>
        <w:tc>
          <w:tcPr>
            <w:tcW w:w="7169" w:type="dxa"/>
            <w:vAlign w:val="bottom"/>
          </w:tcPr>
          <w:p w:rsidR="00C14A1E" w:rsidRPr="009B41B9" w:rsidRDefault="00C14A1E" w:rsidP="009B41B9">
            <w:pPr>
              <w:pStyle w:val="TableBodyText"/>
              <w:jc w:val="both"/>
              <w:rPr>
                <w:rFonts w:asciiTheme="minorHAnsi" w:hAnsiTheme="minorHAnsi" w:cstheme="minorHAnsi"/>
                <w:szCs w:val="18"/>
              </w:rPr>
            </w:pPr>
            <w:r w:rsidRPr="009B41B9">
              <w:rPr>
                <w:rFonts w:asciiTheme="minorHAnsi" w:hAnsiTheme="minorHAnsi" w:cstheme="minorHAnsi"/>
                <w:szCs w:val="18"/>
              </w:rPr>
              <w:t>Emergency department waiting times</w:t>
            </w:r>
            <w:r w:rsidR="00614760" w:rsidRPr="009B41B9">
              <w:rPr>
                <w:rFonts w:asciiTheme="minorHAnsi" w:hAnsiTheme="minorHAnsi" w:cstheme="minorHAnsi"/>
                <w:szCs w:val="18"/>
              </w:rPr>
              <w:t xml:space="preserve"> — Proportion of emergency department </w:t>
            </w:r>
            <w:r w:rsidR="00614760" w:rsidRPr="009B41B9">
              <w:rPr>
                <w:rFonts w:asciiTheme="minorHAnsi" w:hAnsiTheme="minorHAnsi" w:cstheme="minorHAnsi"/>
                <w:szCs w:val="18"/>
              </w:rPr>
              <w:lastRenderedPageBreak/>
              <w:t>presentations with length of stay of 4 hours or les</w:t>
            </w:r>
          </w:p>
        </w:tc>
      </w:tr>
      <w:tr w:rsidR="003A7941" w:rsidRPr="003A7941" w:rsidTr="00345271">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lastRenderedPageBreak/>
              <w:t>Measure</w:t>
            </w:r>
          </w:p>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(computation</w:t>
            </w:r>
          </w:p>
        </w:tc>
        <w:tc>
          <w:tcPr>
            <w:tcW w:w="7169" w:type="dxa"/>
          </w:tcPr>
          <w:p w:rsidR="0082746E"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 xml:space="preserve">Percentage of presentations to public hospital emergency departments where the time from presentation to physical departure (ED Stay length) is less than or equal to four hours. </w:t>
            </w:r>
          </w:p>
          <w:p w:rsidR="006663F4"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Calculation includes presentations with any type of visit to emergency department.</w:t>
            </w:r>
          </w:p>
          <w:p w:rsidR="009B41B9"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ED stay length is calculated by subtracting presentation time/date from physical departure time/date, which is recorded as per the business rules included in the NAPEDC NMDS 2013–14:</w:t>
            </w:r>
          </w:p>
          <w:p w:rsidR="006663F4"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 xml:space="preserve"> </w:t>
            </w:r>
            <w:r w:rsidRPr="001E5CC7">
              <w:rPr>
                <w:rFonts w:asciiTheme="minorHAnsi" w:hAnsiTheme="minorHAnsi" w:cstheme="minorHAnsi"/>
                <w:szCs w:val="18"/>
              </w:rPr>
              <w:t>http://meteor.aihw.gov.au/content/index.phtml/itemId/509116</w:t>
            </w:r>
          </w:p>
          <w:p w:rsidR="006663F4"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The percentage of presentations to public hospital emergency departments completed within four hours</w:t>
            </w:r>
            <w:r w:rsidRPr="009B41B9" w:rsidDel="009A02AE">
              <w:rPr>
                <w:rFonts w:asciiTheme="minorHAnsi" w:hAnsiTheme="minorHAnsi" w:cstheme="minorHAnsi"/>
                <w:szCs w:val="18"/>
              </w:rPr>
              <w:t xml:space="preserve"> </w:t>
            </w:r>
            <w:r w:rsidRPr="009B41B9">
              <w:rPr>
                <w:rFonts w:asciiTheme="minorHAnsi" w:hAnsiTheme="minorHAnsi" w:cstheme="minorHAnsi"/>
                <w:szCs w:val="18"/>
              </w:rPr>
              <w:t>is calculated as:</w:t>
            </w:r>
            <w:r w:rsidRPr="009B41B9">
              <w:rPr>
                <w:rFonts w:asciiTheme="minorHAnsi" w:hAnsiTheme="minorHAnsi" w:cstheme="minorHAnsi"/>
                <w:szCs w:val="18"/>
              </w:rPr>
              <w:tab/>
            </w:r>
          </w:p>
          <w:p w:rsidR="006663F4"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i/>
                <w:szCs w:val="18"/>
              </w:rPr>
              <w:t>Numerator</w:t>
            </w:r>
            <w:r w:rsidRPr="009B41B9">
              <w:rPr>
                <w:rFonts w:asciiTheme="minorHAnsi" w:hAnsiTheme="minorHAnsi" w:cstheme="minorHAnsi"/>
                <w:szCs w:val="18"/>
              </w:rPr>
              <w:t>—Number of ED presentations where ED stay is less than or equal to four hours.</w:t>
            </w:r>
          </w:p>
          <w:p w:rsidR="006663F4"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i/>
                <w:szCs w:val="18"/>
              </w:rPr>
              <w:t>Denominator</w:t>
            </w:r>
            <w:r w:rsidRPr="009B41B9">
              <w:rPr>
                <w:rFonts w:asciiTheme="minorHAnsi" w:hAnsiTheme="minorHAnsi" w:cstheme="minorHAnsi"/>
                <w:szCs w:val="18"/>
              </w:rPr>
              <w:t>—Number of ED presentations.</w:t>
            </w:r>
          </w:p>
          <w:p w:rsidR="006663F4"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Calculation includes all presentations with an ED stay completed in the reporting period, including records where the presentation date/time is prior to the reporting period. Invalid records are excluded from the numerator and denominator. Invalid records are records for which:</w:t>
            </w:r>
          </w:p>
          <w:p w:rsidR="00C14A1E" w:rsidRPr="009B41B9" w:rsidRDefault="00C14A1E" w:rsidP="009B41B9">
            <w:pPr>
              <w:pStyle w:val="TableBullet"/>
              <w:spacing w:line="220" w:lineRule="atLeast"/>
              <w:jc w:val="both"/>
              <w:rPr>
                <w:rFonts w:asciiTheme="minorHAnsi" w:hAnsiTheme="minorHAnsi" w:cstheme="minorHAnsi"/>
                <w:szCs w:val="18"/>
              </w:rPr>
            </w:pPr>
            <w:r w:rsidRPr="009B41B9">
              <w:rPr>
                <w:rFonts w:asciiTheme="minorHAnsi" w:hAnsiTheme="minorHAnsi" w:cstheme="minorHAnsi"/>
                <w:szCs w:val="18"/>
              </w:rPr>
              <w:t>Length of stay &lt; 0.</w:t>
            </w:r>
          </w:p>
          <w:p w:rsidR="00C14A1E" w:rsidRPr="009B41B9" w:rsidRDefault="00C14A1E" w:rsidP="009B41B9">
            <w:pPr>
              <w:pStyle w:val="TableBullet"/>
              <w:spacing w:line="220" w:lineRule="atLeast"/>
              <w:jc w:val="both"/>
              <w:rPr>
                <w:rFonts w:asciiTheme="minorHAnsi" w:hAnsiTheme="minorHAnsi" w:cstheme="minorHAnsi"/>
                <w:szCs w:val="18"/>
              </w:rPr>
            </w:pPr>
            <w:r w:rsidRPr="009B41B9">
              <w:rPr>
                <w:rFonts w:asciiTheme="minorHAnsi" w:hAnsiTheme="minorHAnsi" w:cstheme="minorHAnsi"/>
                <w:szCs w:val="18"/>
              </w:rPr>
              <w:t>Presentation date or time missing.</w:t>
            </w:r>
          </w:p>
          <w:p w:rsidR="00C14A1E" w:rsidRPr="009B41B9" w:rsidRDefault="00C14A1E" w:rsidP="009B41B9">
            <w:pPr>
              <w:pStyle w:val="TableBullet"/>
              <w:spacing w:line="220" w:lineRule="atLeast"/>
              <w:jc w:val="both"/>
              <w:rPr>
                <w:rFonts w:asciiTheme="minorHAnsi" w:hAnsiTheme="minorHAnsi" w:cstheme="minorHAnsi"/>
                <w:szCs w:val="18"/>
              </w:rPr>
            </w:pPr>
            <w:r w:rsidRPr="009B41B9">
              <w:rPr>
                <w:rFonts w:asciiTheme="minorHAnsi" w:hAnsiTheme="minorHAnsi" w:cstheme="minorHAnsi"/>
                <w:szCs w:val="18"/>
              </w:rPr>
              <w:t>Physical departure date or time missing.</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Data source/s</w:t>
            </w:r>
          </w:p>
        </w:tc>
        <w:tc>
          <w:tcPr>
            <w:tcW w:w="7169" w:type="dxa"/>
          </w:tcPr>
          <w:p w:rsidR="00C14A1E"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This indicator is calculated using data from the Australian Institute of Health and Welfare’s (AIHW’s) NNAPEDCD, based on the National Minimum Data Set (NMDS) for Non-admitted patient emergency department care (NAPEDC).</w:t>
            </w:r>
          </w:p>
        </w:tc>
      </w:tr>
      <w:tr w:rsidR="003A7941" w:rsidRPr="003A7941" w:rsidTr="009F4002">
        <w:tc>
          <w:tcPr>
            <w:tcW w:w="8789" w:type="dxa"/>
            <w:gridSpan w:val="2"/>
            <w:vAlign w:val="bottom"/>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p>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u w:val="single"/>
              </w:rPr>
            </w:pPr>
            <w:r w:rsidRPr="009B41B9">
              <w:rPr>
                <w:rFonts w:asciiTheme="minorHAnsi" w:hAnsiTheme="minorHAnsi" w:cstheme="minorHAnsi"/>
                <w:b/>
                <w:sz w:val="18"/>
                <w:szCs w:val="18"/>
                <w:u w:val="single"/>
              </w:rPr>
              <w:t>Data Quality Framework Dimensions</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Institutional environment</w:t>
            </w:r>
          </w:p>
        </w:tc>
        <w:tc>
          <w:tcPr>
            <w:tcW w:w="7169" w:type="dxa"/>
            <w:shd w:val="clear" w:color="auto" w:fill="auto"/>
          </w:tcPr>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The Australian Institute of Health and Welfare (AIHW) is a major national agency set up by the Australian Government under the </w:t>
            </w:r>
            <w:r w:rsidRPr="009B41B9">
              <w:rPr>
                <w:rFonts w:asciiTheme="minorHAnsi" w:hAnsiTheme="minorHAnsi" w:cstheme="minorHAnsi"/>
                <w:i/>
                <w:sz w:val="18"/>
                <w:szCs w:val="18"/>
              </w:rPr>
              <w:t>Australian Institute of Health and Welfare Act 1987</w:t>
            </w:r>
            <w:r w:rsidRPr="009B41B9">
              <w:rPr>
                <w:rFonts w:asciiTheme="minorHAnsi" w:hAnsiTheme="minorHAnsi" w:cstheme="minorHAnsi"/>
                <w:sz w:val="18"/>
                <w:szCs w:val="18"/>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The </w:t>
            </w:r>
            <w:r w:rsidRPr="009B41B9">
              <w:rPr>
                <w:rFonts w:asciiTheme="minorHAnsi" w:hAnsiTheme="minorHAnsi" w:cstheme="minorHAnsi"/>
                <w:i/>
                <w:sz w:val="18"/>
                <w:szCs w:val="18"/>
              </w:rPr>
              <w:t>Australian Institute of Health and Welfare Act 1987</w:t>
            </w:r>
            <w:r w:rsidRPr="009B41B9">
              <w:rPr>
                <w:rFonts w:asciiTheme="minorHAnsi" w:hAnsiTheme="minorHAnsi" w:cstheme="minorHAnsi"/>
                <w:sz w:val="18"/>
                <w:szCs w:val="18"/>
              </w:rPr>
              <w:t xml:space="preserve">, in conjunction with compliance to the </w:t>
            </w:r>
            <w:r w:rsidRPr="009B41B9">
              <w:rPr>
                <w:rFonts w:asciiTheme="minorHAnsi" w:hAnsiTheme="minorHAnsi" w:cstheme="minorHAnsi"/>
                <w:i/>
                <w:sz w:val="18"/>
                <w:szCs w:val="18"/>
              </w:rPr>
              <w:t>Privacy Act 1988 (Commonwealth),</w:t>
            </w:r>
            <w:r w:rsidRPr="009B41B9">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For further information see the AIHW website </w:t>
            </w:r>
            <w:r w:rsidRPr="001E5CC7">
              <w:rPr>
                <w:rFonts w:asciiTheme="minorHAnsi" w:hAnsiTheme="minorHAnsi" w:cstheme="minorHAnsi"/>
                <w:sz w:val="18"/>
                <w:szCs w:val="18"/>
              </w:rPr>
              <w:t>www.aihw.gov.au</w:t>
            </w:r>
            <w:r w:rsidRPr="009B41B9">
              <w:rPr>
                <w:rFonts w:asciiTheme="minorHAnsi" w:hAnsiTheme="minorHAnsi" w:cstheme="minorHAnsi"/>
                <w:sz w:val="18"/>
                <w:szCs w:val="18"/>
              </w:rPr>
              <w:t>.</w:t>
            </w:r>
          </w:p>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Data for the NNAPEDCD were supplied to the AIHW by state and territory health authorities under the terms of the National Health Information Agreement (see the following links):</w:t>
            </w:r>
          </w:p>
          <w:p w:rsidR="006663F4" w:rsidRPr="009B41B9" w:rsidRDefault="006663F4" w:rsidP="009B41B9">
            <w:pPr>
              <w:jc w:val="both"/>
              <w:rPr>
                <w:rFonts w:asciiTheme="minorHAnsi" w:hAnsiTheme="minorHAnsi" w:cstheme="minorHAnsi"/>
                <w:sz w:val="18"/>
                <w:szCs w:val="18"/>
              </w:rPr>
            </w:pPr>
            <w:r w:rsidRPr="001E5CC7">
              <w:rPr>
                <w:rFonts w:asciiTheme="minorHAnsi" w:hAnsiTheme="minorHAnsi" w:cstheme="minorHAnsi"/>
                <w:sz w:val="18"/>
                <w:szCs w:val="18"/>
              </w:rPr>
              <w:t>http://www.aihw.gov.au/nhissc/</w:t>
            </w:r>
            <w:r w:rsidRPr="009B41B9">
              <w:rPr>
                <w:rFonts w:asciiTheme="minorHAnsi" w:hAnsiTheme="minorHAnsi" w:cstheme="minorHAnsi"/>
                <w:sz w:val="18"/>
                <w:szCs w:val="18"/>
              </w:rPr>
              <w:t xml:space="preserve"> </w:t>
            </w:r>
          </w:p>
          <w:p w:rsidR="006663F4" w:rsidRPr="009B41B9" w:rsidRDefault="006663F4" w:rsidP="009B41B9">
            <w:pPr>
              <w:jc w:val="both"/>
              <w:rPr>
                <w:rFonts w:asciiTheme="minorHAnsi" w:hAnsiTheme="minorHAnsi" w:cstheme="minorHAnsi"/>
                <w:sz w:val="18"/>
                <w:szCs w:val="18"/>
              </w:rPr>
            </w:pPr>
            <w:r w:rsidRPr="001E5CC7">
              <w:rPr>
                <w:rFonts w:asciiTheme="minorHAnsi" w:hAnsiTheme="minorHAnsi" w:cstheme="minorHAnsi"/>
                <w:sz w:val="18"/>
                <w:szCs w:val="18"/>
              </w:rPr>
              <w:t>http://meteor.aihw.gov.au/content/index.phtml/itemId/182135</w:t>
            </w:r>
            <w:r w:rsidRPr="009B41B9">
              <w:rPr>
                <w:rFonts w:asciiTheme="minorHAnsi" w:hAnsiTheme="minorHAnsi" w:cstheme="minorHAnsi"/>
                <w:sz w:val="18"/>
                <w:szCs w:val="18"/>
              </w:rPr>
              <w:t xml:space="preserve"> </w:t>
            </w:r>
          </w:p>
          <w:p w:rsidR="00C14A1E"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lastRenderedPageBreak/>
              <w:t>Relevance</w:t>
            </w:r>
          </w:p>
        </w:tc>
        <w:tc>
          <w:tcPr>
            <w:tcW w:w="7169" w:type="dxa"/>
            <w:shd w:val="clear" w:color="auto" w:fill="auto"/>
          </w:tcPr>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The purpose of the NNAPEDCD is to collect information on the characteristics of emergency department care  for non-admitted patients registered for care in emergency departments in selected public hospitals classified as either </w:t>
            </w:r>
            <w:r w:rsidRPr="009B41B9">
              <w:rPr>
                <w:rFonts w:asciiTheme="minorHAnsi" w:hAnsiTheme="minorHAnsi" w:cstheme="minorHAnsi"/>
                <w:i/>
                <w:sz w:val="18"/>
                <w:szCs w:val="18"/>
              </w:rPr>
              <w:t xml:space="preserve">Principal referral and Specialist women’s and children’s hospitals </w:t>
            </w:r>
            <w:r w:rsidRPr="009B41B9">
              <w:rPr>
                <w:rFonts w:asciiTheme="minorHAnsi" w:hAnsiTheme="minorHAnsi" w:cstheme="minorHAnsi"/>
                <w:sz w:val="18"/>
                <w:szCs w:val="18"/>
              </w:rPr>
              <w:t xml:space="preserve">(peer group A) or </w:t>
            </w:r>
            <w:r w:rsidRPr="009B41B9">
              <w:rPr>
                <w:rFonts w:asciiTheme="minorHAnsi" w:hAnsiTheme="minorHAnsi" w:cstheme="minorHAnsi"/>
                <w:i/>
                <w:sz w:val="18"/>
                <w:szCs w:val="18"/>
              </w:rPr>
              <w:t>Large hospitals</w:t>
            </w:r>
            <w:r w:rsidRPr="009B41B9">
              <w:rPr>
                <w:rFonts w:asciiTheme="minorHAnsi" w:hAnsiTheme="minorHAnsi" w:cstheme="minorHAnsi"/>
                <w:sz w:val="18"/>
                <w:szCs w:val="18"/>
              </w:rPr>
              <w:t xml:space="preserve"> (peer group B). In 2012–13, hospitals in peer groups A and B provided over 86 per cent of all public hospital emergency presentations. In 2013–14, hospitals in peer groups A and B provided about 80 per cent of all public hospital emergency presentations.</w:t>
            </w:r>
          </w:p>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The data presented here are not necessarily representative of the hospitals not included in the NNAPEDCD. Hospitals not included do not necessarily have emergency departments that are equivalent to those in hospitals in peer groups A and B.</w:t>
            </w:r>
          </w:p>
          <w:p w:rsidR="00C14A1E"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Data are reported by jurisdiction of presentation, regardless of the jurisdiction of usual residence.</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Timeliness</w:t>
            </w:r>
          </w:p>
        </w:tc>
        <w:tc>
          <w:tcPr>
            <w:tcW w:w="7169" w:type="dxa"/>
          </w:tcPr>
          <w:p w:rsidR="006663F4" w:rsidRPr="009B41B9" w:rsidRDefault="006663F4" w:rsidP="009B41B9">
            <w:pPr>
              <w:jc w:val="both"/>
              <w:rPr>
                <w:rFonts w:asciiTheme="minorHAnsi" w:hAnsiTheme="minorHAnsi" w:cstheme="minorHAnsi"/>
                <w:sz w:val="18"/>
                <w:szCs w:val="18"/>
              </w:rPr>
            </w:pPr>
            <w:r w:rsidRPr="009B41B9">
              <w:rPr>
                <w:rFonts w:asciiTheme="minorHAnsi" w:hAnsiTheme="minorHAnsi" w:cstheme="minorHAnsi"/>
                <w:sz w:val="18"/>
                <w:szCs w:val="18"/>
              </w:rPr>
              <w:t>The reference period for these data is 2012–13 and 2013–14.</w:t>
            </w:r>
          </w:p>
          <w:p w:rsidR="00C14A1E" w:rsidRPr="009B41B9" w:rsidRDefault="006663F4" w:rsidP="009B41B9">
            <w:pPr>
              <w:pStyle w:val="TableBodyText"/>
              <w:jc w:val="both"/>
              <w:rPr>
                <w:rFonts w:asciiTheme="minorHAnsi" w:hAnsiTheme="minorHAnsi" w:cstheme="minorHAnsi"/>
                <w:szCs w:val="18"/>
              </w:rPr>
            </w:pPr>
            <w:r w:rsidRPr="009B41B9">
              <w:rPr>
                <w:rFonts w:asciiTheme="minorHAnsi" w:hAnsiTheme="minorHAnsi" w:cstheme="minorHAnsi"/>
                <w:szCs w:val="18"/>
              </w:rPr>
              <w:t>The financial year of 2011–12 is the first reporting period that these data are available according the agreed specification. </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Accuracy</w:t>
            </w:r>
          </w:p>
        </w:tc>
        <w:tc>
          <w:tcPr>
            <w:tcW w:w="7169" w:type="dxa"/>
          </w:tcPr>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For 2012–13, the coverage of the NNAPEDCD was 100 per cent in all jurisdictions for public hospitals in peer groups A and B and is estimated at about 85</w:t>
            </w:r>
            <w:r w:rsidR="00E8429E">
              <w:rPr>
                <w:rFonts w:asciiTheme="minorHAnsi" w:hAnsiTheme="minorHAnsi" w:cstheme="minorHAnsi"/>
                <w:sz w:val="18"/>
                <w:szCs w:val="18"/>
              </w:rPr>
              <w:t xml:space="preserve"> per cent</w:t>
            </w:r>
            <w:r w:rsidRPr="009B41B9">
              <w:rPr>
                <w:rFonts w:asciiTheme="minorHAnsi" w:hAnsiTheme="minorHAnsi" w:cstheme="minorHAnsi"/>
                <w:sz w:val="18"/>
                <w:szCs w:val="18"/>
              </w:rPr>
              <w:t xml:space="preserve"> for all hospitals. </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For 2013–14, the preliminary estimate of the proportion of emergency occasions of service reported to the NNAPEDCD was 100 per cent for public hospitals in peer groups A and B and is estimated at about 88</w:t>
            </w:r>
            <w:r w:rsidR="00E8429E">
              <w:rPr>
                <w:rFonts w:asciiTheme="minorHAnsi" w:hAnsiTheme="minorHAnsi" w:cstheme="minorHAnsi"/>
                <w:sz w:val="18"/>
                <w:szCs w:val="18"/>
              </w:rPr>
              <w:t xml:space="preserve"> per cent</w:t>
            </w:r>
            <w:r w:rsidRPr="009B41B9">
              <w:rPr>
                <w:rFonts w:asciiTheme="minorHAnsi" w:hAnsiTheme="minorHAnsi" w:cstheme="minorHAnsi"/>
                <w:sz w:val="18"/>
                <w:szCs w:val="18"/>
              </w:rPr>
              <w:t xml:space="preserve"> for all hospitals.</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In the baseline year (2007-08) for this indicator,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From 2009–10, data for the Albury Base Hospital (previously reported in </w:t>
            </w:r>
            <w:r w:rsidR="00E8429E">
              <w:rPr>
                <w:rFonts w:asciiTheme="minorHAnsi" w:hAnsiTheme="minorHAnsi" w:cstheme="minorHAnsi"/>
                <w:sz w:val="18"/>
                <w:szCs w:val="18"/>
              </w:rPr>
              <w:t xml:space="preserve">NSW </w:t>
            </w:r>
            <w:r w:rsidRPr="009B41B9">
              <w:rPr>
                <w:rFonts w:asciiTheme="minorHAnsi" w:hAnsiTheme="minorHAnsi" w:cstheme="minorHAnsi"/>
                <w:sz w:val="18"/>
                <w:szCs w:val="18"/>
              </w:rPr>
              <w:t xml:space="preserve">hospital statistics) were reported in Victorian hospital statistics. This reporting arrangement should be factored into any analysis of data for </w:t>
            </w:r>
            <w:r w:rsidR="00E8429E">
              <w:rPr>
                <w:rFonts w:asciiTheme="minorHAnsi" w:hAnsiTheme="minorHAnsi" w:cstheme="minorHAnsi"/>
                <w:sz w:val="18"/>
                <w:szCs w:val="18"/>
              </w:rPr>
              <w:t xml:space="preserve">NSW </w:t>
            </w:r>
            <w:r w:rsidRPr="009B41B9">
              <w:rPr>
                <w:rFonts w:asciiTheme="minorHAnsi" w:hAnsiTheme="minorHAnsi" w:cstheme="minorHAnsi"/>
                <w:sz w:val="18"/>
                <w:szCs w:val="18"/>
              </w:rPr>
              <w:t>and Victoria.</w:t>
            </w:r>
          </w:p>
          <w:p w:rsidR="00C14A1E" w:rsidRPr="009B41B9" w:rsidRDefault="009B41B9" w:rsidP="009B41B9">
            <w:pPr>
              <w:pStyle w:val="TableBodyText"/>
              <w:jc w:val="both"/>
              <w:rPr>
                <w:rFonts w:asciiTheme="minorHAnsi" w:hAnsiTheme="minorHAnsi" w:cstheme="minorHAnsi"/>
                <w:szCs w:val="18"/>
              </w:rPr>
            </w:pPr>
            <w:r w:rsidRPr="009B41B9">
              <w:rPr>
                <w:rFonts w:asciiTheme="minorHAnsi" w:hAnsiTheme="minorHAnsi" w:cstheme="minorHAnsi"/>
                <w:szCs w:val="18"/>
              </w:rPr>
              <w:t>States and territories are primarily responsible for the quality of the data they provide. However, the AIHW undertakes extensive validations on data. Data are checked for valid values, logical consistency and historical consistency. Potential errors are queried with jurisdictions, and corrections and resubmissions may be made in response to these queries. The AIHW does not adjust data to account for possible data errors or missing or incorrect values.</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Coherence</w:t>
            </w:r>
          </w:p>
        </w:tc>
        <w:tc>
          <w:tcPr>
            <w:tcW w:w="7169" w:type="dxa"/>
          </w:tcPr>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The scope of the NAPEDC NMDS changed between the 2012–13 and 2013–14 reporting periods. These changes may affect comparability of the data reported for 2013–14 with data reported for previous years. </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For 2012–13, the scope of the Non-admitted patient emergency department care national minimum data set was non-admitted patients registered for care in emergency departments in selected public hospitals that are classified as either Peer Group A or B in the Australian Institute of Health and Welfare’s </w:t>
            </w:r>
            <w:r w:rsidRPr="009B41B9">
              <w:rPr>
                <w:rFonts w:asciiTheme="minorHAnsi" w:hAnsiTheme="minorHAnsi" w:cstheme="minorHAnsi"/>
                <w:i/>
                <w:sz w:val="18"/>
                <w:szCs w:val="18"/>
              </w:rPr>
              <w:t>Australian Hospital Statistics</w:t>
            </w:r>
            <w:r w:rsidRPr="009B41B9">
              <w:rPr>
                <w:rFonts w:asciiTheme="minorHAnsi" w:hAnsiTheme="minorHAnsi" w:cstheme="minorHAnsi"/>
                <w:sz w:val="18"/>
                <w:szCs w:val="18"/>
              </w:rPr>
              <w:t xml:space="preserve"> publication from the preceding financial year.</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For 2013–14, the scope of the Non-admitted patient emergency department care national minimum data set specification (NAPEDC NMDS) is patients registered for care in emergency departments in public hospitals where the emergency department meets the following criteria:</w:t>
            </w:r>
          </w:p>
          <w:p w:rsidR="009B41B9" w:rsidRPr="009B41B9" w:rsidRDefault="009B41B9"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 xml:space="preserve"> Purposely designed and equipped area with designated assessment, treatment and resuscitation areas.</w:t>
            </w:r>
          </w:p>
          <w:p w:rsidR="009B41B9" w:rsidRPr="009B41B9" w:rsidRDefault="009B41B9"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 xml:space="preserve"> Ability to provide resuscitation, stabilisation and initial management of all emergencies.</w:t>
            </w:r>
          </w:p>
          <w:p w:rsidR="009B41B9" w:rsidRPr="009B41B9" w:rsidRDefault="009B41B9"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 xml:space="preserve"> Availability of medical staff in the hospital 24 hours a day. </w:t>
            </w:r>
          </w:p>
          <w:p w:rsidR="009B41B9" w:rsidRPr="009B41B9" w:rsidRDefault="009B41B9"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Designated emergency department nursing staff and nursing unit manager 24 hours per day 7 days per week.</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The data reported for 2012–13 are consistent with data reported for the NNAPEDCD for </w:t>
            </w:r>
            <w:r w:rsidRPr="009B41B9">
              <w:rPr>
                <w:rFonts w:asciiTheme="minorHAnsi" w:hAnsiTheme="minorHAnsi" w:cstheme="minorHAnsi"/>
                <w:sz w:val="18"/>
                <w:szCs w:val="18"/>
              </w:rPr>
              <w:lastRenderedPageBreak/>
              <w:t>previous years for individual hospitals.</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In addition, the data reported to the NNAPEDCD in previous years has been consistent with the numbers of emergency occasions of services reported to the NPHED for each hospital for the same reference year.</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Time series presentations may be affected by changes in the number of hospitals reported to the collection and changes in coverage.</w:t>
            </w:r>
          </w:p>
          <w:p w:rsidR="00C14A1E" w:rsidRPr="009B41B9" w:rsidRDefault="009B41B9" w:rsidP="009B41B9">
            <w:pPr>
              <w:pStyle w:val="TableBodyText"/>
              <w:jc w:val="both"/>
              <w:rPr>
                <w:rFonts w:asciiTheme="minorHAnsi" w:hAnsiTheme="minorHAnsi" w:cstheme="minorHAnsi"/>
                <w:szCs w:val="18"/>
              </w:rPr>
            </w:pPr>
            <w:r w:rsidRPr="009B41B9">
              <w:rPr>
                <w:rFonts w:asciiTheme="minorHAnsi" w:hAnsiTheme="minorHAnsi" w:cstheme="minorHAnsi"/>
                <w:szCs w:val="18"/>
              </w:rPr>
              <w:t xml:space="preserve">The information presented for this indicator are calculated using the same methodology as data published in </w:t>
            </w:r>
            <w:r w:rsidRPr="009B41B9">
              <w:rPr>
                <w:rFonts w:asciiTheme="minorHAnsi" w:hAnsiTheme="minorHAnsi" w:cstheme="minorHAnsi"/>
                <w:i/>
                <w:szCs w:val="18"/>
              </w:rPr>
              <w:t>Australian hospital statistics: emergency department care</w:t>
            </w:r>
            <w:r w:rsidRPr="009B41B9">
              <w:rPr>
                <w:rFonts w:asciiTheme="minorHAnsi" w:hAnsiTheme="minorHAnsi" w:cstheme="minorHAnsi"/>
                <w:szCs w:val="18"/>
              </w:rPr>
              <w:t xml:space="preserve"> (report series) and the </w:t>
            </w:r>
            <w:r w:rsidRPr="009B41B9">
              <w:rPr>
                <w:rFonts w:asciiTheme="minorHAnsi" w:hAnsiTheme="minorHAnsi" w:cstheme="minorHAnsi"/>
                <w:i/>
                <w:szCs w:val="18"/>
              </w:rPr>
              <w:t>National Healthcare Agreement: performance report 2012–13</w:t>
            </w:r>
            <w:r w:rsidRPr="009B41B9">
              <w:rPr>
                <w:rFonts w:asciiTheme="minorHAnsi" w:hAnsiTheme="minorHAnsi" w:cstheme="minorHAnsi"/>
                <w:szCs w:val="18"/>
              </w:rPr>
              <w:t>.</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lastRenderedPageBreak/>
              <w:t>Accessibility</w:t>
            </w:r>
          </w:p>
        </w:tc>
        <w:tc>
          <w:tcPr>
            <w:tcW w:w="7169" w:type="dxa"/>
          </w:tcPr>
          <w:p w:rsidR="00C14A1E" w:rsidRPr="009B41B9" w:rsidRDefault="009B41B9" w:rsidP="009B41B9">
            <w:pPr>
              <w:pStyle w:val="TableBodyText"/>
              <w:jc w:val="both"/>
              <w:rPr>
                <w:rFonts w:asciiTheme="minorHAnsi" w:hAnsiTheme="minorHAnsi" w:cstheme="minorHAnsi"/>
                <w:szCs w:val="18"/>
              </w:rPr>
            </w:pPr>
            <w:r w:rsidRPr="009B41B9">
              <w:rPr>
                <w:rFonts w:asciiTheme="minorHAnsi" w:hAnsiTheme="minorHAnsi" w:cstheme="minorHAnsi"/>
                <w:szCs w:val="18"/>
              </w:rPr>
              <w:t xml:space="preserve">The AIHW provides a variety of products that draw upon the NNAPEDCD. Published products available on the AIHW website are: Australian hospital statistics suite of products with associated Excel tables. These products may be accessed on the AIHW website at: </w:t>
            </w:r>
            <w:r w:rsidRPr="001E5CC7">
              <w:rPr>
                <w:rFonts w:asciiTheme="minorHAnsi" w:hAnsiTheme="minorHAnsi" w:cstheme="minorHAnsi"/>
                <w:szCs w:val="18"/>
              </w:rPr>
              <w:t>http://www.aihw.gov.au/hospitals/</w:t>
            </w:r>
            <w:r w:rsidRPr="009B41B9">
              <w:rPr>
                <w:rFonts w:asciiTheme="minorHAnsi" w:hAnsiTheme="minorHAnsi" w:cstheme="minorHAnsi"/>
                <w:szCs w:val="18"/>
              </w:rPr>
              <w:t>.</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Interpretability</w:t>
            </w:r>
          </w:p>
        </w:tc>
        <w:tc>
          <w:tcPr>
            <w:tcW w:w="7169" w:type="dxa"/>
          </w:tcPr>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Metadata information for the NAPEDC NMDS and the NAPEDC Data Set Specification (DSS) are published in the AIHW’s online metadata repository, METeOR, and the </w:t>
            </w:r>
            <w:r w:rsidRPr="009B41B9">
              <w:rPr>
                <w:rFonts w:asciiTheme="minorHAnsi" w:hAnsiTheme="minorHAnsi" w:cstheme="minorHAnsi"/>
                <w:i/>
                <w:sz w:val="18"/>
                <w:szCs w:val="18"/>
              </w:rPr>
              <w:t>National health data dictionary</w:t>
            </w:r>
            <w:r w:rsidRPr="009B41B9">
              <w:rPr>
                <w:rFonts w:asciiTheme="minorHAnsi" w:hAnsiTheme="minorHAnsi" w:cstheme="minorHAnsi"/>
                <w:sz w:val="18"/>
                <w:szCs w:val="18"/>
              </w:rPr>
              <w:t>.</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 xml:space="preserve">The </w:t>
            </w:r>
            <w:r w:rsidRPr="009B41B9">
              <w:rPr>
                <w:rFonts w:asciiTheme="minorHAnsi" w:hAnsiTheme="minorHAnsi" w:cstheme="minorHAnsi"/>
                <w:i/>
                <w:sz w:val="18"/>
                <w:szCs w:val="18"/>
              </w:rPr>
              <w:t>National health data dictionary</w:t>
            </w:r>
            <w:r w:rsidRPr="009B41B9">
              <w:rPr>
                <w:rFonts w:asciiTheme="minorHAnsi" w:hAnsiTheme="minorHAnsi" w:cstheme="minorHAnsi"/>
                <w:sz w:val="18"/>
                <w:szCs w:val="18"/>
              </w:rPr>
              <w:t xml:space="preserve"> can be accessed online at:</w:t>
            </w:r>
          </w:p>
          <w:p w:rsidR="009B41B9" w:rsidRPr="009B41B9" w:rsidRDefault="009B41B9" w:rsidP="009B41B9">
            <w:pPr>
              <w:jc w:val="both"/>
              <w:rPr>
                <w:rFonts w:asciiTheme="minorHAnsi" w:hAnsiTheme="minorHAnsi" w:cstheme="minorHAnsi"/>
                <w:sz w:val="18"/>
                <w:szCs w:val="18"/>
              </w:rPr>
            </w:pPr>
            <w:r w:rsidRPr="001E5CC7">
              <w:rPr>
                <w:rFonts w:asciiTheme="minorHAnsi" w:hAnsiTheme="minorHAnsi" w:cstheme="minorHAnsi"/>
                <w:sz w:val="18"/>
                <w:szCs w:val="18"/>
              </w:rPr>
              <w:t>http://www.aihw.gov.au/publication-detail/?id=10737422826</w:t>
            </w:r>
            <w:r w:rsidRPr="009B41B9">
              <w:rPr>
                <w:rFonts w:asciiTheme="minorHAnsi" w:hAnsiTheme="minorHAnsi" w:cstheme="minorHAnsi"/>
                <w:sz w:val="18"/>
                <w:szCs w:val="18"/>
              </w:rPr>
              <w:t xml:space="preserve"> </w:t>
            </w:r>
          </w:p>
          <w:p w:rsidR="009B41B9" w:rsidRPr="009B41B9" w:rsidRDefault="009B41B9" w:rsidP="009B41B9">
            <w:pPr>
              <w:jc w:val="both"/>
              <w:rPr>
                <w:rFonts w:asciiTheme="minorHAnsi" w:hAnsiTheme="minorHAnsi" w:cstheme="minorHAnsi"/>
                <w:sz w:val="18"/>
                <w:szCs w:val="18"/>
              </w:rPr>
            </w:pPr>
            <w:r w:rsidRPr="009B41B9">
              <w:rPr>
                <w:rFonts w:asciiTheme="minorHAnsi" w:hAnsiTheme="minorHAnsi" w:cstheme="minorHAnsi"/>
                <w:sz w:val="18"/>
                <w:szCs w:val="18"/>
              </w:rPr>
              <w:t>The Data Quality Statement for the 2012–13 NNAPEDCD can be accessed on the AIHW website at:</w:t>
            </w:r>
          </w:p>
          <w:p w:rsidR="00C14A1E" w:rsidRPr="009B41B9" w:rsidRDefault="009B41B9" w:rsidP="009B41B9">
            <w:pPr>
              <w:pStyle w:val="TableBodyText"/>
              <w:jc w:val="both"/>
              <w:rPr>
                <w:rFonts w:asciiTheme="minorHAnsi" w:hAnsiTheme="minorHAnsi" w:cstheme="minorHAnsi"/>
                <w:szCs w:val="18"/>
              </w:rPr>
            </w:pPr>
            <w:r w:rsidRPr="009B41B9">
              <w:rPr>
                <w:rFonts w:asciiTheme="minorHAnsi" w:hAnsiTheme="minorHAnsi" w:cstheme="minorHAnsi"/>
                <w:szCs w:val="18"/>
              </w:rPr>
              <w:t xml:space="preserve"> </w:t>
            </w:r>
            <w:r w:rsidRPr="001E5CC7">
              <w:rPr>
                <w:rFonts w:asciiTheme="minorHAnsi" w:hAnsiTheme="minorHAnsi" w:cstheme="minorHAnsi"/>
                <w:szCs w:val="18"/>
              </w:rPr>
              <w:t>http://meteor.aihw.gov.au/content/index.phtml/itemId/546749</w:t>
            </w:r>
          </w:p>
        </w:tc>
      </w:tr>
      <w:tr w:rsidR="003A7941" w:rsidRPr="003A7941" w:rsidTr="009F4002">
        <w:tc>
          <w:tcPr>
            <w:tcW w:w="8789" w:type="dxa"/>
            <w:gridSpan w:val="2"/>
            <w:vAlign w:val="bottom"/>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p>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u w:val="single"/>
              </w:rPr>
            </w:pPr>
            <w:r w:rsidRPr="009B41B9">
              <w:rPr>
                <w:rFonts w:asciiTheme="minorHAnsi" w:hAnsiTheme="minorHAnsi" w:cstheme="minorHAnsi"/>
                <w:b/>
                <w:sz w:val="18"/>
                <w:szCs w:val="18"/>
                <w:u w:val="single"/>
              </w:rPr>
              <w:t>Data Gaps/Issues Analysis</w:t>
            </w:r>
          </w:p>
        </w:tc>
      </w:tr>
      <w:tr w:rsidR="003A7941" w:rsidRPr="003A7941" w:rsidTr="009F4002">
        <w:tc>
          <w:tcPr>
            <w:tcW w:w="1620" w:type="dxa"/>
          </w:tcPr>
          <w:p w:rsidR="00C14A1E" w:rsidRPr="009B41B9" w:rsidRDefault="00C14A1E" w:rsidP="009B41B9">
            <w:pPr>
              <w:widowControl w:val="0"/>
              <w:spacing w:after="40" w:line="200" w:lineRule="atLeast"/>
              <w:ind w:left="6" w:right="113"/>
              <w:rPr>
                <w:rFonts w:asciiTheme="minorHAnsi" w:hAnsiTheme="minorHAnsi" w:cstheme="minorHAnsi"/>
                <w:b/>
                <w:sz w:val="18"/>
                <w:szCs w:val="18"/>
              </w:rPr>
            </w:pPr>
            <w:r w:rsidRPr="009B41B9">
              <w:rPr>
                <w:rFonts w:asciiTheme="minorHAnsi" w:hAnsiTheme="minorHAnsi" w:cstheme="minorHAnsi"/>
                <w:b/>
                <w:sz w:val="18"/>
                <w:szCs w:val="18"/>
              </w:rPr>
              <w:t>Key data gaps/issues</w:t>
            </w:r>
          </w:p>
        </w:tc>
        <w:tc>
          <w:tcPr>
            <w:tcW w:w="7169" w:type="dxa"/>
          </w:tcPr>
          <w:p w:rsidR="00C14A1E" w:rsidRPr="009B41B9" w:rsidRDefault="00C14A1E" w:rsidP="009B41B9">
            <w:pPr>
              <w:widowControl w:val="0"/>
              <w:spacing w:after="40" w:line="200" w:lineRule="atLeast"/>
              <w:ind w:left="6" w:right="113"/>
              <w:jc w:val="both"/>
              <w:rPr>
                <w:rFonts w:asciiTheme="minorHAnsi" w:hAnsiTheme="minorHAnsi" w:cstheme="minorHAnsi"/>
                <w:sz w:val="18"/>
                <w:szCs w:val="18"/>
              </w:rPr>
            </w:pPr>
            <w:r w:rsidRPr="009B41B9">
              <w:rPr>
                <w:rFonts w:asciiTheme="minorHAnsi" w:hAnsiTheme="minorHAnsi" w:cstheme="minorHAnsi"/>
                <w:sz w:val="18"/>
                <w:szCs w:val="18"/>
              </w:rPr>
              <w:t>The Steering Committee notes the following key data gaps/issues:</w:t>
            </w:r>
          </w:p>
          <w:p w:rsidR="005649C6" w:rsidRPr="009B41B9" w:rsidRDefault="005649C6"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 xml:space="preserve">The scope of the data used to produce this indicator is non-admitted patients registered for care in emergency departments in public hospitals reporting to the Non-admitted Patient Emergency Department Care (NAPEDC) National Minimum Data Set (NMDS) (Peer Groups A, B and other) as at August 2011 (when the National Health Reform Agreement National Partnership Agreement on Improving Public Hospital Services was signed). </w:t>
            </w:r>
          </w:p>
          <w:p w:rsidR="005649C6" w:rsidRPr="009B41B9" w:rsidRDefault="005649C6"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 xml:space="preserve">The scope of the NAPEDC NMDS changed between the 2012–13 and 2013–14 reporting periods. These changes may affect comparability of the data reported for 2013–14 with data reported for previous years.  </w:t>
            </w:r>
          </w:p>
          <w:p w:rsidR="005649C6" w:rsidRPr="009B41B9" w:rsidRDefault="005649C6"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For 2012–13, the coverage of the National Non-admitted Patient Emergency Department Care Database (NNAPEDCD) collection is complete for public hospitals in peer groups A and B (</w:t>
            </w:r>
            <w:r w:rsidRPr="009B41B9">
              <w:rPr>
                <w:rFonts w:asciiTheme="minorHAnsi" w:hAnsiTheme="minorHAnsi" w:cstheme="minorHAnsi"/>
                <w:i/>
                <w:sz w:val="18"/>
                <w:szCs w:val="18"/>
              </w:rPr>
              <w:t>Principal referral and Specialist women’s and children’s hospitals</w:t>
            </w:r>
            <w:r w:rsidRPr="009B41B9">
              <w:rPr>
                <w:rFonts w:asciiTheme="minorHAnsi" w:hAnsiTheme="minorHAnsi" w:cstheme="minorHAnsi"/>
                <w:sz w:val="18"/>
                <w:szCs w:val="18"/>
              </w:rPr>
              <w:t xml:space="preserve"> and </w:t>
            </w:r>
            <w:r w:rsidRPr="009B41B9">
              <w:rPr>
                <w:rFonts w:asciiTheme="minorHAnsi" w:hAnsiTheme="minorHAnsi" w:cstheme="minorHAnsi"/>
                <w:i/>
                <w:sz w:val="18"/>
                <w:szCs w:val="18"/>
              </w:rPr>
              <w:t>Large hospitals</w:t>
            </w:r>
            <w:r w:rsidRPr="009B41B9">
              <w:rPr>
                <w:rFonts w:asciiTheme="minorHAnsi" w:hAnsiTheme="minorHAnsi" w:cstheme="minorHAnsi"/>
                <w:sz w:val="18"/>
                <w:szCs w:val="18"/>
              </w:rPr>
              <w:t>) and is estimated at about 85</w:t>
            </w:r>
            <w:r w:rsidR="00E8429E">
              <w:rPr>
                <w:rFonts w:asciiTheme="minorHAnsi" w:hAnsiTheme="minorHAnsi" w:cstheme="minorHAnsi"/>
                <w:sz w:val="18"/>
                <w:szCs w:val="18"/>
              </w:rPr>
              <w:t xml:space="preserve"> per cent</w:t>
            </w:r>
            <w:r w:rsidRPr="009B41B9">
              <w:rPr>
                <w:rFonts w:asciiTheme="minorHAnsi" w:hAnsiTheme="minorHAnsi" w:cstheme="minorHAnsi"/>
                <w:sz w:val="18"/>
                <w:szCs w:val="18"/>
              </w:rPr>
              <w:t xml:space="preserve"> for all hospitals. </w:t>
            </w:r>
          </w:p>
          <w:p w:rsidR="005649C6" w:rsidRPr="009B41B9" w:rsidRDefault="005649C6"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It is estimated that 2013–14 has similar coverage for public hospitals in peer groups A and B, and is estimated at about 88</w:t>
            </w:r>
            <w:r w:rsidR="00E8429E">
              <w:rPr>
                <w:rFonts w:asciiTheme="minorHAnsi" w:hAnsiTheme="minorHAnsi" w:cstheme="minorHAnsi"/>
                <w:sz w:val="18"/>
                <w:szCs w:val="18"/>
              </w:rPr>
              <w:t xml:space="preserve"> per cent</w:t>
            </w:r>
            <w:r w:rsidRPr="009B41B9">
              <w:rPr>
                <w:rFonts w:asciiTheme="minorHAnsi" w:hAnsiTheme="minorHAnsi" w:cstheme="minorHAnsi"/>
                <w:sz w:val="18"/>
                <w:szCs w:val="18"/>
              </w:rPr>
              <w:t xml:space="preserve"> for all hospitals, although final coverage cannot be calculated until the 2013–14 National Public Hospital Establishments Database (NPHED) data are available.</w:t>
            </w:r>
          </w:p>
          <w:p w:rsidR="005649C6" w:rsidRPr="009B41B9" w:rsidRDefault="005649C6" w:rsidP="009B41B9">
            <w:pPr>
              <w:numPr>
                <w:ilvl w:val="0"/>
                <w:numId w:val="24"/>
              </w:numPr>
              <w:spacing w:before="40" w:after="40"/>
              <w:jc w:val="both"/>
              <w:rPr>
                <w:rFonts w:asciiTheme="minorHAnsi" w:hAnsiTheme="minorHAnsi" w:cstheme="minorHAnsi"/>
                <w:sz w:val="18"/>
                <w:szCs w:val="18"/>
              </w:rPr>
            </w:pPr>
            <w:r w:rsidRPr="009B41B9">
              <w:rPr>
                <w:rFonts w:asciiTheme="minorHAnsi" w:hAnsiTheme="minorHAnsi" w:cstheme="minorHAnsi"/>
                <w:sz w:val="18"/>
                <w:szCs w:val="18"/>
              </w:rPr>
              <w:t>Caution should be used in comparing these data with earlier years as the number of reporting hospitals and the peer group for a hospital, may vary over time.</w:t>
            </w:r>
          </w:p>
        </w:tc>
      </w:tr>
    </w:tbl>
    <w:p w:rsidR="009F4002" w:rsidRDefault="009F4002" w:rsidP="009F4002">
      <w:pPr>
        <w:pStyle w:val="Heading3"/>
      </w:pPr>
      <w:bookmarkStart w:id="4" w:name="_Toc401912922"/>
      <w:r w:rsidRPr="009F4002">
        <w:t>Waiting times for admitted patient services</w:t>
      </w:r>
      <w:bookmarkEnd w:id="4"/>
      <w:r w:rsidRPr="009F4002">
        <w:t xml:space="preserve"> </w:t>
      </w:r>
    </w:p>
    <w:p w:rsidR="0013559B" w:rsidRDefault="0013559B" w:rsidP="0013559B">
      <w:pPr>
        <w:pStyle w:val="BodyText"/>
      </w:pPr>
      <w:r>
        <w:t>Data quality information for this indicator has been sourced from the AIHW with additional Steering Committee comments.</w:t>
      </w:r>
    </w:p>
    <w:p w:rsidR="009F4002" w:rsidRDefault="00B33A69" w:rsidP="00B33A69">
      <w:pPr>
        <w:pStyle w:val="Heading4"/>
      </w:pPr>
      <w:r w:rsidRPr="00B33A69">
        <w:t>Overall elective surgery waiting times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673A96" w:rsidRPr="00673A96" w:rsidTr="009F4002">
        <w:tc>
          <w:tcPr>
            <w:tcW w:w="8789" w:type="dxa"/>
            <w:gridSpan w:val="2"/>
            <w:vAlign w:val="bottom"/>
          </w:tcPr>
          <w:p w:rsidR="0013559B" w:rsidRPr="00673A96" w:rsidRDefault="0013559B" w:rsidP="00184102">
            <w:pPr>
              <w:widowControl w:val="0"/>
              <w:spacing w:after="40" w:line="200" w:lineRule="atLeast"/>
              <w:ind w:left="6" w:right="113"/>
              <w:jc w:val="both"/>
              <w:rPr>
                <w:rFonts w:ascii="Arial" w:hAnsi="Arial"/>
                <w:b/>
                <w:sz w:val="18"/>
                <w:szCs w:val="20"/>
              </w:rPr>
            </w:pPr>
          </w:p>
          <w:p w:rsidR="0013559B" w:rsidRPr="00673A96" w:rsidRDefault="0013559B" w:rsidP="00184102">
            <w:pPr>
              <w:widowControl w:val="0"/>
              <w:spacing w:after="40" w:line="200" w:lineRule="atLeast"/>
              <w:ind w:left="6" w:right="113"/>
              <w:jc w:val="both"/>
              <w:rPr>
                <w:rFonts w:ascii="Arial" w:hAnsi="Arial"/>
                <w:b/>
                <w:sz w:val="18"/>
                <w:szCs w:val="20"/>
                <w:u w:val="single"/>
              </w:rPr>
            </w:pPr>
            <w:r w:rsidRPr="00673A96">
              <w:rPr>
                <w:rFonts w:ascii="Arial" w:hAnsi="Arial"/>
                <w:b/>
                <w:sz w:val="18"/>
                <w:szCs w:val="20"/>
                <w:u w:val="single"/>
              </w:rPr>
              <w:t>Indicator definition and description</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Element</w:t>
            </w:r>
          </w:p>
        </w:tc>
        <w:tc>
          <w:tcPr>
            <w:tcW w:w="7169" w:type="dxa"/>
          </w:tcPr>
          <w:p w:rsidR="0013559B" w:rsidRPr="00673A96" w:rsidRDefault="0013559B" w:rsidP="00184102">
            <w:pPr>
              <w:pStyle w:val="TableBodyText"/>
              <w:jc w:val="both"/>
            </w:pPr>
            <w:r w:rsidRPr="00673A96">
              <w:t xml:space="preserve">Effectiveness — access </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Indicator</w:t>
            </w:r>
          </w:p>
        </w:tc>
        <w:tc>
          <w:tcPr>
            <w:tcW w:w="7169" w:type="dxa"/>
            <w:vAlign w:val="bottom"/>
          </w:tcPr>
          <w:p w:rsidR="0013559B" w:rsidRPr="00673A96" w:rsidRDefault="00724EDD" w:rsidP="00184102">
            <w:pPr>
              <w:pStyle w:val="TableBodyText"/>
              <w:jc w:val="both"/>
              <w:rPr>
                <w:u w:val="single"/>
              </w:rPr>
            </w:pPr>
            <w:r w:rsidRPr="00673A96">
              <w:t>Waiting times for admitted patient services</w:t>
            </w:r>
            <w:r w:rsidR="00614760" w:rsidRPr="00673A96">
              <w:t xml:space="preserve"> — Overall elective surgery waiting times</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lastRenderedPageBreak/>
              <w:t>Measure</w:t>
            </w:r>
          </w:p>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(computation</w:t>
            </w:r>
          </w:p>
        </w:tc>
        <w:tc>
          <w:tcPr>
            <w:tcW w:w="7169" w:type="dxa"/>
            <w:vAlign w:val="bottom"/>
          </w:tcPr>
          <w:p w:rsidR="00720053" w:rsidRPr="00673A96" w:rsidRDefault="00720053" w:rsidP="00184102">
            <w:pPr>
              <w:pStyle w:val="TableBodyText"/>
              <w:jc w:val="both"/>
              <w:rPr>
                <w:rFonts w:asciiTheme="minorHAnsi" w:hAnsiTheme="minorHAnsi" w:cstheme="minorHAnsi"/>
              </w:rPr>
            </w:pPr>
            <w:r w:rsidRPr="00673A96">
              <w:rPr>
                <w:rFonts w:asciiTheme="minorHAnsi" w:hAnsiTheme="minorHAnsi" w:cstheme="minorHAnsi"/>
              </w:rPr>
              <w:t>The number of days’ waiting time is calculated by subtracting the listing date for care from the removal date, minus any days when the patient was not ready for care and minus any days the patient was waiting with a less urgent clinical urgency category than their clinical urgency category at removal.</w:t>
            </w:r>
          </w:p>
          <w:p w:rsidR="0013559B" w:rsidRPr="00673A96" w:rsidRDefault="00720053" w:rsidP="00184102">
            <w:pPr>
              <w:pStyle w:val="TableBodyText"/>
              <w:jc w:val="both"/>
              <w:rPr>
                <w:rFonts w:asciiTheme="minorHAnsi" w:hAnsiTheme="minorHAnsi" w:cstheme="minorHAnsi"/>
              </w:rPr>
            </w:pPr>
            <w:r w:rsidRPr="00673A96">
              <w:rPr>
                <w:rFonts w:asciiTheme="minorHAnsi" w:hAnsiTheme="minorHAnsi" w:cstheme="minorHAnsi"/>
              </w:rPr>
              <w:t>The 50th percentile (median) represents the number of days within which 50 per cent of patients were admitted; half the waiting times will be shorter than the median and half the waiting times longer. The 90th percentile data represent the number of days within which 90 per cent of patients were admitted.</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Data source/s</w:t>
            </w:r>
          </w:p>
        </w:tc>
        <w:tc>
          <w:tcPr>
            <w:tcW w:w="7169" w:type="dxa"/>
          </w:tcPr>
          <w:p w:rsidR="00720053" w:rsidRPr="00673A96" w:rsidRDefault="00720053" w:rsidP="00184102">
            <w:pPr>
              <w:pStyle w:val="TableBodyText"/>
              <w:jc w:val="both"/>
              <w:rPr>
                <w:rFonts w:asciiTheme="minorHAnsi" w:hAnsiTheme="minorHAnsi" w:cstheme="minorHAnsi"/>
              </w:rPr>
            </w:pPr>
            <w:r w:rsidRPr="00673A96">
              <w:rPr>
                <w:rFonts w:asciiTheme="minorHAnsi" w:hAnsiTheme="minorHAnsi" w:cstheme="minorHAnsi"/>
              </w:rPr>
              <w:t>For 2012–13 and 2013–14, this indicator is calculated using data from the NESWTDC, based on the National Minimum Data Set (NMDS) for Elective surgery waiting times (removals data).</w:t>
            </w:r>
          </w:p>
          <w:p w:rsidR="00720053" w:rsidRPr="00673A96" w:rsidRDefault="00720053" w:rsidP="00184102">
            <w:pPr>
              <w:pStyle w:val="TableBodyText"/>
              <w:jc w:val="both"/>
              <w:rPr>
                <w:rFonts w:asciiTheme="minorHAnsi" w:hAnsiTheme="minorHAnsi" w:cstheme="minorHAnsi"/>
              </w:rPr>
            </w:pPr>
            <w:r w:rsidRPr="00673A96">
              <w:rPr>
                <w:rFonts w:asciiTheme="minorHAnsi" w:hAnsiTheme="minorHAnsi" w:cstheme="minorHAnsi"/>
              </w:rPr>
              <w:t>For 2012–13, the NESWTDC was linked to the NHMD, based on the NMDS for Admitted patient care, to allow disaggregation by remoteness of area of usual residence and SEIFA of usual residence (all jurisdictions).</w:t>
            </w:r>
          </w:p>
          <w:p w:rsidR="00720053" w:rsidRPr="00673A96" w:rsidRDefault="00720053" w:rsidP="00184102">
            <w:pPr>
              <w:pStyle w:val="TableBodyText"/>
              <w:jc w:val="both"/>
              <w:rPr>
                <w:rFonts w:asciiTheme="minorHAnsi" w:hAnsiTheme="minorHAnsi" w:cstheme="minorHAnsi"/>
              </w:rPr>
            </w:pPr>
            <w:r w:rsidRPr="00673A96">
              <w:rPr>
                <w:rFonts w:asciiTheme="minorHAnsi" w:hAnsiTheme="minorHAnsi" w:cstheme="minorHAnsi"/>
                <w:u w:val="single"/>
              </w:rPr>
              <w:t>For data by socioeconomic status</w:t>
            </w:r>
            <w:r w:rsidRPr="00673A96">
              <w:rPr>
                <w:rFonts w:asciiTheme="minorHAnsi" w:hAnsiTheme="minorHAnsi" w:cstheme="minorHAnsi"/>
              </w:rPr>
              <w:t>: calculated by AIHW using the Australian Bureau of Statistics (ABS) Socio-Economic Indexes For Areas (SEIFA), Index of Relative Socio-Economic Disadvantage (IRSD) 2011 and Estimated Resident Population (ERP) by Statistical Area 2 (SA2) as at 30 June 2012 (2012–13). Each SA2 in Australia is ranked and divided into quintiles and deciles in a population-based manner, such that each quintile has approximately 20 per cent of the population and each decile has approximately 10 per cent of the population.</w:t>
            </w:r>
          </w:p>
          <w:p w:rsidR="0013559B" w:rsidRPr="00673A96" w:rsidRDefault="00720053" w:rsidP="00184102">
            <w:pPr>
              <w:pStyle w:val="TableBodyText"/>
              <w:jc w:val="both"/>
              <w:rPr>
                <w:rFonts w:asciiTheme="minorHAnsi" w:hAnsiTheme="minorHAnsi" w:cstheme="minorHAnsi"/>
              </w:rPr>
            </w:pPr>
            <w:r w:rsidRPr="00673A96">
              <w:rPr>
                <w:rFonts w:asciiTheme="minorHAnsi" w:hAnsiTheme="minorHAnsi" w:cstheme="minorHAnsi"/>
                <w:u w:val="single"/>
              </w:rPr>
              <w:t>For data by remoteness</w:t>
            </w:r>
            <w:r w:rsidRPr="00673A96">
              <w:rPr>
                <w:rFonts w:asciiTheme="minorHAnsi" w:hAnsiTheme="minorHAnsi" w:cstheme="minorHAnsi"/>
              </w:rPr>
              <w:t>: ABS ERP as at 30 June 2012 (2012–13), by remoteness areas, as specified in the Australian Statistical Geography Standard.</w:t>
            </w:r>
          </w:p>
        </w:tc>
      </w:tr>
      <w:tr w:rsidR="00673A96" w:rsidRPr="00673A96" w:rsidTr="009F4002">
        <w:tc>
          <w:tcPr>
            <w:tcW w:w="8789" w:type="dxa"/>
            <w:gridSpan w:val="2"/>
            <w:vAlign w:val="bottom"/>
          </w:tcPr>
          <w:p w:rsidR="0013559B" w:rsidRPr="00673A96" w:rsidRDefault="0013559B" w:rsidP="00184102">
            <w:pPr>
              <w:widowControl w:val="0"/>
              <w:spacing w:after="40" w:line="200" w:lineRule="atLeast"/>
              <w:ind w:left="6" w:right="113"/>
              <w:jc w:val="both"/>
              <w:rPr>
                <w:rFonts w:ascii="Arial" w:hAnsi="Arial"/>
                <w:b/>
                <w:sz w:val="18"/>
                <w:szCs w:val="20"/>
              </w:rPr>
            </w:pPr>
          </w:p>
          <w:p w:rsidR="0013559B" w:rsidRPr="00673A96" w:rsidRDefault="0013559B" w:rsidP="00184102">
            <w:pPr>
              <w:widowControl w:val="0"/>
              <w:spacing w:after="40" w:line="200" w:lineRule="atLeast"/>
              <w:ind w:left="6" w:right="113"/>
              <w:jc w:val="both"/>
              <w:rPr>
                <w:rFonts w:ascii="Arial" w:hAnsi="Arial"/>
                <w:b/>
                <w:sz w:val="18"/>
                <w:szCs w:val="20"/>
                <w:u w:val="single"/>
              </w:rPr>
            </w:pPr>
            <w:r w:rsidRPr="00673A96">
              <w:rPr>
                <w:rFonts w:ascii="Arial" w:hAnsi="Arial"/>
                <w:b/>
                <w:sz w:val="18"/>
                <w:szCs w:val="20"/>
                <w:u w:val="single"/>
              </w:rPr>
              <w:t>Data Quality Framework Dimensions</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Institutional environment</w:t>
            </w:r>
          </w:p>
        </w:tc>
        <w:tc>
          <w:tcPr>
            <w:tcW w:w="7169" w:type="dxa"/>
            <w:shd w:val="clear" w:color="auto" w:fill="auto"/>
          </w:tcPr>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Australian Institute of Health and Welfare (AIHW) is a major national agency set up by the Australian Government under the </w:t>
            </w:r>
            <w:r w:rsidRPr="00673A96">
              <w:rPr>
                <w:rFonts w:asciiTheme="minorHAnsi" w:hAnsiTheme="minorHAnsi" w:cstheme="minorHAnsi"/>
                <w:i/>
                <w:sz w:val="18"/>
                <w:szCs w:val="18"/>
              </w:rPr>
              <w:t>Australian Institute of Health and Welfare Act 1987</w:t>
            </w:r>
            <w:r w:rsidRPr="00673A96">
              <w:rPr>
                <w:rFonts w:asciiTheme="minorHAnsi" w:hAnsiTheme="minorHAnsi" w:cstheme="minorHAnsi"/>
                <w:sz w:val="18"/>
                <w:szCs w:val="18"/>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w:t>
            </w:r>
            <w:r w:rsidRPr="00673A96">
              <w:rPr>
                <w:rFonts w:asciiTheme="minorHAnsi" w:hAnsiTheme="minorHAnsi" w:cstheme="minorHAnsi"/>
                <w:i/>
                <w:sz w:val="18"/>
                <w:szCs w:val="18"/>
              </w:rPr>
              <w:t>Australian Institute of Health and Welfare Act 1987</w:t>
            </w:r>
            <w:r w:rsidRPr="00673A96">
              <w:rPr>
                <w:rFonts w:asciiTheme="minorHAnsi" w:hAnsiTheme="minorHAnsi" w:cstheme="minorHAnsi"/>
                <w:sz w:val="18"/>
                <w:szCs w:val="18"/>
              </w:rPr>
              <w:t xml:space="preserve">, in conjunction with compliance to the </w:t>
            </w:r>
            <w:r w:rsidRPr="00673A96">
              <w:rPr>
                <w:rFonts w:asciiTheme="minorHAnsi" w:hAnsiTheme="minorHAnsi" w:cstheme="minorHAnsi"/>
                <w:i/>
                <w:sz w:val="18"/>
                <w:szCs w:val="18"/>
              </w:rPr>
              <w:t>Privacy Act 1988 (Commonwealth)</w:t>
            </w:r>
            <w:r w:rsidRPr="00673A96">
              <w:rPr>
                <w:rFonts w:asciiTheme="minorHAnsi" w:hAnsiTheme="minorHAnsi" w:cstheme="minorHAnsi"/>
                <w:sz w:val="18"/>
                <w:szCs w:val="18"/>
              </w:rPr>
              <w:t>, ensures that the data collections managed by the AIHW are kept securely and under the strictest conditions with respect to privacy and confidentiality.</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For further information see the AIHW website </w:t>
            </w:r>
            <w:r w:rsidRPr="001E5CC7">
              <w:rPr>
                <w:rFonts w:asciiTheme="minorHAnsi" w:hAnsiTheme="minorHAnsi" w:cstheme="minorHAnsi"/>
                <w:sz w:val="18"/>
                <w:szCs w:val="18"/>
              </w:rPr>
              <w:t>www.aihw.gov.au</w:t>
            </w:r>
            <w:r w:rsidRPr="00673A96">
              <w:rPr>
                <w:rFonts w:asciiTheme="minorHAnsi" w:hAnsiTheme="minorHAnsi" w:cstheme="minorHAnsi"/>
                <w:sz w:val="18"/>
                <w:szCs w:val="18"/>
              </w:rPr>
              <w:t>.</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Data for the NESWTDC were supplied to the AIHW by state and territory health authorities under the terms of the National Health Information Agreement (see the following links):</w:t>
            </w:r>
          </w:p>
          <w:p w:rsidR="00720053" w:rsidRPr="00673A96" w:rsidRDefault="00720053" w:rsidP="00184102">
            <w:pPr>
              <w:jc w:val="both"/>
              <w:rPr>
                <w:rFonts w:asciiTheme="minorHAnsi" w:hAnsiTheme="minorHAnsi" w:cstheme="minorHAnsi"/>
                <w:sz w:val="18"/>
                <w:szCs w:val="18"/>
              </w:rPr>
            </w:pPr>
            <w:r w:rsidRPr="001E5CC7">
              <w:rPr>
                <w:rFonts w:asciiTheme="minorHAnsi" w:hAnsiTheme="minorHAnsi" w:cstheme="minorHAnsi"/>
                <w:sz w:val="18"/>
                <w:szCs w:val="18"/>
              </w:rPr>
              <w:t>http://www.aihw.gov.au/nhissc/</w:t>
            </w:r>
            <w:r w:rsidRPr="00673A96">
              <w:rPr>
                <w:rFonts w:asciiTheme="minorHAnsi" w:hAnsiTheme="minorHAnsi" w:cstheme="minorHAnsi"/>
                <w:sz w:val="18"/>
                <w:szCs w:val="18"/>
              </w:rPr>
              <w:t xml:space="preserve"> </w:t>
            </w:r>
          </w:p>
          <w:p w:rsidR="00720053" w:rsidRPr="00673A96" w:rsidRDefault="00720053" w:rsidP="00184102">
            <w:pPr>
              <w:jc w:val="both"/>
              <w:rPr>
                <w:rFonts w:asciiTheme="minorHAnsi" w:hAnsiTheme="minorHAnsi" w:cstheme="minorHAnsi"/>
                <w:sz w:val="18"/>
                <w:szCs w:val="18"/>
              </w:rPr>
            </w:pPr>
            <w:r w:rsidRPr="001E5CC7">
              <w:rPr>
                <w:rFonts w:asciiTheme="minorHAnsi" w:hAnsiTheme="minorHAnsi" w:cstheme="minorHAnsi"/>
                <w:sz w:val="18"/>
                <w:szCs w:val="18"/>
              </w:rPr>
              <w:t>http://meteor.aihw.gov.au/content/index.phtml/itemId/182135</w:t>
            </w:r>
            <w:r w:rsidRPr="00673A96">
              <w:rPr>
                <w:rFonts w:asciiTheme="minorHAnsi" w:hAnsiTheme="minorHAnsi" w:cstheme="minorHAnsi"/>
                <w:sz w:val="18"/>
                <w:szCs w:val="18"/>
              </w:rPr>
              <w:t xml:space="preserve"> </w:t>
            </w:r>
          </w:p>
          <w:p w:rsidR="0013559B" w:rsidRPr="00673A96" w:rsidRDefault="00720053" w:rsidP="00184102">
            <w:pPr>
              <w:pStyle w:val="TableBodyText"/>
              <w:jc w:val="both"/>
              <w:rPr>
                <w:rFonts w:asciiTheme="minorHAnsi" w:hAnsiTheme="minorHAnsi" w:cstheme="minorHAnsi"/>
                <w:szCs w:val="18"/>
              </w:rPr>
            </w:pPr>
            <w:r w:rsidRPr="00673A96">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Relevance</w:t>
            </w:r>
          </w:p>
        </w:tc>
        <w:tc>
          <w:tcPr>
            <w:tcW w:w="7169" w:type="dxa"/>
            <w:shd w:val="clear" w:color="auto" w:fill="auto"/>
          </w:tcPr>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purpose of the NMDS for Elective surgery waiting times (removals data) is to collect information about patients waiting for elective surgery in public hospitals. The </w:t>
            </w:r>
            <w:r w:rsidRPr="00673A96">
              <w:rPr>
                <w:rFonts w:asciiTheme="minorHAnsi" w:hAnsiTheme="minorHAnsi" w:cstheme="minorHAnsi"/>
                <w:sz w:val="18"/>
                <w:szCs w:val="18"/>
              </w:rPr>
              <w:lastRenderedPageBreak/>
              <w:t>scope of this NMDS is patients removed from waiting lists for elective surgery (as either an elective or emergency case) which are managed by public acute hospitals. This includes private patients treated in public hospitals and may include public patients treated in private hospitals.</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Analyses by remoteness and socioeconomic status are based on the Statistical Area level 2 of usual residence of the patient.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SA2 are derived from 2011 Census data and represent the attributes of the population in that SLA in 2011.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Separations are reported by jurisdiction of hospitalisation, regardless of the jurisdiction of usual residence. Hence, data represent the waiting time for patients living in each remoteness area or SEIFA population group (regardless of their jurisdiction of residence) for the reporting jurisdiction. This is relevant if significant numbers of one jurisdiction’s residents are treated in another jurisdiction.</w:t>
            </w:r>
          </w:p>
          <w:p w:rsidR="0013559B" w:rsidRPr="00673A96" w:rsidRDefault="00720053" w:rsidP="00184102">
            <w:pPr>
              <w:pStyle w:val="TableBodyText"/>
              <w:keepNext w:val="0"/>
              <w:keepLines w:val="0"/>
              <w:widowControl w:val="0"/>
              <w:jc w:val="both"/>
              <w:rPr>
                <w:rFonts w:asciiTheme="minorHAnsi" w:hAnsiTheme="minorHAnsi" w:cstheme="minorHAnsi"/>
                <w:szCs w:val="18"/>
              </w:rPr>
            </w:pPr>
            <w:r w:rsidRPr="00673A96">
              <w:rPr>
                <w:rFonts w:asciiTheme="minorHAnsi" w:hAnsiTheme="minorHAnsi" w:cstheme="minorHAnsi"/>
                <w:szCs w:val="18"/>
              </w:rPr>
              <w:t>Other Australians includes separations for non-Indigenous people and those for whom Indigenous status was not stated.</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lastRenderedPageBreak/>
              <w:t>Timeliness</w:t>
            </w:r>
          </w:p>
        </w:tc>
        <w:tc>
          <w:tcPr>
            <w:tcW w:w="7169" w:type="dxa"/>
          </w:tcPr>
          <w:p w:rsidR="0013559B" w:rsidRPr="00673A96" w:rsidRDefault="00720053" w:rsidP="00184102">
            <w:pPr>
              <w:pStyle w:val="TableBodyText"/>
              <w:keepNext w:val="0"/>
              <w:keepLines w:val="0"/>
              <w:widowControl w:val="0"/>
              <w:jc w:val="both"/>
              <w:rPr>
                <w:rFonts w:asciiTheme="minorHAnsi" w:hAnsiTheme="minorHAnsi" w:cstheme="minorHAnsi"/>
                <w:szCs w:val="18"/>
              </w:rPr>
            </w:pPr>
            <w:r w:rsidRPr="00673A96">
              <w:rPr>
                <w:rFonts w:asciiTheme="minorHAnsi" w:hAnsiTheme="minorHAnsi" w:cstheme="minorHAnsi"/>
                <w:szCs w:val="18"/>
              </w:rPr>
              <w:t>The reference period for these data is 2012–13 and 2013–14.</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Accuracy</w:t>
            </w:r>
          </w:p>
        </w:tc>
        <w:tc>
          <w:tcPr>
            <w:tcW w:w="7169" w:type="dxa"/>
          </w:tcPr>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For 2012–13 and 2013–14:</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 xml:space="preserve">Coverage of the NESWTDC was over 90 per cent. Coverage was 100 per cent for </w:t>
            </w:r>
            <w:r w:rsidRPr="00673A96">
              <w:rPr>
                <w:rFonts w:asciiTheme="minorHAnsi" w:hAnsiTheme="minorHAnsi" w:cstheme="minorHAnsi"/>
                <w:i/>
                <w:szCs w:val="18"/>
              </w:rPr>
              <w:t>Principal referral and Specialist women’s and children’s hospitals</w:t>
            </w:r>
            <w:r w:rsidRPr="00673A96">
              <w:rPr>
                <w:rFonts w:asciiTheme="minorHAnsi" w:hAnsiTheme="minorHAnsi" w:cstheme="minorHAnsi"/>
                <w:szCs w:val="18"/>
              </w:rPr>
              <w:t xml:space="preserve"> (peer group A) and was progressively lower for </w:t>
            </w:r>
            <w:r w:rsidRPr="00673A96">
              <w:rPr>
                <w:rFonts w:asciiTheme="minorHAnsi" w:hAnsiTheme="minorHAnsi" w:cstheme="minorHAnsi"/>
                <w:i/>
                <w:szCs w:val="18"/>
              </w:rPr>
              <w:t>Large hospitals</w:t>
            </w:r>
            <w:r w:rsidRPr="00673A96">
              <w:rPr>
                <w:rFonts w:asciiTheme="minorHAnsi" w:hAnsiTheme="minorHAnsi" w:cstheme="minorHAnsi"/>
                <w:szCs w:val="18"/>
              </w:rPr>
              <w:t xml:space="preserve"> (peer group B) and </w:t>
            </w:r>
            <w:r w:rsidRPr="00673A96">
              <w:rPr>
                <w:rFonts w:asciiTheme="minorHAnsi" w:hAnsiTheme="minorHAnsi" w:cstheme="minorHAnsi"/>
                <w:i/>
                <w:szCs w:val="18"/>
              </w:rPr>
              <w:t>Medium hospitals</w:t>
            </w:r>
            <w:r w:rsidRPr="00673A96">
              <w:rPr>
                <w:rFonts w:asciiTheme="minorHAnsi" w:hAnsiTheme="minorHAnsi" w:cstheme="minorHAnsi"/>
                <w:szCs w:val="18"/>
              </w:rPr>
              <w:t xml:space="preserve"> (peer group C). In 2012–13, coverage also varied by jurisdiction, ranging from 100 per cent in </w:t>
            </w:r>
            <w:r w:rsidR="00E8429E">
              <w:rPr>
                <w:rFonts w:asciiTheme="minorHAnsi" w:hAnsiTheme="minorHAnsi" w:cstheme="minorHAnsi"/>
                <w:szCs w:val="18"/>
              </w:rPr>
              <w:t>NSW</w:t>
            </w:r>
            <w:r w:rsidRPr="00673A96">
              <w:rPr>
                <w:rFonts w:asciiTheme="minorHAnsi" w:hAnsiTheme="minorHAnsi" w:cstheme="minorHAnsi"/>
                <w:szCs w:val="18"/>
              </w:rPr>
              <w:t xml:space="preserve">, </w:t>
            </w:r>
            <w:r w:rsidR="00E8429E">
              <w:rPr>
                <w:rFonts w:asciiTheme="minorHAnsi" w:hAnsiTheme="minorHAnsi" w:cstheme="minorHAnsi"/>
                <w:szCs w:val="18"/>
              </w:rPr>
              <w:t>WA</w:t>
            </w:r>
            <w:r w:rsidRPr="00673A96">
              <w:rPr>
                <w:rFonts w:asciiTheme="minorHAnsi" w:hAnsiTheme="minorHAnsi" w:cstheme="minorHAnsi"/>
                <w:szCs w:val="18"/>
              </w:rPr>
              <w:t xml:space="preserve">, Tasmania, the </w:t>
            </w:r>
            <w:r w:rsidR="00E8429E">
              <w:rPr>
                <w:rFonts w:asciiTheme="minorHAnsi" w:hAnsiTheme="minorHAnsi" w:cstheme="minorHAnsi"/>
                <w:szCs w:val="18"/>
              </w:rPr>
              <w:t xml:space="preserve">ACT </w:t>
            </w:r>
            <w:r w:rsidRPr="00673A96">
              <w:rPr>
                <w:rFonts w:asciiTheme="minorHAnsi" w:hAnsiTheme="minorHAnsi" w:cstheme="minorHAnsi"/>
                <w:szCs w:val="18"/>
              </w:rPr>
              <w:t xml:space="preserve">and the </w:t>
            </w:r>
            <w:r w:rsidR="00E8429E">
              <w:rPr>
                <w:rFonts w:asciiTheme="minorHAnsi" w:hAnsiTheme="minorHAnsi" w:cstheme="minorHAnsi"/>
                <w:szCs w:val="18"/>
              </w:rPr>
              <w:t>NT</w:t>
            </w:r>
            <w:r w:rsidRPr="00673A96">
              <w:rPr>
                <w:rFonts w:asciiTheme="minorHAnsi" w:hAnsiTheme="minorHAnsi" w:cstheme="minorHAnsi"/>
                <w:szCs w:val="18"/>
              </w:rPr>
              <w:t>, to 80 per cent in Victoria. For 2013–14, the preliminary estimate of the proportion of public elective surgery that was also reported to the NESWTDC was 93</w:t>
            </w:r>
            <w:r w:rsidR="00E8429E">
              <w:rPr>
                <w:rFonts w:asciiTheme="minorHAnsi" w:hAnsiTheme="minorHAnsi" w:cstheme="minorHAnsi"/>
                <w:szCs w:val="18"/>
              </w:rPr>
              <w:t xml:space="preserve"> per cent</w:t>
            </w:r>
            <w:r w:rsidRPr="00673A96">
              <w:rPr>
                <w:rFonts w:asciiTheme="minorHAnsi" w:hAnsiTheme="minorHAnsi" w:cstheme="minorHAnsi"/>
                <w:szCs w:val="18"/>
              </w:rPr>
              <w:t>.</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 xml:space="preserve">Almost all public hospitals provided data for the NHMD in 2012–13, with the exception of all separations for a mothercraft hospital in the </w:t>
            </w:r>
            <w:r w:rsidR="00FA5C46">
              <w:rPr>
                <w:rFonts w:asciiTheme="minorHAnsi" w:hAnsiTheme="minorHAnsi" w:cstheme="minorHAnsi"/>
                <w:szCs w:val="18"/>
              </w:rPr>
              <w:t>ACT</w:t>
            </w:r>
            <w:r w:rsidRPr="00673A96">
              <w:rPr>
                <w:rFonts w:asciiTheme="minorHAnsi" w:hAnsiTheme="minorHAnsi" w:cstheme="minorHAnsi"/>
                <w:szCs w:val="18"/>
              </w:rPr>
              <w:t>.</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 xml:space="preserve">Records from the NESWTDC and the NHMD were linked to assign remoteness areas and SEIFA categories from the admitted patient record to the corresponding elective surgery waiting times record. In 2012–13 approximately 96 per cent of NESWTDC records for removals were linked to the NHMD. </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There is apparent variation in the assignment of clinical urgency categories, both among and within jurisdictions, and for individual surgical specialties and indicator procedures, as well as overall. Interpretation of waiting times for jurisdictions should take into consideration these differences.</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 xml:space="preserve">The Indigenous status data were sourced from the NESWTDC for all jurisdictions. </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 xml:space="preserve">For 2009–10, the data for Albury Base Hospital (previously reported in </w:t>
            </w:r>
            <w:r w:rsidR="00E8429E">
              <w:rPr>
                <w:rFonts w:asciiTheme="minorHAnsi" w:hAnsiTheme="minorHAnsi" w:cstheme="minorHAnsi"/>
                <w:szCs w:val="18"/>
              </w:rPr>
              <w:t xml:space="preserve">NSW </w:t>
            </w:r>
            <w:r w:rsidRPr="00673A96">
              <w:rPr>
                <w:rFonts w:asciiTheme="minorHAnsi" w:hAnsiTheme="minorHAnsi" w:cstheme="minorHAnsi"/>
                <w:szCs w:val="18"/>
              </w:rPr>
              <w:t>hospital statistics) was reported by the Victorian Department of Health as part of the Albury Wodonga Health Service. From 2010–11, the data for Albury Base Hospital have not been available.</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 xml:space="preserve">From 2011–12, </w:t>
            </w:r>
            <w:r w:rsidR="00E8429E">
              <w:rPr>
                <w:rFonts w:asciiTheme="minorHAnsi" w:hAnsiTheme="minorHAnsi" w:cstheme="minorHAnsi"/>
                <w:szCs w:val="18"/>
              </w:rPr>
              <w:t>SA</w:t>
            </w:r>
            <w:r w:rsidRPr="00673A96">
              <w:rPr>
                <w:rFonts w:asciiTheme="minorHAnsi" w:hAnsiTheme="minorHAnsi" w:cstheme="minorHAnsi"/>
                <w:szCs w:val="18"/>
              </w:rPr>
              <w:t xml:space="preserve"> and </w:t>
            </w:r>
            <w:r w:rsidR="00E8429E">
              <w:rPr>
                <w:rFonts w:asciiTheme="minorHAnsi" w:hAnsiTheme="minorHAnsi" w:cstheme="minorHAnsi"/>
                <w:szCs w:val="18"/>
              </w:rPr>
              <w:t>WA</w:t>
            </w:r>
            <w:r w:rsidRPr="00673A96">
              <w:rPr>
                <w:rFonts w:asciiTheme="minorHAnsi" w:hAnsiTheme="minorHAnsi" w:cstheme="minorHAnsi"/>
                <w:szCs w:val="18"/>
              </w:rPr>
              <w:t xml:space="preserve"> provided data for a large number of smaller hospitals (32 and 22 respectively) that were not included in the data for previous years. </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For 2011–12, Queensland was not able to provide data for 3 hospitals that had reported almost 10,000 admissions in 2010–11.</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 xml:space="preserve">The increase in admissions for the </w:t>
            </w:r>
            <w:r w:rsidR="00E8429E">
              <w:rPr>
                <w:rFonts w:asciiTheme="minorHAnsi" w:hAnsiTheme="minorHAnsi" w:cstheme="minorHAnsi"/>
                <w:szCs w:val="18"/>
              </w:rPr>
              <w:t xml:space="preserve">NT </w:t>
            </w:r>
            <w:r w:rsidRPr="00673A96">
              <w:rPr>
                <w:rFonts w:asciiTheme="minorHAnsi" w:hAnsiTheme="minorHAnsi" w:cstheme="minorHAnsi"/>
                <w:szCs w:val="18"/>
              </w:rPr>
              <w:t xml:space="preserve">between 2010–11 and 2011–12 was, in part, due to the inclusion of certain surgical procedures from 2011–12 that had previously been incorrectly excluded from the NESWTDC by the </w:t>
            </w:r>
            <w:r w:rsidR="00FA5C46">
              <w:rPr>
                <w:rFonts w:asciiTheme="minorHAnsi" w:hAnsiTheme="minorHAnsi" w:cstheme="minorHAnsi"/>
                <w:szCs w:val="18"/>
              </w:rPr>
              <w:t>NT</w:t>
            </w:r>
            <w:r w:rsidRPr="00673A96">
              <w:rPr>
                <w:rFonts w:asciiTheme="minorHAnsi" w:hAnsiTheme="minorHAnsi" w:cstheme="minorHAnsi"/>
                <w:szCs w:val="18"/>
              </w:rPr>
              <w:t>.</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Interpretation of waiting times for jurisdictions should take into consideration cross-border flows, particularly for the </w:t>
            </w:r>
            <w:r w:rsidR="00FA5C46">
              <w:rPr>
                <w:rFonts w:asciiTheme="minorHAnsi" w:hAnsiTheme="minorHAnsi" w:cstheme="minorHAnsi"/>
                <w:sz w:val="18"/>
                <w:szCs w:val="18"/>
              </w:rPr>
              <w:t>ACT</w:t>
            </w:r>
            <w:r w:rsidRPr="00673A96">
              <w:rPr>
                <w:rFonts w:asciiTheme="minorHAnsi" w:hAnsiTheme="minorHAnsi" w:cstheme="minorHAnsi"/>
                <w:sz w:val="18"/>
                <w:szCs w:val="18"/>
              </w:rPr>
              <w:t xml:space="preserve">.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States and territories are primarily responsible for the quality of the data they provide. However, the AIHW undertakes extensive validations on data. Data are checked for </w:t>
            </w:r>
            <w:r w:rsidRPr="00673A96">
              <w:rPr>
                <w:rFonts w:asciiTheme="minorHAnsi" w:hAnsiTheme="minorHAnsi" w:cstheme="minorHAnsi"/>
                <w:sz w:val="18"/>
                <w:szCs w:val="18"/>
              </w:rPr>
              <w:lastRenderedPageBreak/>
              <w:t>valid values, logical consistency and historical consistency. Where possible, data in individual datasets are checked against data from other datasets. Potential errors are queried with jurisdictions, and corrections and resubmissions may be made in response to these queries. The AIHW does not adjust data to account for possible data errors or missing or incorrect values.</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Cells have been suppressed to protect confidentiality where the presentation could identify a patient or a service provider or where rates are likely to be highly volatile, for example, where the denominator is very small. The following rules were applied:</w:t>
            </w:r>
          </w:p>
          <w:p w:rsidR="00720053"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Cells based on fewer than 10 elective surgery admissions were suppressed.</w:t>
            </w:r>
          </w:p>
          <w:p w:rsidR="0013559B" w:rsidRPr="00673A96" w:rsidRDefault="00720053" w:rsidP="00184102">
            <w:pPr>
              <w:pStyle w:val="TableBullet"/>
              <w:jc w:val="both"/>
              <w:rPr>
                <w:rFonts w:asciiTheme="minorHAnsi" w:hAnsiTheme="minorHAnsi" w:cstheme="minorHAnsi"/>
                <w:szCs w:val="18"/>
              </w:rPr>
            </w:pPr>
            <w:r w:rsidRPr="00673A96">
              <w:rPr>
                <w:rFonts w:asciiTheme="minorHAnsi" w:hAnsiTheme="minorHAnsi" w:cstheme="minorHAnsi"/>
                <w:szCs w:val="18"/>
              </w:rPr>
              <w:t>Cells based on data from one public hospital only were suppressed.</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lastRenderedPageBreak/>
              <w:t>Coherence</w:t>
            </w:r>
          </w:p>
        </w:tc>
        <w:tc>
          <w:tcPr>
            <w:tcW w:w="7169" w:type="dxa"/>
          </w:tcPr>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Caution should be exercised when comparing waiting times data between jurisdictions due to differences in the assignment of clinical urgency categories (see </w:t>
            </w:r>
            <w:r w:rsidRPr="00673A96">
              <w:rPr>
                <w:rFonts w:asciiTheme="minorHAnsi" w:hAnsiTheme="minorHAnsi" w:cstheme="minorHAnsi"/>
                <w:i/>
                <w:sz w:val="18"/>
                <w:szCs w:val="18"/>
              </w:rPr>
              <w:t>Australian hospital statistics 2012–13: elective surgery waiting times</w:t>
            </w:r>
            <w:r w:rsidRPr="00673A96">
              <w:rPr>
                <w:rFonts w:asciiTheme="minorHAnsi" w:hAnsiTheme="minorHAnsi" w:cstheme="minorHAnsi"/>
                <w:sz w:val="18"/>
                <w:szCs w:val="18"/>
              </w:rPr>
              <w:t xml:space="preserve">, Appendix A p 40 </w:t>
            </w:r>
            <w:r w:rsidRPr="001E5CC7">
              <w:rPr>
                <w:rFonts w:asciiTheme="minorHAnsi" w:hAnsiTheme="minorHAnsi" w:cstheme="minorHAnsi"/>
                <w:sz w:val="18"/>
                <w:szCs w:val="18"/>
              </w:rPr>
              <w:t>http://www.aihw.gov.au/publication-detail/?id=60129544692</w:t>
            </w:r>
            <w:r w:rsidRPr="00673A96">
              <w:rPr>
                <w:rFonts w:asciiTheme="minorHAnsi" w:hAnsiTheme="minorHAnsi" w:cstheme="minorHAnsi"/>
                <w:sz w:val="18"/>
                <w:szCs w:val="18"/>
              </w:rPr>
              <w:t>).</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data can be meaningfully compared across reference periods, except for the Indigenous disaggregation. Caution should be used in comparing data by peer groups across reference years, as the number of hospitals classified as peer group A or B, or the peer group of a hospital, may vary over time.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information presented for this indicator is based on the same data as published in, </w:t>
            </w:r>
            <w:r w:rsidRPr="00673A96">
              <w:rPr>
                <w:rFonts w:asciiTheme="minorHAnsi" w:hAnsiTheme="minorHAnsi" w:cstheme="minorHAnsi"/>
                <w:i/>
                <w:sz w:val="18"/>
                <w:szCs w:val="18"/>
              </w:rPr>
              <w:t>Australian hospital statistics 2012–13</w:t>
            </w:r>
            <w:r w:rsidRPr="00673A96">
              <w:rPr>
                <w:rFonts w:asciiTheme="minorHAnsi" w:hAnsiTheme="minorHAnsi" w:cstheme="minorHAnsi"/>
                <w:sz w:val="18"/>
                <w:szCs w:val="18"/>
              </w:rPr>
              <w:t xml:space="preserve">, </w:t>
            </w:r>
            <w:r w:rsidRPr="00673A96">
              <w:rPr>
                <w:rFonts w:asciiTheme="minorHAnsi" w:hAnsiTheme="minorHAnsi" w:cstheme="minorHAnsi"/>
                <w:i/>
                <w:sz w:val="18"/>
                <w:szCs w:val="18"/>
              </w:rPr>
              <w:t>Australian hospital statistics: elective surgery waiting times</w:t>
            </w:r>
            <w:r w:rsidRPr="00673A96">
              <w:rPr>
                <w:rFonts w:asciiTheme="minorHAnsi" w:hAnsiTheme="minorHAnsi" w:cstheme="minorHAnsi"/>
                <w:sz w:val="18"/>
                <w:szCs w:val="18"/>
              </w:rPr>
              <w:t xml:space="preserve"> (report series) and the </w:t>
            </w:r>
            <w:r w:rsidRPr="00673A96">
              <w:rPr>
                <w:rFonts w:asciiTheme="minorHAnsi" w:hAnsiTheme="minorHAnsi" w:cstheme="minorHAnsi"/>
                <w:i/>
                <w:sz w:val="18"/>
                <w:szCs w:val="18"/>
              </w:rPr>
              <w:t>National Healthcare Agreement: performance report 2012–13</w:t>
            </w:r>
            <w:r w:rsidRPr="00673A96">
              <w:rPr>
                <w:rFonts w:asciiTheme="minorHAnsi" w:hAnsiTheme="minorHAnsi" w:cstheme="minorHAnsi"/>
                <w:sz w:val="18"/>
                <w:szCs w:val="18"/>
              </w:rPr>
              <w:t xml:space="preserve">.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The data reported for the 2012–13 and 2013–14 NEWSTDC are consistent with data reported for previous years for individual hospitals.</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In addition, some 2012–13 data reported previously in these publications are different from the equivalent data published here because the hospitals peer groups were based on 2011–12, rather than 2012–13 peer groups.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Caution should be exercised when interpreting the 2013–14 data as potential revisions to the 2013–14 NESWTDC data could occur following linking to the 2013–14 NHMD.</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Analyses presented in </w:t>
            </w:r>
            <w:r w:rsidRPr="00673A96">
              <w:rPr>
                <w:rFonts w:asciiTheme="minorHAnsi" w:hAnsiTheme="minorHAnsi" w:cstheme="minorHAnsi"/>
                <w:i/>
                <w:sz w:val="18"/>
                <w:szCs w:val="18"/>
              </w:rPr>
              <w:t>Australian hospital statistics</w:t>
            </w:r>
            <w:r w:rsidRPr="00673A96">
              <w:rPr>
                <w:rFonts w:asciiTheme="minorHAnsi" w:hAnsiTheme="minorHAnsi" w:cstheme="minorHAnsi"/>
                <w:sz w:val="18"/>
                <w:szCs w:val="18"/>
              </w:rPr>
              <w:t xml:space="preserve"> and previous </w:t>
            </w:r>
            <w:r w:rsidRPr="00673A96">
              <w:rPr>
                <w:rFonts w:asciiTheme="minorHAnsi" w:hAnsiTheme="minorHAnsi" w:cstheme="minorHAnsi"/>
                <w:i/>
                <w:sz w:val="18"/>
                <w:szCs w:val="18"/>
              </w:rPr>
              <w:t>National Healthcare Agreement performance</w:t>
            </w:r>
            <w:r w:rsidRPr="00673A96">
              <w:rPr>
                <w:rFonts w:asciiTheme="minorHAnsi" w:hAnsiTheme="minorHAnsi" w:cstheme="minorHAnsi"/>
                <w:sz w:val="18"/>
                <w:szCs w:val="18"/>
              </w:rPr>
              <w:t xml:space="preserve"> reports may also differ slightly depending on whether the NESWTDC or linked NESWTDC/NHMD was used.</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When comparing data over time, linked data should not be compared with unlinked data. For example, the 2012–13 linked data supplied cannot be directly compared to the 2013–14 unlinked data supplied in this reporting cycle.</w:t>
            </w:r>
          </w:p>
          <w:p w:rsidR="0013559B" w:rsidRPr="00673A96" w:rsidRDefault="00720053" w:rsidP="00184102">
            <w:pPr>
              <w:pStyle w:val="TableBodyText"/>
              <w:keepNext w:val="0"/>
              <w:keepLines w:val="0"/>
              <w:widowControl w:val="0"/>
              <w:jc w:val="both"/>
              <w:rPr>
                <w:rFonts w:asciiTheme="minorHAnsi" w:hAnsiTheme="minorHAnsi" w:cstheme="minorHAnsi"/>
                <w:szCs w:val="18"/>
              </w:rPr>
            </w:pPr>
            <w:r w:rsidRPr="00673A96">
              <w:rPr>
                <w:rFonts w:asciiTheme="minorHAnsi" w:hAnsiTheme="minorHAnsi" w:cstheme="minorHAnsi"/>
                <w:szCs w:val="18"/>
              </w:rPr>
              <w:t>In 2011, the ABS updated the Socio-Economic Indices for Areas (SEIFA), based on the 2011 ABS Census of Population and Housing.  The new SEIFA will be referred to as SEIFA 2011, and the previous SEIFA as SEIFA 2006. Data for 2007-08 through to 2010-11 reported for SEIFA quintiles and deciles are reported using SEIFA 2006 at the Statistical Local Area (SLA) level. Data for 2011-12 are reported using SEIFA 2011 at the SLA level and data for 2012–13 are reported using SEIFA 2011 at the SA2 level.  The AIHW considers the change from SEIFA 2006 to SEIFA 2011, and the change from SLA to SA2 to be series breaks when applied to data supplied for this indicator.  Therefore, SEIFA data for 2010–11 and previous years are not directly comparable with SEIFA data for 2011–12, and SEIFA data for 2011–12 and previous years are not directly comparable with SEIFA data for 2012–13 and subsequent years.</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Accessibility</w:t>
            </w:r>
          </w:p>
        </w:tc>
        <w:tc>
          <w:tcPr>
            <w:tcW w:w="7169" w:type="dxa"/>
          </w:tcPr>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AIHW provides a variety of products that draw upon the NESWTDC. Published products available on the AIHW website are the </w:t>
            </w:r>
            <w:r w:rsidRPr="00673A96">
              <w:rPr>
                <w:rFonts w:asciiTheme="minorHAnsi" w:hAnsiTheme="minorHAnsi" w:cstheme="minorHAnsi"/>
                <w:i/>
                <w:sz w:val="18"/>
                <w:szCs w:val="18"/>
              </w:rPr>
              <w:t>Australian hospital statistics</w:t>
            </w:r>
            <w:r w:rsidRPr="00673A96">
              <w:rPr>
                <w:rFonts w:asciiTheme="minorHAnsi" w:hAnsiTheme="minorHAnsi" w:cstheme="minorHAnsi"/>
                <w:sz w:val="18"/>
                <w:szCs w:val="18"/>
              </w:rPr>
              <w:t xml:space="preserve"> suite of products with associated Excel tables. </w:t>
            </w:r>
          </w:p>
          <w:p w:rsidR="0013559B" w:rsidRPr="00673A96" w:rsidRDefault="00720053" w:rsidP="00184102">
            <w:pPr>
              <w:pStyle w:val="TableBodyText"/>
              <w:keepNext w:val="0"/>
              <w:keepLines w:val="0"/>
              <w:widowControl w:val="0"/>
              <w:jc w:val="both"/>
              <w:rPr>
                <w:rFonts w:asciiTheme="minorHAnsi" w:hAnsiTheme="minorHAnsi" w:cstheme="minorHAnsi"/>
                <w:szCs w:val="18"/>
              </w:rPr>
            </w:pPr>
            <w:r w:rsidRPr="00673A96">
              <w:rPr>
                <w:rFonts w:asciiTheme="minorHAnsi" w:hAnsiTheme="minorHAnsi" w:cstheme="minorHAnsi"/>
                <w:szCs w:val="18"/>
              </w:rPr>
              <w:t xml:space="preserve">These products may be accessed on the AIHW website </w:t>
            </w:r>
            <w:r w:rsidRPr="001E5CC7">
              <w:rPr>
                <w:rFonts w:asciiTheme="minorHAnsi" w:hAnsiTheme="minorHAnsi" w:cstheme="minorHAnsi"/>
                <w:szCs w:val="18"/>
              </w:rPr>
              <w:lastRenderedPageBreak/>
              <w:t>http://www.aihw.gov.au/hospitals/</w:t>
            </w:r>
            <w:r w:rsidRPr="00673A96">
              <w:rPr>
                <w:rFonts w:asciiTheme="minorHAnsi" w:hAnsiTheme="minorHAnsi" w:cstheme="minorHAnsi"/>
                <w:szCs w:val="18"/>
              </w:rPr>
              <w:t>.</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lastRenderedPageBreak/>
              <w:t>Interpretability</w:t>
            </w:r>
          </w:p>
        </w:tc>
        <w:tc>
          <w:tcPr>
            <w:tcW w:w="7169" w:type="dxa"/>
          </w:tcPr>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Metadata information for the Elective Surgery Waiting Times (ESWT) NMDS and the Admitted patient care NMDS is published in the AIHW’s online metadata repository, METeOR, and the </w:t>
            </w:r>
            <w:r w:rsidRPr="00673A96">
              <w:rPr>
                <w:rFonts w:asciiTheme="minorHAnsi" w:hAnsiTheme="minorHAnsi" w:cstheme="minorHAnsi"/>
                <w:i/>
                <w:sz w:val="18"/>
                <w:szCs w:val="18"/>
              </w:rPr>
              <w:t>National health data dictionary</w:t>
            </w:r>
            <w:r w:rsidRPr="00673A96">
              <w:rPr>
                <w:rFonts w:asciiTheme="minorHAnsi" w:hAnsiTheme="minorHAnsi" w:cstheme="minorHAnsi"/>
                <w:sz w:val="18"/>
                <w:szCs w:val="18"/>
              </w:rPr>
              <w:t>.</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 xml:space="preserve">The </w:t>
            </w:r>
            <w:r w:rsidRPr="00673A96">
              <w:rPr>
                <w:rFonts w:asciiTheme="minorHAnsi" w:hAnsiTheme="minorHAnsi" w:cstheme="minorHAnsi"/>
                <w:i/>
                <w:sz w:val="18"/>
                <w:szCs w:val="18"/>
              </w:rPr>
              <w:t>National health data dictionary</w:t>
            </w:r>
            <w:r w:rsidRPr="00673A96">
              <w:rPr>
                <w:rFonts w:asciiTheme="minorHAnsi" w:hAnsiTheme="minorHAnsi" w:cstheme="minorHAnsi"/>
                <w:sz w:val="18"/>
                <w:szCs w:val="18"/>
              </w:rPr>
              <w:t xml:space="preserve"> can be accessed online at:</w:t>
            </w:r>
          </w:p>
          <w:p w:rsidR="00720053" w:rsidRPr="00673A96" w:rsidRDefault="00720053" w:rsidP="00184102">
            <w:pPr>
              <w:jc w:val="both"/>
              <w:rPr>
                <w:rFonts w:asciiTheme="minorHAnsi" w:hAnsiTheme="minorHAnsi" w:cstheme="minorHAnsi"/>
                <w:sz w:val="18"/>
                <w:szCs w:val="18"/>
              </w:rPr>
            </w:pPr>
            <w:r w:rsidRPr="001E5CC7">
              <w:rPr>
                <w:rFonts w:asciiTheme="minorHAnsi" w:hAnsiTheme="minorHAnsi" w:cstheme="minorHAnsi"/>
                <w:sz w:val="18"/>
                <w:szCs w:val="18"/>
              </w:rPr>
              <w:t>http://www.aihw.gov.au/publication-detail/?id=10737422826</w:t>
            </w:r>
            <w:r w:rsidRPr="00673A96">
              <w:rPr>
                <w:rFonts w:asciiTheme="minorHAnsi" w:hAnsiTheme="minorHAnsi" w:cstheme="minorHAnsi"/>
                <w:sz w:val="18"/>
                <w:szCs w:val="18"/>
              </w:rPr>
              <w:t xml:space="preserve">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The Data Quality Statement for the 2012–13 NESWTDC can be accessed on the AIHW website at:</w:t>
            </w:r>
          </w:p>
          <w:p w:rsidR="00720053" w:rsidRPr="00673A96" w:rsidRDefault="00720053" w:rsidP="00184102">
            <w:pPr>
              <w:jc w:val="both"/>
              <w:rPr>
                <w:rFonts w:asciiTheme="minorHAnsi" w:hAnsiTheme="minorHAnsi" w:cstheme="minorHAnsi"/>
                <w:sz w:val="18"/>
                <w:szCs w:val="18"/>
              </w:rPr>
            </w:pPr>
            <w:r w:rsidRPr="001E5CC7">
              <w:rPr>
                <w:rFonts w:asciiTheme="minorHAnsi" w:hAnsiTheme="minorHAnsi" w:cstheme="minorHAnsi"/>
                <w:sz w:val="18"/>
                <w:szCs w:val="18"/>
              </w:rPr>
              <w:t>http://meteor.aihw.gov.au/content/index.phtml/itemId/543809</w:t>
            </w:r>
            <w:r w:rsidRPr="00673A96">
              <w:rPr>
                <w:rFonts w:asciiTheme="minorHAnsi" w:hAnsiTheme="minorHAnsi" w:cstheme="minorHAnsi"/>
                <w:sz w:val="18"/>
                <w:szCs w:val="18"/>
              </w:rPr>
              <w:t xml:space="preserve"> </w:t>
            </w:r>
          </w:p>
          <w:p w:rsidR="00720053" w:rsidRPr="00673A96" w:rsidRDefault="00720053" w:rsidP="00184102">
            <w:pPr>
              <w:jc w:val="both"/>
              <w:rPr>
                <w:rFonts w:asciiTheme="minorHAnsi" w:hAnsiTheme="minorHAnsi" w:cstheme="minorHAnsi"/>
                <w:sz w:val="18"/>
                <w:szCs w:val="18"/>
              </w:rPr>
            </w:pPr>
            <w:r w:rsidRPr="00673A96">
              <w:rPr>
                <w:rFonts w:asciiTheme="minorHAnsi" w:hAnsiTheme="minorHAnsi" w:cstheme="minorHAnsi"/>
                <w:sz w:val="18"/>
                <w:szCs w:val="18"/>
              </w:rPr>
              <w:t>The Data Quality Statement for the 2012–13 NHMD can be accessed on the AIHW website at:</w:t>
            </w:r>
          </w:p>
          <w:p w:rsidR="0013559B" w:rsidRPr="00673A96" w:rsidRDefault="00720053" w:rsidP="00184102">
            <w:pPr>
              <w:pStyle w:val="TableBodyText"/>
              <w:keepNext w:val="0"/>
              <w:keepLines w:val="0"/>
              <w:widowControl w:val="0"/>
              <w:jc w:val="both"/>
              <w:rPr>
                <w:rFonts w:asciiTheme="minorHAnsi" w:hAnsiTheme="minorHAnsi" w:cstheme="minorHAnsi"/>
                <w:szCs w:val="18"/>
              </w:rPr>
            </w:pPr>
            <w:r w:rsidRPr="001E5CC7">
              <w:rPr>
                <w:rFonts w:asciiTheme="minorHAnsi" w:hAnsiTheme="minorHAnsi" w:cstheme="minorHAnsi"/>
                <w:szCs w:val="18"/>
              </w:rPr>
              <w:t>http://meteor.aihw.gov.au/content/index.phtml/itemId/568730</w:t>
            </w:r>
            <w:r w:rsidRPr="00673A96">
              <w:rPr>
                <w:rFonts w:asciiTheme="minorHAnsi" w:hAnsiTheme="minorHAnsi" w:cstheme="minorHAnsi"/>
                <w:szCs w:val="18"/>
              </w:rPr>
              <w:t>   </w:t>
            </w:r>
          </w:p>
        </w:tc>
      </w:tr>
      <w:tr w:rsidR="00673A96" w:rsidRPr="00673A96" w:rsidTr="009F4002">
        <w:tc>
          <w:tcPr>
            <w:tcW w:w="8789" w:type="dxa"/>
            <w:gridSpan w:val="2"/>
            <w:vAlign w:val="bottom"/>
          </w:tcPr>
          <w:p w:rsidR="0013559B" w:rsidRPr="00673A96" w:rsidRDefault="0013559B" w:rsidP="00184102">
            <w:pPr>
              <w:widowControl w:val="0"/>
              <w:spacing w:after="40" w:line="200" w:lineRule="atLeast"/>
              <w:ind w:left="6" w:right="113"/>
              <w:jc w:val="both"/>
              <w:rPr>
                <w:rFonts w:ascii="Arial" w:hAnsi="Arial"/>
                <w:b/>
                <w:sz w:val="18"/>
                <w:szCs w:val="20"/>
              </w:rPr>
            </w:pPr>
          </w:p>
          <w:p w:rsidR="0013559B" w:rsidRPr="00673A96" w:rsidRDefault="0013559B" w:rsidP="00184102">
            <w:pPr>
              <w:widowControl w:val="0"/>
              <w:spacing w:after="40" w:line="200" w:lineRule="atLeast"/>
              <w:ind w:left="6" w:right="113"/>
              <w:jc w:val="both"/>
              <w:rPr>
                <w:rFonts w:ascii="Arial" w:hAnsi="Arial"/>
                <w:b/>
                <w:sz w:val="18"/>
                <w:szCs w:val="20"/>
                <w:u w:val="single"/>
              </w:rPr>
            </w:pPr>
            <w:r w:rsidRPr="00673A96">
              <w:rPr>
                <w:rFonts w:ascii="Arial" w:hAnsi="Arial"/>
                <w:b/>
                <w:sz w:val="18"/>
                <w:szCs w:val="20"/>
                <w:u w:val="single"/>
              </w:rPr>
              <w:t>Data Gaps/Issues Analysis</w:t>
            </w:r>
          </w:p>
        </w:tc>
      </w:tr>
      <w:tr w:rsidR="00E62DA4" w:rsidRPr="00E62DA4" w:rsidTr="009F4002">
        <w:tc>
          <w:tcPr>
            <w:tcW w:w="1620" w:type="dxa"/>
          </w:tcPr>
          <w:p w:rsidR="009042BA" w:rsidRPr="00E62DA4" w:rsidRDefault="009042BA" w:rsidP="00184102">
            <w:pPr>
              <w:widowControl w:val="0"/>
              <w:spacing w:after="40" w:line="200" w:lineRule="atLeast"/>
              <w:ind w:left="6" w:right="113"/>
              <w:rPr>
                <w:rFonts w:ascii="Arial" w:hAnsi="Arial"/>
                <w:b/>
                <w:sz w:val="18"/>
                <w:szCs w:val="20"/>
              </w:rPr>
            </w:pPr>
            <w:r w:rsidRPr="00E62DA4">
              <w:rPr>
                <w:rFonts w:ascii="Arial" w:hAnsi="Arial"/>
                <w:b/>
                <w:sz w:val="18"/>
                <w:szCs w:val="20"/>
              </w:rPr>
              <w:t>Key data gaps/issues</w:t>
            </w:r>
          </w:p>
        </w:tc>
        <w:tc>
          <w:tcPr>
            <w:tcW w:w="7169" w:type="dxa"/>
          </w:tcPr>
          <w:p w:rsidR="009042BA" w:rsidRPr="00E62DA4" w:rsidRDefault="009042BA" w:rsidP="00184102">
            <w:pPr>
              <w:pStyle w:val="TableBodyText"/>
              <w:keepNext w:val="0"/>
              <w:keepLines w:val="0"/>
              <w:widowControl w:val="0"/>
              <w:jc w:val="both"/>
            </w:pPr>
            <w:r w:rsidRPr="00E62DA4">
              <w:t>The Steering Committee notes the following key data gaps/issues:</w:t>
            </w:r>
          </w:p>
          <w:p w:rsidR="00E62DA4" w:rsidRPr="00E62DA4" w:rsidRDefault="00E62DA4" w:rsidP="00184102">
            <w:pPr>
              <w:numPr>
                <w:ilvl w:val="0"/>
                <w:numId w:val="24"/>
              </w:numPr>
              <w:spacing w:before="40" w:after="40"/>
              <w:jc w:val="both"/>
              <w:rPr>
                <w:rFonts w:asciiTheme="minorHAnsi" w:hAnsiTheme="minorHAnsi" w:cstheme="minorHAnsi"/>
                <w:sz w:val="18"/>
                <w:szCs w:val="18"/>
              </w:rPr>
            </w:pPr>
            <w:r w:rsidRPr="00E62DA4">
              <w:rPr>
                <w:rFonts w:asciiTheme="minorHAnsi" w:hAnsiTheme="minorHAnsi" w:cstheme="minorHAnsi"/>
                <w:sz w:val="18"/>
                <w:szCs w:val="18"/>
              </w:rPr>
              <w:t>Analyses for remoteness and socioeconomic status are based on the reported area of usual residence of the patient, regardless of the jurisdiction of the hospital. This is relevant if significant numbers of one jurisdiction’s residents are treated in another jurisdiction.</w:t>
            </w:r>
          </w:p>
          <w:p w:rsidR="00E62DA4" w:rsidRPr="00E62DA4" w:rsidRDefault="00E62DA4" w:rsidP="00184102">
            <w:pPr>
              <w:numPr>
                <w:ilvl w:val="0"/>
                <w:numId w:val="24"/>
              </w:numPr>
              <w:spacing w:before="40" w:after="40"/>
              <w:jc w:val="both"/>
              <w:rPr>
                <w:rFonts w:asciiTheme="minorHAnsi" w:hAnsiTheme="minorHAnsi" w:cstheme="minorHAnsi"/>
                <w:sz w:val="18"/>
                <w:szCs w:val="18"/>
              </w:rPr>
            </w:pPr>
            <w:r w:rsidRPr="00E62DA4">
              <w:rPr>
                <w:rFonts w:asciiTheme="minorHAnsi" w:hAnsiTheme="minorHAnsi" w:cstheme="minorHAnsi"/>
                <w:sz w:val="18"/>
                <w:szCs w:val="18"/>
              </w:rPr>
              <w:t>The quality of Indigenous status data in the NESWTDC has not been formally assessed for completeness: caution should be exercised when interpreting these data.</w:t>
            </w:r>
          </w:p>
          <w:p w:rsidR="00E62DA4" w:rsidRPr="00E62DA4" w:rsidRDefault="00E62DA4" w:rsidP="00184102">
            <w:pPr>
              <w:numPr>
                <w:ilvl w:val="0"/>
                <w:numId w:val="24"/>
              </w:numPr>
              <w:spacing w:before="40" w:after="40"/>
              <w:jc w:val="both"/>
              <w:rPr>
                <w:rFonts w:asciiTheme="minorHAnsi" w:hAnsiTheme="minorHAnsi" w:cstheme="minorHAnsi"/>
                <w:sz w:val="18"/>
                <w:szCs w:val="18"/>
              </w:rPr>
            </w:pPr>
            <w:r w:rsidRPr="00E62DA4">
              <w:rPr>
                <w:rFonts w:asciiTheme="minorHAnsi" w:hAnsiTheme="minorHAnsi" w:cstheme="minorHAnsi"/>
                <w:sz w:val="18"/>
                <w:szCs w:val="18"/>
              </w:rPr>
              <w:t>Interpretation of waiting times for jurisdictions should take into consideration cross-border flows, particularly for the ACT.</w:t>
            </w:r>
          </w:p>
          <w:p w:rsidR="00E62DA4" w:rsidRPr="00E62DA4" w:rsidRDefault="00E62DA4" w:rsidP="00184102">
            <w:pPr>
              <w:numPr>
                <w:ilvl w:val="0"/>
                <w:numId w:val="24"/>
              </w:numPr>
              <w:spacing w:before="40" w:after="40"/>
              <w:jc w:val="both"/>
              <w:rPr>
                <w:rFonts w:asciiTheme="minorHAnsi" w:hAnsiTheme="minorHAnsi" w:cstheme="minorHAnsi"/>
                <w:sz w:val="18"/>
                <w:szCs w:val="18"/>
              </w:rPr>
            </w:pPr>
            <w:r w:rsidRPr="00E62DA4">
              <w:rPr>
                <w:rFonts w:asciiTheme="minorHAnsi" w:hAnsiTheme="minorHAnsi" w:cstheme="minorHAnsi"/>
                <w:sz w:val="18"/>
                <w:szCs w:val="18"/>
              </w:rPr>
              <w:t>Remoteness data for 2011–12 and previous years are not directly comparable to remoteness data for 2012–13 and subsequent years.</w:t>
            </w:r>
          </w:p>
          <w:p w:rsidR="00720053" w:rsidRPr="00E62DA4" w:rsidRDefault="00E62DA4" w:rsidP="00184102">
            <w:pPr>
              <w:widowControl w:val="0"/>
              <w:numPr>
                <w:ilvl w:val="0"/>
                <w:numId w:val="24"/>
              </w:numPr>
              <w:spacing w:before="40" w:after="40"/>
              <w:jc w:val="both"/>
            </w:pPr>
            <w:r w:rsidRPr="00E62DA4">
              <w:rPr>
                <w:rFonts w:asciiTheme="minorHAnsi" w:hAnsiTheme="minorHAnsi" w:cstheme="minorHAnsi"/>
                <w:sz w:val="18"/>
                <w:szCs w:val="18"/>
              </w:rPr>
              <w:t>SEIFA data for 2010–11 and previous years are not directly comparable with SEIFA data for 2011–12, and SEIFA data for 2011–12 and previous years are not directly comparable with SEIFA data for 2012–13 and subsequent years.</w:t>
            </w:r>
          </w:p>
        </w:tc>
      </w:tr>
    </w:tbl>
    <w:p w:rsidR="009F4002" w:rsidRDefault="009F4002" w:rsidP="009F4002">
      <w:pPr>
        <w:pStyle w:val="Heading4"/>
      </w:pPr>
      <w:r w:rsidRPr="009F4002">
        <w:t>Elective surgery waiting times by clinical urgency category</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24EDD" w:rsidRPr="00DD4939" w:rsidTr="00345271">
        <w:tc>
          <w:tcPr>
            <w:tcW w:w="8789" w:type="dxa"/>
            <w:gridSpan w:val="2"/>
            <w:vAlign w:val="bottom"/>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u w:val="single"/>
              </w:rPr>
            </w:pPr>
            <w:r w:rsidRPr="00D4787D">
              <w:rPr>
                <w:rFonts w:asciiTheme="minorHAnsi" w:hAnsiTheme="minorHAnsi" w:cstheme="minorHAnsi"/>
                <w:b/>
                <w:sz w:val="18"/>
                <w:szCs w:val="18"/>
                <w:u w:val="single"/>
              </w:rPr>
              <w:t>Indicator definition and description</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Element</w:t>
            </w:r>
          </w:p>
        </w:tc>
        <w:tc>
          <w:tcPr>
            <w:tcW w:w="7169" w:type="dxa"/>
          </w:tcPr>
          <w:p w:rsidR="00724EDD" w:rsidRPr="00D4787D" w:rsidRDefault="00724EDD" w:rsidP="00D4787D">
            <w:pPr>
              <w:pStyle w:val="TableBodyText"/>
              <w:jc w:val="both"/>
              <w:rPr>
                <w:rFonts w:asciiTheme="minorHAnsi" w:hAnsiTheme="minorHAnsi" w:cstheme="minorHAnsi"/>
                <w:szCs w:val="18"/>
              </w:rPr>
            </w:pPr>
            <w:r w:rsidRPr="00D4787D">
              <w:rPr>
                <w:rFonts w:asciiTheme="minorHAnsi" w:hAnsiTheme="minorHAnsi" w:cstheme="minorHAnsi"/>
                <w:szCs w:val="18"/>
              </w:rPr>
              <w:t xml:space="preserve">Effectiveness — access </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Indicator</w:t>
            </w:r>
          </w:p>
        </w:tc>
        <w:tc>
          <w:tcPr>
            <w:tcW w:w="7169" w:type="dxa"/>
            <w:vAlign w:val="bottom"/>
          </w:tcPr>
          <w:p w:rsidR="00724EDD" w:rsidRPr="00D4787D" w:rsidRDefault="00724EDD" w:rsidP="00D4787D">
            <w:pPr>
              <w:pStyle w:val="TableBodyText"/>
              <w:jc w:val="both"/>
              <w:rPr>
                <w:rFonts w:asciiTheme="minorHAnsi" w:hAnsiTheme="minorHAnsi" w:cstheme="minorHAnsi"/>
                <w:szCs w:val="18"/>
                <w:u w:val="single"/>
              </w:rPr>
            </w:pPr>
            <w:r w:rsidRPr="00D4787D">
              <w:rPr>
                <w:rFonts w:asciiTheme="minorHAnsi" w:hAnsiTheme="minorHAnsi" w:cstheme="minorHAnsi"/>
                <w:szCs w:val="18"/>
              </w:rPr>
              <w:t>Waiting times for admitted patient services</w:t>
            </w:r>
            <w:r w:rsidR="00614760" w:rsidRPr="00D4787D">
              <w:rPr>
                <w:rFonts w:asciiTheme="minorHAnsi" w:hAnsiTheme="minorHAnsi" w:cstheme="minorHAnsi"/>
                <w:szCs w:val="18"/>
              </w:rPr>
              <w:t xml:space="preserve"> — Elective surgery waiting times by clinical urgency category</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Measure</w:t>
            </w: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(computation</w:t>
            </w:r>
          </w:p>
        </w:tc>
        <w:tc>
          <w:tcPr>
            <w:tcW w:w="7169" w:type="dxa"/>
            <w:vAlign w:val="bottom"/>
          </w:tcPr>
          <w:p w:rsidR="00724EDD" w:rsidRPr="00D4787D" w:rsidRDefault="00724EDD" w:rsidP="00D4787D">
            <w:pPr>
              <w:pStyle w:val="TableBodyText"/>
              <w:jc w:val="both"/>
              <w:rPr>
                <w:rFonts w:asciiTheme="minorHAnsi" w:hAnsiTheme="minorHAnsi" w:cstheme="minorHAnsi"/>
                <w:szCs w:val="18"/>
              </w:rPr>
            </w:pPr>
            <w:r w:rsidRPr="00D4787D">
              <w:rPr>
                <w:rFonts w:asciiTheme="minorHAnsi" w:hAnsiTheme="minorHAnsi" w:cstheme="minorHAnsi"/>
                <w:szCs w:val="18"/>
              </w:rPr>
              <w:t>Elective surgery waiting times by clinical urgency category reports the proportion of patients who were admitted from waiting lists after an extended wait. The three generally accepted clinical urgency categories for elective surgery are:</w:t>
            </w:r>
          </w:p>
          <w:p w:rsidR="00724EDD" w:rsidRPr="00D4787D" w:rsidRDefault="00724EDD" w:rsidP="00D4787D">
            <w:pPr>
              <w:pStyle w:val="TableBullet"/>
              <w:jc w:val="both"/>
              <w:rPr>
                <w:rFonts w:asciiTheme="minorHAnsi" w:hAnsiTheme="minorHAnsi" w:cstheme="minorHAnsi"/>
                <w:szCs w:val="18"/>
              </w:rPr>
            </w:pPr>
            <w:r w:rsidRPr="00D4787D">
              <w:rPr>
                <w:rFonts w:asciiTheme="minorHAnsi" w:hAnsiTheme="minorHAnsi" w:cstheme="minorHAnsi"/>
                <w:szCs w:val="18"/>
              </w:rPr>
              <w:t>category 1 — admission is desirable within 30 days for a condition that has the potential to deteriorate quickly to the point that it may become an emergency.</w:t>
            </w:r>
          </w:p>
          <w:p w:rsidR="00724EDD" w:rsidRPr="00D4787D" w:rsidRDefault="00724EDD" w:rsidP="00D4787D">
            <w:pPr>
              <w:pStyle w:val="TableBullet"/>
              <w:jc w:val="both"/>
              <w:rPr>
                <w:rFonts w:asciiTheme="minorHAnsi" w:hAnsiTheme="minorHAnsi" w:cstheme="minorHAnsi"/>
                <w:szCs w:val="18"/>
              </w:rPr>
            </w:pPr>
            <w:r w:rsidRPr="00D4787D">
              <w:rPr>
                <w:rFonts w:asciiTheme="minorHAnsi" w:hAnsiTheme="minorHAnsi" w:cstheme="minorHAnsi"/>
                <w:szCs w:val="18"/>
              </w:rPr>
              <w:t>category 2 — admission is desirable within 90 days for a condition causing some pain, dysfunction or disability but which is not likely to deteriorate quickly or become an emergency.</w:t>
            </w:r>
          </w:p>
          <w:p w:rsidR="00724EDD" w:rsidRPr="00D4787D" w:rsidRDefault="00724EDD" w:rsidP="00D4787D">
            <w:pPr>
              <w:pStyle w:val="TableBullet"/>
              <w:jc w:val="both"/>
              <w:rPr>
                <w:rFonts w:asciiTheme="minorHAnsi" w:hAnsiTheme="minorHAnsi" w:cstheme="minorHAnsi"/>
                <w:szCs w:val="18"/>
              </w:rPr>
            </w:pPr>
            <w:r w:rsidRPr="00D4787D">
              <w:rPr>
                <w:rFonts w:asciiTheme="minorHAnsi" w:hAnsiTheme="minorHAnsi" w:cstheme="minorHAnsi"/>
                <w:szCs w:val="18"/>
              </w:rPr>
              <w:t>category 3 — admission at some time in the future acceptable for a condition causing minimal or no pain, dysfunction or disability, which is unlikely to deteriorate quickly and which does not have the potential to become an emergency. Desirable timeframe for this category is admission within 365 days.</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Data source/s</w:t>
            </w:r>
          </w:p>
        </w:tc>
        <w:tc>
          <w:tcPr>
            <w:tcW w:w="7169" w:type="dxa"/>
          </w:tcPr>
          <w:p w:rsidR="00324D18" w:rsidRPr="00D4787D" w:rsidRDefault="00324D18" w:rsidP="00D4787D">
            <w:pPr>
              <w:pStyle w:val="TableBodyText"/>
              <w:jc w:val="both"/>
              <w:rPr>
                <w:rFonts w:asciiTheme="minorHAnsi" w:hAnsiTheme="minorHAnsi" w:cstheme="minorHAnsi"/>
                <w:szCs w:val="18"/>
              </w:rPr>
            </w:pPr>
            <w:r w:rsidRPr="00D4787D">
              <w:rPr>
                <w:rFonts w:asciiTheme="minorHAnsi" w:hAnsiTheme="minorHAnsi" w:cstheme="minorHAnsi"/>
                <w:szCs w:val="18"/>
              </w:rPr>
              <w:t>For 2012–13 and 2013–14, this indicator is calculated using data from the NESWTDC, based on the National Minimum Data Set (NMDS) for Elective surgery waiting times (removals data).</w:t>
            </w:r>
          </w:p>
          <w:p w:rsidR="00724EDD" w:rsidRPr="00D4787D" w:rsidRDefault="00324D18" w:rsidP="00D4787D">
            <w:pPr>
              <w:pStyle w:val="TableBodyText"/>
              <w:jc w:val="both"/>
              <w:rPr>
                <w:rFonts w:asciiTheme="minorHAnsi" w:hAnsiTheme="minorHAnsi" w:cstheme="minorHAnsi"/>
                <w:szCs w:val="18"/>
              </w:rPr>
            </w:pPr>
            <w:r w:rsidRPr="00D4787D">
              <w:rPr>
                <w:rFonts w:asciiTheme="minorHAnsi" w:hAnsiTheme="minorHAnsi" w:cstheme="minorHAnsi"/>
                <w:szCs w:val="18"/>
              </w:rPr>
              <w:t>For 2012–13, the NESWTDC was linked to the NHMD, based on the NMDS for Admitted patient care, to allow disaggregation by remoteness of area of usual residence and SEIFA of usual residence (all jurisdictions).</w:t>
            </w:r>
          </w:p>
        </w:tc>
      </w:tr>
      <w:tr w:rsidR="00724EDD" w:rsidRPr="00DD4939" w:rsidTr="00345271">
        <w:tc>
          <w:tcPr>
            <w:tcW w:w="8789" w:type="dxa"/>
            <w:gridSpan w:val="2"/>
            <w:vAlign w:val="bottom"/>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u w:val="single"/>
              </w:rPr>
            </w:pPr>
            <w:r w:rsidRPr="00D4787D">
              <w:rPr>
                <w:rFonts w:asciiTheme="minorHAnsi" w:hAnsiTheme="minorHAnsi" w:cstheme="minorHAnsi"/>
                <w:b/>
                <w:sz w:val="18"/>
                <w:szCs w:val="18"/>
                <w:u w:val="single"/>
              </w:rPr>
              <w:t>Data Quality Framework Dimensions</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Institutional environment</w:t>
            </w:r>
          </w:p>
        </w:tc>
        <w:tc>
          <w:tcPr>
            <w:tcW w:w="7169" w:type="dxa"/>
            <w:shd w:val="clear" w:color="auto" w:fill="auto"/>
          </w:tcPr>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 xml:space="preserve">The Australian Institute of Health and Welfare (AIHW) is a major national agency set up by the Australian Government under the </w:t>
            </w:r>
            <w:r w:rsidRPr="00D4787D">
              <w:rPr>
                <w:rFonts w:asciiTheme="minorHAnsi" w:hAnsiTheme="minorHAnsi" w:cstheme="minorHAnsi"/>
                <w:i/>
                <w:sz w:val="18"/>
                <w:szCs w:val="18"/>
              </w:rPr>
              <w:t xml:space="preserve">Australian Institute of Health and Welfare Act </w:t>
            </w:r>
            <w:r w:rsidRPr="00D4787D">
              <w:rPr>
                <w:rFonts w:asciiTheme="minorHAnsi" w:hAnsiTheme="minorHAnsi" w:cstheme="minorHAnsi"/>
                <w:i/>
                <w:sz w:val="18"/>
                <w:szCs w:val="18"/>
              </w:rPr>
              <w:lastRenderedPageBreak/>
              <w:t>1987</w:t>
            </w:r>
            <w:r w:rsidRPr="00D4787D">
              <w:rPr>
                <w:rFonts w:asciiTheme="minorHAnsi" w:hAnsiTheme="minorHAnsi" w:cstheme="minorHAnsi"/>
                <w:sz w:val="18"/>
                <w:szCs w:val="18"/>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 xml:space="preserve">The </w:t>
            </w:r>
            <w:r w:rsidRPr="00D4787D">
              <w:rPr>
                <w:rFonts w:asciiTheme="minorHAnsi" w:hAnsiTheme="minorHAnsi" w:cstheme="minorHAnsi"/>
                <w:i/>
                <w:sz w:val="18"/>
                <w:szCs w:val="18"/>
              </w:rPr>
              <w:t>Australian Institute of Health and Welfare Act 1987</w:t>
            </w:r>
            <w:r w:rsidRPr="00D4787D">
              <w:rPr>
                <w:rFonts w:asciiTheme="minorHAnsi" w:hAnsiTheme="minorHAnsi" w:cstheme="minorHAnsi"/>
                <w:sz w:val="18"/>
                <w:szCs w:val="18"/>
              </w:rPr>
              <w:t xml:space="preserve">, in conjunction with compliance to the </w:t>
            </w:r>
            <w:r w:rsidRPr="00D4787D">
              <w:rPr>
                <w:rFonts w:asciiTheme="minorHAnsi" w:hAnsiTheme="minorHAnsi" w:cstheme="minorHAnsi"/>
                <w:i/>
                <w:sz w:val="18"/>
                <w:szCs w:val="18"/>
              </w:rPr>
              <w:t>Privacy Act 1988 (Commonwealth)</w:t>
            </w:r>
            <w:r w:rsidRPr="00D4787D">
              <w:rPr>
                <w:rFonts w:asciiTheme="minorHAnsi" w:hAnsiTheme="minorHAnsi" w:cstheme="minorHAnsi"/>
                <w:sz w:val="18"/>
                <w:szCs w:val="18"/>
              </w:rPr>
              <w:t>, ensures that the data collections managed by the AIHW are kept securely and under the strictest conditions with respect to privacy and confidentiality.</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 xml:space="preserve">For further information see the AIHW website </w:t>
            </w:r>
            <w:r w:rsidRPr="001E5CC7">
              <w:rPr>
                <w:rFonts w:asciiTheme="minorHAnsi" w:hAnsiTheme="minorHAnsi" w:cstheme="minorHAnsi"/>
                <w:sz w:val="18"/>
                <w:szCs w:val="18"/>
              </w:rPr>
              <w:t>www.aihw.gov.au</w:t>
            </w:r>
            <w:r w:rsidRPr="00D4787D">
              <w:rPr>
                <w:rFonts w:asciiTheme="minorHAnsi" w:hAnsiTheme="minorHAnsi" w:cstheme="minorHAnsi"/>
                <w:sz w:val="18"/>
                <w:szCs w:val="18"/>
              </w:rPr>
              <w:t>.</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Data for the NESWTDC were supplied to the AIHW by state and territory health authorities under the terms of the National Health Information Agreement (see the following links):</w:t>
            </w:r>
          </w:p>
          <w:p w:rsidR="00324D18" w:rsidRPr="00D4787D" w:rsidRDefault="00324D18" w:rsidP="00D4787D">
            <w:pPr>
              <w:jc w:val="both"/>
              <w:rPr>
                <w:rFonts w:asciiTheme="minorHAnsi" w:hAnsiTheme="minorHAnsi" w:cstheme="minorHAnsi"/>
                <w:sz w:val="18"/>
                <w:szCs w:val="18"/>
              </w:rPr>
            </w:pPr>
            <w:r w:rsidRPr="001E5CC7">
              <w:rPr>
                <w:rFonts w:asciiTheme="minorHAnsi" w:hAnsiTheme="minorHAnsi" w:cstheme="minorHAnsi"/>
                <w:sz w:val="18"/>
                <w:szCs w:val="18"/>
              </w:rPr>
              <w:t>http://www.aihw.gov.au/nhissc/</w:t>
            </w:r>
            <w:r w:rsidRPr="00D4787D">
              <w:rPr>
                <w:rFonts w:asciiTheme="minorHAnsi" w:hAnsiTheme="minorHAnsi" w:cstheme="minorHAnsi"/>
                <w:sz w:val="18"/>
                <w:szCs w:val="18"/>
              </w:rPr>
              <w:t xml:space="preserve"> </w:t>
            </w:r>
          </w:p>
          <w:p w:rsidR="00324D18" w:rsidRPr="00D4787D" w:rsidRDefault="00324D18" w:rsidP="00D4787D">
            <w:pPr>
              <w:jc w:val="both"/>
              <w:rPr>
                <w:rFonts w:asciiTheme="minorHAnsi" w:hAnsiTheme="minorHAnsi" w:cstheme="minorHAnsi"/>
                <w:sz w:val="18"/>
                <w:szCs w:val="18"/>
              </w:rPr>
            </w:pPr>
            <w:r w:rsidRPr="001E5CC7">
              <w:rPr>
                <w:rFonts w:asciiTheme="minorHAnsi" w:hAnsiTheme="minorHAnsi" w:cstheme="minorHAnsi"/>
                <w:sz w:val="18"/>
                <w:szCs w:val="18"/>
              </w:rPr>
              <w:t>http://meteor.aihw.gov.au/content/index.phtml/itemId/182135</w:t>
            </w:r>
            <w:r w:rsidRPr="00D4787D">
              <w:rPr>
                <w:rFonts w:asciiTheme="minorHAnsi" w:hAnsiTheme="minorHAnsi" w:cstheme="minorHAnsi"/>
                <w:sz w:val="18"/>
                <w:szCs w:val="18"/>
              </w:rPr>
              <w:t xml:space="preserve"> </w:t>
            </w:r>
          </w:p>
          <w:p w:rsidR="00724EDD" w:rsidRPr="00D4787D" w:rsidRDefault="00324D18" w:rsidP="00D4787D">
            <w:pPr>
              <w:pStyle w:val="TableBodyText"/>
              <w:jc w:val="both"/>
              <w:rPr>
                <w:rFonts w:asciiTheme="minorHAnsi" w:hAnsiTheme="minorHAnsi" w:cstheme="minorHAnsi"/>
                <w:szCs w:val="18"/>
              </w:rPr>
            </w:pPr>
            <w:r w:rsidRPr="00D4787D">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lastRenderedPageBreak/>
              <w:t>Relevance</w:t>
            </w:r>
          </w:p>
        </w:tc>
        <w:tc>
          <w:tcPr>
            <w:tcW w:w="7169" w:type="dxa"/>
            <w:shd w:val="clear" w:color="auto" w:fill="auto"/>
          </w:tcPr>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The purpose of the NMDS for Elective surgery waiting times (removals data) is to collect information about patients waiting for elective surgery in public hospitals. The scope of this NMDS is patients removed from waiting lists for elective surgery (as either an elective or emergency case) which are managed by public acute hospitals. This includes private patients treated in public hospitals and may include public patients treated in private hospitals.</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‘Elective surgery waiting times by urgency category’ data provide an indication of the extent to which patients are seen within a clinically desirable time and also draw attention to the variation in the way in which patients are classified across jurisdictions.</w:t>
            </w:r>
          </w:p>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The system of urgency categorisation for elective surgery in public hospitals is important to ensure that priority is given to patients according to their needs. While elective surgery waiting times by urgency category are not comparable across jurisdictions, this measure has the advantage over other measures in that it provides an indication of the extent to which patients are seen within a clinically desirable time period according to the urgency category to which they have been assigned.</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Timeliness</w:t>
            </w:r>
          </w:p>
        </w:tc>
        <w:tc>
          <w:tcPr>
            <w:tcW w:w="7169" w:type="dxa"/>
          </w:tcPr>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The reference period for these data is 201</w:t>
            </w:r>
            <w:r w:rsidR="00E51EF9" w:rsidRPr="00D4787D">
              <w:rPr>
                <w:rFonts w:asciiTheme="minorHAnsi" w:hAnsiTheme="minorHAnsi" w:cstheme="minorHAnsi"/>
                <w:szCs w:val="18"/>
              </w:rPr>
              <w:t>2</w:t>
            </w:r>
            <w:r w:rsidRPr="00D4787D">
              <w:rPr>
                <w:rFonts w:asciiTheme="minorHAnsi" w:hAnsiTheme="minorHAnsi" w:cstheme="minorHAnsi"/>
                <w:szCs w:val="18"/>
              </w:rPr>
              <w:t>–</w:t>
            </w:r>
            <w:r w:rsidR="00E51EF9" w:rsidRPr="00D4787D">
              <w:rPr>
                <w:rFonts w:asciiTheme="minorHAnsi" w:hAnsiTheme="minorHAnsi" w:cstheme="minorHAnsi"/>
                <w:szCs w:val="18"/>
              </w:rPr>
              <w:t>13</w:t>
            </w:r>
            <w:r w:rsidRPr="00D4787D">
              <w:rPr>
                <w:rFonts w:asciiTheme="minorHAnsi" w:hAnsiTheme="minorHAnsi" w:cstheme="minorHAnsi"/>
                <w:szCs w:val="18"/>
              </w:rPr>
              <w:t xml:space="preserve"> and 201</w:t>
            </w:r>
            <w:r w:rsidR="00E51EF9" w:rsidRPr="00D4787D">
              <w:rPr>
                <w:rFonts w:asciiTheme="minorHAnsi" w:hAnsiTheme="minorHAnsi" w:cstheme="minorHAnsi"/>
                <w:szCs w:val="18"/>
              </w:rPr>
              <w:t>3</w:t>
            </w:r>
            <w:r w:rsidRPr="00D4787D">
              <w:rPr>
                <w:rFonts w:asciiTheme="minorHAnsi" w:hAnsiTheme="minorHAnsi" w:cstheme="minorHAnsi"/>
                <w:szCs w:val="18"/>
              </w:rPr>
              <w:t>–1</w:t>
            </w:r>
            <w:r w:rsidR="00E51EF9" w:rsidRPr="00D4787D">
              <w:rPr>
                <w:rFonts w:asciiTheme="minorHAnsi" w:hAnsiTheme="minorHAnsi" w:cstheme="minorHAnsi"/>
                <w:szCs w:val="18"/>
              </w:rPr>
              <w:t>4</w:t>
            </w:r>
            <w:r w:rsidRPr="00D4787D">
              <w:rPr>
                <w:rFonts w:asciiTheme="minorHAnsi" w:hAnsiTheme="minorHAnsi" w:cstheme="minorHAnsi"/>
                <w:szCs w:val="18"/>
              </w:rPr>
              <w:t>.</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Accuracy</w:t>
            </w:r>
          </w:p>
        </w:tc>
        <w:tc>
          <w:tcPr>
            <w:tcW w:w="7169" w:type="dxa"/>
          </w:tcPr>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For 2012–13 and 2013–14:</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Coverage of the NESWTDC was over 90 per cent. Coverage was 100 per cent for </w:t>
            </w:r>
            <w:r w:rsidRPr="00D4787D">
              <w:rPr>
                <w:rFonts w:asciiTheme="minorHAnsi" w:hAnsiTheme="minorHAnsi" w:cstheme="minorHAnsi"/>
                <w:i/>
                <w:sz w:val="18"/>
                <w:szCs w:val="18"/>
              </w:rPr>
              <w:t>Principal referral and Specialist women’s and children’s hospitals</w:t>
            </w:r>
            <w:r w:rsidRPr="00D4787D">
              <w:rPr>
                <w:rFonts w:asciiTheme="minorHAnsi" w:hAnsiTheme="minorHAnsi" w:cstheme="minorHAnsi"/>
                <w:sz w:val="18"/>
                <w:szCs w:val="18"/>
              </w:rPr>
              <w:t xml:space="preserve"> (peer group A) and was progressively lower for </w:t>
            </w:r>
            <w:r w:rsidRPr="00D4787D">
              <w:rPr>
                <w:rFonts w:asciiTheme="minorHAnsi" w:hAnsiTheme="minorHAnsi" w:cstheme="minorHAnsi"/>
                <w:i/>
                <w:sz w:val="18"/>
                <w:szCs w:val="18"/>
              </w:rPr>
              <w:t>Large hospitals</w:t>
            </w:r>
            <w:r w:rsidRPr="00D4787D">
              <w:rPr>
                <w:rFonts w:asciiTheme="minorHAnsi" w:hAnsiTheme="minorHAnsi" w:cstheme="minorHAnsi"/>
                <w:sz w:val="18"/>
                <w:szCs w:val="18"/>
              </w:rPr>
              <w:t xml:space="preserve"> (peer group B) and </w:t>
            </w:r>
            <w:r w:rsidRPr="00D4787D">
              <w:rPr>
                <w:rFonts w:asciiTheme="minorHAnsi" w:hAnsiTheme="minorHAnsi" w:cstheme="minorHAnsi"/>
                <w:i/>
                <w:sz w:val="18"/>
                <w:szCs w:val="18"/>
              </w:rPr>
              <w:t>Medium hospitals</w:t>
            </w:r>
            <w:r w:rsidRPr="00D4787D">
              <w:rPr>
                <w:rFonts w:asciiTheme="minorHAnsi" w:hAnsiTheme="minorHAnsi" w:cstheme="minorHAnsi"/>
                <w:sz w:val="18"/>
                <w:szCs w:val="18"/>
              </w:rPr>
              <w:t xml:space="preserve"> (peer group C). In 2012–13, coverage also varied by jurisdiction, ranging </w:t>
            </w:r>
            <w:r w:rsidRPr="00D4787D">
              <w:rPr>
                <w:rFonts w:asciiTheme="minorHAnsi" w:hAnsiTheme="minorHAnsi" w:cstheme="minorHAnsi"/>
                <w:sz w:val="18"/>
                <w:szCs w:val="18"/>
              </w:rPr>
              <w:lastRenderedPageBreak/>
              <w:t xml:space="preserve">from 100 per cent in New South Wales, Western Australia, Tasmania, the </w:t>
            </w:r>
            <w:r w:rsidR="00FA5C46">
              <w:rPr>
                <w:rFonts w:asciiTheme="minorHAnsi" w:hAnsiTheme="minorHAnsi" w:cstheme="minorHAnsi"/>
                <w:sz w:val="18"/>
                <w:szCs w:val="18"/>
              </w:rPr>
              <w:t>ACT</w:t>
            </w:r>
            <w:r w:rsidRPr="00D4787D">
              <w:rPr>
                <w:rFonts w:asciiTheme="minorHAnsi" w:hAnsiTheme="minorHAnsi" w:cstheme="minorHAnsi"/>
                <w:sz w:val="18"/>
                <w:szCs w:val="18"/>
              </w:rPr>
              <w:t xml:space="preserve"> and the </w:t>
            </w:r>
            <w:r w:rsidR="00FA5C46">
              <w:rPr>
                <w:rFonts w:asciiTheme="minorHAnsi" w:hAnsiTheme="minorHAnsi" w:cstheme="minorHAnsi"/>
                <w:sz w:val="18"/>
                <w:szCs w:val="18"/>
              </w:rPr>
              <w:t>NT</w:t>
            </w:r>
            <w:r w:rsidRPr="00D4787D">
              <w:rPr>
                <w:rFonts w:asciiTheme="minorHAnsi" w:hAnsiTheme="minorHAnsi" w:cstheme="minorHAnsi"/>
                <w:sz w:val="18"/>
                <w:szCs w:val="18"/>
              </w:rPr>
              <w:t>, to 80 per cent in Victoria. For 2013–14, the preliminary estimate of the proportion of public elective surgery that was also reported to the NESWTDC was 93</w:t>
            </w:r>
            <w:r w:rsidR="00FA5C46">
              <w:rPr>
                <w:rFonts w:asciiTheme="minorHAnsi" w:hAnsiTheme="minorHAnsi" w:cstheme="minorHAnsi"/>
                <w:sz w:val="18"/>
                <w:szCs w:val="18"/>
              </w:rPr>
              <w:t xml:space="preserve"> per cent.</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Almost all public hospitals provided data for the NHMD in 2012–13, with the exception of all separations for a mothercraft hospital in the </w:t>
            </w:r>
            <w:r w:rsidR="00FA5C46">
              <w:rPr>
                <w:rFonts w:asciiTheme="minorHAnsi" w:hAnsiTheme="minorHAnsi" w:cstheme="minorHAnsi"/>
                <w:sz w:val="18"/>
                <w:szCs w:val="18"/>
              </w:rPr>
              <w:t>ACT</w:t>
            </w:r>
            <w:r w:rsidRPr="00D4787D">
              <w:rPr>
                <w:rFonts w:asciiTheme="minorHAnsi" w:hAnsiTheme="minorHAnsi" w:cstheme="minorHAnsi"/>
                <w:sz w:val="18"/>
                <w:szCs w:val="18"/>
              </w:rPr>
              <w:t>.</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Records from the NESWTDC and the NHMD were linked to assign remoteness areas and SEIFA categories from the admitted patient record to the corresponding elective surgery waiting times record. In 2012–13 approximately 96 per cent of NESWTDC records for removals were linked to the NHMD. </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There is apparent variation in the assignment of clinical urgency categories, both among and within jurisdictions, and for individual surgical specialties and indicator procedures, as well as overall. Interpretation of waiting times for jurisdictions should take into consideration these differences.</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The Indigenous status data were sourced from the NESWTDC for all jurisdictions. </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For 2009–10, the data for Albury Base Hospital (previously reported in </w:t>
            </w:r>
            <w:r w:rsidR="00FA5C46">
              <w:rPr>
                <w:rFonts w:asciiTheme="minorHAnsi" w:hAnsiTheme="minorHAnsi" w:cstheme="minorHAnsi"/>
                <w:sz w:val="18"/>
                <w:szCs w:val="18"/>
              </w:rPr>
              <w:t>NSW</w:t>
            </w:r>
            <w:r w:rsidRPr="00D4787D">
              <w:rPr>
                <w:rFonts w:asciiTheme="minorHAnsi" w:hAnsiTheme="minorHAnsi" w:cstheme="minorHAnsi"/>
                <w:sz w:val="18"/>
                <w:szCs w:val="18"/>
              </w:rPr>
              <w:t xml:space="preserve"> hospital statistics) was reported by the Victorian Department of Health as part of the Albury Wodonga Health Service. From 2010–11, the data for Albury Base Hospital have not been available.</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From 2011–12, </w:t>
            </w:r>
            <w:r w:rsidR="008C0887" w:rsidRPr="00D4787D">
              <w:rPr>
                <w:rFonts w:asciiTheme="minorHAnsi" w:hAnsiTheme="minorHAnsi" w:cstheme="minorHAnsi"/>
                <w:sz w:val="18"/>
                <w:szCs w:val="18"/>
              </w:rPr>
              <w:t>SA</w:t>
            </w:r>
            <w:r w:rsidRPr="00D4787D">
              <w:rPr>
                <w:rFonts w:asciiTheme="minorHAnsi" w:hAnsiTheme="minorHAnsi" w:cstheme="minorHAnsi"/>
                <w:sz w:val="18"/>
                <w:szCs w:val="18"/>
              </w:rPr>
              <w:t xml:space="preserve"> and </w:t>
            </w:r>
            <w:r w:rsidR="008C0887" w:rsidRPr="00D4787D">
              <w:rPr>
                <w:rFonts w:asciiTheme="minorHAnsi" w:hAnsiTheme="minorHAnsi" w:cstheme="minorHAnsi"/>
                <w:sz w:val="18"/>
                <w:szCs w:val="18"/>
              </w:rPr>
              <w:t>WA</w:t>
            </w:r>
            <w:r w:rsidRPr="00D4787D">
              <w:rPr>
                <w:rFonts w:asciiTheme="minorHAnsi" w:hAnsiTheme="minorHAnsi" w:cstheme="minorHAnsi"/>
                <w:sz w:val="18"/>
                <w:szCs w:val="18"/>
              </w:rPr>
              <w:t xml:space="preserve"> provided data for a large number of smaller hospitals (32 and 22 respectively) that were not included in the data for previous years. </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For 2011–12, Queensland was not able to provide data for 3 hospitals that had reported almost 10</w:t>
            </w:r>
            <w:r w:rsidR="008C0887" w:rsidRPr="00D4787D">
              <w:rPr>
                <w:rFonts w:asciiTheme="minorHAnsi" w:hAnsiTheme="minorHAnsi" w:cstheme="minorHAnsi"/>
                <w:sz w:val="18"/>
                <w:szCs w:val="18"/>
              </w:rPr>
              <w:t> </w:t>
            </w:r>
            <w:r w:rsidRPr="00D4787D">
              <w:rPr>
                <w:rFonts w:asciiTheme="minorHAnsi" w:hAnsiTheme="minorHAnsi" w:cstheme="minorHAnsi"/>
                <w:sz w:val="18"/>
                <w:szCs w:val="18"/>
              </w:rPr>
              <w:t>000 admissions in 2010–11.</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The increase in admissions for the </w:t>
            </w:r>
            <w:r w:rsidR="00FA5C46">
              <w:rPr>
                <w:rFonts w:asciiTheme="minorHAnsi" w:hAnsiTheme="minorHAnsi" w:cstheme="minorHAnsi"/>
                <w:sz w:val="18"/>
                <w:szCs w:val="18"/>
              </w:rPr>
              <w:t>NT</w:t>
            </w:r>
            <w:r w:rsidRPr="00D4787D">
              <w:rPr>
                <w:rFonts w:asciiTheme="minorHAnsi" w:hAnsiTheme="minorHAnsi" w:cstheme="minorHAnsi"/>
                <w:sz w:val="18"/>
                <w:szCs w:val="18"/>
              </w:rPr>
              <w:t xml:space="preserve"> between 2010–11 and 2011–12 was, in part, due to the inclusion of certain surgical procedures from 2011–12 that had previously been incorrectly excluded from the NESWTDC by the </w:t>
            </w:r>
            <w:r w:rsidR="008C0887" w:rsidRPr="00D4787D">
              <w:rPr>
                <w:rFonts w:asciiTheme="minorHAnsi" w:hAnsiTheme="minorHAnsi" w:cstheme="minorHAnsi"/>
                <w:sz w:val="18"/>
                <w:szCs w:val="18"/>
              </w:rPr>
              <w:t>NT</w:t>
            </w:r>
            <w:r w:rsidRPr="00D4787D">
              <w:rPr>
                <w:rFonts w:asciiTheme="minorHAnsi" w:hAnsiTheme="minorHAnsi" w:cstheme="minorHAnsi"/>
                <w:sz w:val="18"/>
                <w:szCs w:val="18"/>
              </w:rPr>
              <w:t>.</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 xml:space="preserve">Interpretation of waiting times for jurisdictions should take into consideration cross-border flows, particularly for the </w:t>
            </w:r>
            <w:r w:rsidR="00FA5C46">
              <w:rPr>
                <w:rFonts w:asciiTheme="minorHAnsi" w:hAnsiTheme="minorHAnsi" w:cstheme="minorHAnsi"/>
                <w:sz w:val="18"/>
                <w:szCs w:val="18"/>
              </w:rPr>
              <w:t>ACT</w:t>
            </w:r>
            <w:r w:rsidRPr="00D4787D">
              <w:rPr>
                <w:rFonts w:asciiTheme="minorHAnsi" w:hAnsiTheme="minorHAnsi" w:cstheme="minorHAnsi"/>
                <w:sz w:val="18"/>
                <w:szCs w:val="18"/>
              </w:rPr>
              <w:t xml:space="preserve">. </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States and territories are primarily responsible for the quality of the data they provide. However, the AIHW undertakes extensive validations on data. Data are checked for valid values, logical consistency and historical consistency. Where possible, data in individual datasets are checked against data from other datasets. Potential errors are queried with jurisdictions, and corrections and resubmissions may be made in response to these queries. The AIHW does not adjust data to account for possible data errors or missing or incorrect values.</w:t>
            </w:r>
          </w:p>
          <w:p w:rsidR="00324D18" w:rsidRPr="00D4787D" w:rsidRDefault="00324D18" w:rsidP="00D4787D">
            <w:pPr>
              <w:jc w:val="both"/>
              <w:rPr>
                <w:rFonts w:asciiTheme="minorHAnsi" w:hAnsiTheme="minorHAnsi" w:cstheme="minorHAnsi"/>
                <w:sz w:val="18"/>
                <w:szCs w:val="18"/>
              </w:rPr>
            </w:pPr>
            <w:r w:rsidRPr="00D4787D">
              <w:rPr>
                <w:rFonts w:asciiTheme="minorHAnsi" w:hAnsiTheme="minorHAnsi" w:cstheme="minorHAnsi"/>
                <w:sz w:val="18"/>
                <w:szCs w:val="18"/>
              </w:rPr>
              <w:t>Cells have been suppressed to protect confidentiality where the presentation could identify a patient or a service provider or where rates are likely to be highly volatile, for example, where the denominator is very small. The following rules were applied:</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Cells based on fewer than 10 elective surgery admissions were suppressed.</w:t>
            </w:r>
          </w:p>
          <w:p w:rsidR="00324D18" w:rsidRPr="00D4787D" w:rsidRDefault="00324D18"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Cells based on data from one public hospital only were suppressed.</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lastRenderedPageBreak/>
              <w:t>Coherence</w:t>
            </w:r>
          </w:p>
        </w:tc>
        <w:tc>
          <w:tcPr>
            <w:tcW w:w="7169" w:type="dxa"/>
          </w:tcPr>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 xml:space="preserve">Caution should be exercised when comparing waiting times data between jurisdictions due to differences in the assignment of clinical urgency categories (see Australian hospital statistics 2012–13: elective surgery waiting times, Appendix A p 40 </w:t>
            </w:r>
            <w:r w:rsidRPr="00D4787D">
              <w:rPr>
                <w:rFonts w:asciiTheme="minorHAnsi" w:hAnsiTheme="minorHAnsi" w:cstheme="minorHAnsi"/>
                <w:sz w:val="18"/>
                <w:szCs w:val="18"/>
                <w:u w:val="single"/>
              </w:rPr>
              <w:t>http://www.aihw.gov.au/publication-detail/?id=60129544692</w:t>
            </w:r>
            <w:r w:rsidRPr="00D4787D">
              <w:rPr>
                <w:rFonts w:asciiTheme="minorHAnsi" w:hAnsiTheme="minorHAnsi" w:cstheme="minorHAnsi"/>
                <w:sz w:val="18"/>
                <w:szCs w:val="18"/>
              </w:rPr>
              <w:t xml:space="preserve"> </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The data can be meaningfully co</w:t>
            </w:r>
            <w:r w:rsidR="00E37D21" w:rsidRPr="00D4787D">
              <w:rPr>
                <w:rFonts w:asciiTheme="minorHAnsi" w:hAnsiTheme="minorHAnsi" w:cstheme="minorHAnsi"/>
                <w:sz w:val="18"/>
                <w:szCs w:val="18"/>
              </w:rPr>
              <w:t>mpared across reference periods</w:t>
            </w:r>
            <w:r w:rsidRPr="00D4787D">
              <w:rPr>
                <w:rFonts w:asciiTheme="minorHAnsi" w:hAnsiTheme="minorHAnsi" w:cstheme="minorHAnsi"/>
                <w:sz w:val="18"/>
                <w:szCs w:val="18"/>
              </w:rPr>
              <w:t xml:space="preserve">. </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The data reported for the 2011–12 and 2012–13 NEWSTDC are consistent with data reported for previous years for individual hospitals.</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In addition, some 2011–12 data reported previously in these publications are different from the equivalent data published here because the hospitals classified as peer groups A and B were based on 2010–11, rather than 2011–12 peer groups.  Caution should be exercised when interpreting the 2012–13 data as potential revisions to the 2012–13 NESWTDC data could occur following linking to the 2012–13 NHMD.</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Analyses presented in Australian hospital statistics and previous National Healthcare Agreement performance reports may also differ slightly depending on whether the NESWTDC or linked NESWTDC/NHMD was used.</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When comparing data over time, linked data should not be compared with unlinked data. For example, the 2011–12 linked data supplied cannot be directly compared to the 2012–13 unlinked data supplied in this reporting cycle.</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Accessibility</w:t>
            </w:r>
          </w:p>
        </w:tc>
        <w:tc>
          <w:tcPr>
            <w:tcW w:w="7169" w:type="dxa"/>
          </w:tcPr>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 xml:space="preserve">The AIHW provides a variety of products that draw upon the NESWTDC. Published products available on the AIHW website are the  Australian hospital statistics suite of </w:t>
            </w:r>
            <w:r w:rsidRPr="00D4787D">
              <w:rPr>
                <w:rFonts w:asciiTheme="minorHAnsi" w:hAnsiTheme="minorHAnsi" w:cstheme="minorHAnsi"/>
                <w:sz w:val="18"/>
                <w:szCs w:val="18"/>
              </w:rPr>
              <w:lastRenderedPageBreak/>
              <w:t xml:space="preserve">products with associated Excel tables. </w:t>
            </w:r>
          </w:p>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 xml:space="preserve">These products may be accessed on the AIHW website </w:t>
            </w:r>
            <w:r w:rsidRPr="00D4787D">
              <w:rPr>
                <w:rFonts w:asciiTheme="minorHAnsi" w:hAnsiTheme="minorHAnsi" w:cstheme="minorHAnsi"/>
                <w:szCs w:val="18"/>
                <w:u w:val="single"/>
              </w:rPr>
              <w:t>http://www.aihw.gov.au/hospitals/</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lastRenderedPageBreak/>
              <w:t>Interpretability</w:t>
            </w:r>
          </w:p>
        </w:tc>
        <w:tc>
          <w:tcPr>
            <w:tcW w:w="7169" w:type="dxa"/>
          </w:tcPr>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Metadata information for the Elective Surgery Waiting Times (ESWT) National Minimum Data Set (NMDS) and ESWT Data Set Specification (DSS) are published in the AIHW’s online metadata repository, METeOR, and the National health data dictionary.</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The National health data dictionary can be accessed online at:</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u w:val="single"/>
              </w:rPr>
              <w:t>http://www.aihw.gov.au/publication-detail/?id=10737422826</w:t>
            </w:r>
            <w:r w:rsidRPr="00D4787D">
              <w:rPr>
                <w:rFonts w:asciiTheme="minorHAnsi" w:hAnsiTheme="minorHAnsi" w:cstheme="minorHAnsi"/>
                <w:sz w:val="18"/>
                <w:szCs w:val="18"/>
              </w:rPr>
              <w:t xml:space="preserve"> </w:t>
            </w:r>
          </w:p>
          <w:p w:rsidR="00724EDD" w:rsidRPr="00D4787D" w:rsidRDefault="00724EDD" w:rsidP="00D4787D">
            <w:pPr>
              <w:widowControl w:val="0"/>
              <w:spacing w:after="40" w:line="220" w:lineRule="atLeast"/>
              <w:ind w:left="6" w:right="113"/>
              <w:jc w:val="both"/>
              <w:rPr>
                <w:rFonts w:asciiTheme="minorHAnsi" w:hAnsiTheme="minorHAnsi" w:cstheme="minorHAnsi"/>
                <w:sz w:val="18"/>
                <w:szCs w:val="18"/>
              </w:rPr>
            </w:pPr>
            <w:r w:rsidRPr="00D4787D">
              <w:rPr>
                <w:rFonts w:asciiTheme="minorHAnsi" w:hAnsiTheme="minorHAnsi" w:cstheme="minorHAnsi"/>
                <w:sz w:val="18"/>
                <w:szCs w:val="18"/>
              </w:rPr>
              <w:t>The Data Quality Statement for the NNAPEDCD can be accessed on the AIHW website at:</w:t>
            </w:r>
          </w:p>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u w:val="single"/>
              </w:rPr>
              <w:t>http://meteor.aihw.gov.au/content/index.phtml/itemId/543809</w:t>
            </w:r>
            <w:r w:rsidRPr="00D4787D">
              <w:rPr>
                <w:rFonts w:asciiTheme="minorHAnsi" w:hAnsiTheme="minorHAnsi" w:cstheme="minorHAnsi"/>
                <w:szCs w:val="18"/>
              </w:rPr>
              <w:t xml:space="preserve">    </w:t>
            </w:r>
          </w:p>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 xml:space="preserve">Variation in the way patients are classified to urgency categories should be taken into account. Rather than comparing jurisdictions, the results for individual jurisdictions should be viewed in the context of the proportions of patients assigned to each of the three urgency categories. </w:t>
            </w:r>
          </w:p>
        </w:tc>
      </w:tr>
      <w:tr w:rsidR="00724EDD" w:rsidRPr="00DD4939" w:rsidTr="00345271">
        <w:tc>
          <w:tcPr>
            <w:tcW w:w="8789" w:type="dxa"/>
            <w:gridSpan w:val="2"/>
            <w:vAlign w:val="bottom"/>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u w:val="single"/>
              </w:rPr>
            </w:pPr>
            <w:r w:rsidRPr="00D4787D">
              <w:rPr>
                <w:rFonts w:asciiTheme="minorHAnsi" w:hAnsiTheme="minorHAnsi" w:cstheme="minorHAnsi"/>
                <w:b/>
                <w:sz w:val="18"/>
                <w:szCs w:val="18"/>
                <w:u w:val="single"/>
              </w:rPr>
              <w:t>Data Gaps/Issues Analysis</w:t>
            </w:r>
          </w:p>
        </w:tc>
      </w:tr>
      <w:tr w:rsidR="00724EDD" w:rsidRPr="00DD4939" w:rsidTr="00345271">
        <w:tc>
          <w:tcPr>
            <w:tcW w:w="1620" w:type="dxa"/>
          </w:tcPr>
          <w:p w:rsidR="00724EDD" w:rsidRPr="00D4787D" w:rsidRDefault="00724EDD" w:rsidP="00D4787D">
            <w:pPr>
              <w:widowControl w:val="0"/>
              <w:spacing w:after="40" w:line="200" w:lineRule="atLeast"/>
              <w:ind w:left="6" w:right="113"/>
              <w:rPr>
                <w:rFonts w:asciiTheme="minorHAnsi" w:hAnsiTheme="minorHAnsi" w:cstheme="minorHAnsi"/>
                <w:b/>
                <w:sz w:val="18"/>
                <w:szCs w:val="18"/>
              </w:rPr>
            </w:pPr>
            <w:r w:rsidRPr="00D4787D">
              <w:rPr>
                <w:rFonts w:asciiTheme="minorHAnsi" w:hAnsiTheme="minorHAnsi" w:cstheme="minorHAnsi"/>
                <w:b/>
                <w:sz w:val="18"/>
                <w:szCs w:val="18"/>
              </w:rPr>
              <w:t>Key data gaps/issues</w:t>
            </w:r>
          </w:p>
        </w:tc>
        <w:tc>
          <w:tcPr>
            <w:tcW w:w="7169" w:type="dxa"/>
          </w:tcPr>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The Steering Committee notes the following key data gaps/issues:</w:t>
            </w:r>
          </w:p>
          <w:p w:rsidR="00724EDD" w:rsidRPr="00D4787D" w:rsidRDefault="00724EDD"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Comparisons across jurisdictions should be made with caution, due to differences in clinical practices and classification of patients across Australia. The measures are also affected by variations across jurisdictions in the method used to calculate waiting times for patients who transferred from a waiting list managed by one hospital to a waiting list managed by another hospital. For patients who were transferred from a waiting list managed by one hospital to that managed by another, the time waited on the first list is included in the waiting time reported in NSW, SA and the NT. This approach can have the effect of increasing the apparent waiting times for admissions in these jurisdictions compared with other jurisdictions. </w:t>
            </w:r>
          </w:p>
          <w:p w:rsidR="008C0887" w:rsidRPr="00D4787D" w:rsidRDefault="008C0887"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There is apparent variation in the assignment of clinical urgency categories, both among and within jurisdictions, for individual surgical specialties and indicator procedures, influencing the overall total. For example, for 2012–13, the proportion of patients admitted from waiting lists who were assigned to Category 3 treatment clinically recommended within 365 days) was 44 per cent for NSW and 16 per cent for Queensland (Table A.1 from </w:t>
            </w:r>
            <w:r w:rsidRPr="00D4787D">
              <w:rPr>
                <w:rFonts w:asciiTheme="minorHAnsi" w:hAnsiTheme="minorHAnsi" w:cstheme="minorHAnsi"/>
                <w:i/>
                <w:sz w:val="18"/>
                <w:szCs w:val="18"/>
              </w:rPr>
              <w:t>Australian hospital statistics 2012–13: elective surgery waiting times</w:t>
            </w:r>
            <w:r w:rsidRPr="00D4787D">
              <w:rPr>
                <w:rFonts w:asciiTheme="minorHAnsi" w:hAnsiTheme="minorHAnsi" w:cstheme="minorHAnsi"/>
                <w:sz w:val="18"/>
                <w:szCs w:val="18"/>
              </w:rPr>
              <w:t xml:space="preserve">, Appendix A p 40  </w:t>
            </w:r>
            <w:r w:rsidRPr="001E5CC7">
              <w:rPr>
                <w:rFonts w:asciiTheme="minorHAnsi" w:hAnsiTheme="minorHAnsi" w:cstheme="minorHAnsi"/>
                <w:sz w:val="18"/>
                <w:szCs w:val="18"/>
              </w:rPr>
              <w:t>http://www.aihw.gov.au/publication-detail/?id=60129544692</w:t>
            </w:r>
            <w:r w:rsidRPr="00D4787D">
              <w:rPr>
                <w:rFonts w:asciiTheme="minorHAnsi" w:hAnsiTheme="minorHAnsi" w:cstheme="minorHAnsi"/>
                <w:sz w:val="18"/>
                <w:szCs w:val="18"/>
              </w:rPr>
              <w:t xml:space="preserve"> </w:t>
            </w:r>
          </w:p>
          <w:p w:rsidR="008C0887" w:rsidRPr="00D4787D" w:rsidRDefault="008C0887" w:rsidP="00D4787D">
            <w:pPr>
              <w:ind w:left="360"/>
              <w:jc w:val="both"/>
              <w:rPr>
                <w:rFonts w:asciiTheme="minorHAnsi" w:hAnsiTheme="minorHAnsi" w:cstheme="minorHAnsi"/>
                <w:sz w:val="18"/>
                <w:szCs w:val="18"/>
              </w:rPr>
            </w:pPr>
          </w:p>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Table A.1: Admissions from waiting lists for elective surgery, by clinical urgency category, states and territories, 2012–13 (per cent).</w:t>
            </w:r>
            <w:r w:rsidRPr="00D4787D">
              <w:rPr>
                <w:rFonts w:asciiTheme="minorHAnsi" w:hAnsiTheme="minorHAnsi" w:cstheme="minorHAnsi"/>
                <w:sz w:val="18"/>
                <w:szCs w:val="18"/>
              </w:rPr>
              <w:t> </w:t>
            </w:r>
          </w:p>
          <w:tbl>
            <w:tblPr>
              <w:tblStyle w:val="AIHWTable"/>
              <w:tblW w:w="5000" w:type="pct"/>
              <w:tblLayout w:type="fixed"/>
              <w:tblLook w:val="0000" w:firstRow="0" w:lastRow="0" w:firstColumn="0" w:lastColumn="0" w:noHBand="0" w:noVBand="0"/>
              <w:tblDescription w:val="Table A.1 Admissions from waiting lists for elective surgery, by clinical urgency category, states and territories, 2012-13 (per cent)&#10;&#10;More details can be found within the text surrounding this image.&#10;"/>
            </w:tblPr>
            <w:tblGrid>
              <w:gridCol w:w="1272"/>
              <w:gridCol w:w="726"/>
              <w:gridCol w:w="584"/>
              <w:gridCol w:w="584"/>
              <w:gridCol w:w="584"/>
              <w:gridCol w:w="666"/>
              <w:gridCol w:w="595"/>
              <w:gridCol w:w="666"/>
              <w:gridCol w:w="584"/>
              <w:gridCol w:w="738"/>
            </w:tblGrid>
            <w:tr w:rsidR="008C0887" w:rsidRPr="00D4787D" w:rsidTr="00634798">
              <w:tc>
                <w:tcPr>
                  <w:tcW w:w="909"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p>
              </w:tc>
              <w:tc>
                <w:tcPr>
                  <w:tcW w:w="519"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NSW</w:t>
                  </w:r>
                </w:p>
              </w:tc>
              <w:tc>
                <w:tcPr>
                  <w:tcW w:w="417"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Vic</w:t>
                  </w:r>
                </w:p>
              </w:tc>
              <w:tc>
                <w:tcPr>
                  <w:tcW w:w="417"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Qld</w:t>
                  </w:r>
                </w:p>
              </w:tc>
              <w:tc>
                <w:tcPr>
                  <w:tcW w:w="417"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WA</w:t>
                  </w:r>
                </w:p>
              </w:tc>
              <w:tc>
                <w:tcPr>
                  <w:tcW w:w="476"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SA</w:t>
                  </w:r>
                </w:p>
              </w:tc>
              <w:tc>
                <w:tcPr>
                  <w:tcW w:w="425"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Tas</w:t>
                  </w:r>
                </w:p>
              </w:tc>
              <w:tc>
                <w:tcPr>
                  <w:tcW w:w="476"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ACT</w:t>
                  </w:r>
                </w:p>
              </w:tc>
              <w:tc>
                <w:tcPr>
                  <w:tcW w:w="417"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NT</w:t>
                  </w:r>
                </w:p>
              </w:tc>
              <w:tc>
                <w:tcPr>
                  <w:tcW w:w="527" w:type="pct"/>
                  <w:tcBorders>
                    <w:top w:val="single" w:sz="4" w:space="0" w:color="000000"/>
                    <w:bottom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Total</w:t>
                  </w:r>
                </w:p>
              </w:tc>
            </w:tr>
            <w:tr w:rsidR="008C0887" w:rsidRPr="00D4787D" w:rsidTr="00634798">
              <w:tc>
                <w:tcPr>
                  <w:tcW w:w="909"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c>
                <w:tcPr>
                  <w:tcW w:w="519"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c>
                <w:tcPr>
                  <w:tcW w:w="417"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c>
                <w:tcPr>
                  <w:tcW w:w="417"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c>
                <w:tcPr>
                  <w:tcW w:w="417"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Per</w:t>
                  </w:r>
                </w:p>
              </w:tc>
              <w:tc>
                <w:tcPr>
                  <w:tcW w:w="476"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cent</w:t>
                  </w:r>
                </w:p>
              </w:tc>
              <w:tc>
                <w:tcPr>
                  <w:tcW w:w="425"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c>
                <w:tcPr>
                  <w:tcW w:w="476"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c>
                <w:tcPr>
                  <w:tcW w:w="417"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c>
                <w:tcPr>
                  <w:tcW w:w="527" w:type="pct"/>
                  <w:tcBorders>
                    <w:top w:val="single" w:sz="4" w:space="0" w:color="000000"/>
                  </w:tcBorders>
                </w:tcPr>
                <w:p w:rsidR="008C0887" w:rsidRPr="00D4787D" w:rsidRDefault="008C0887" w:rsidP="00D4787D">
                  <w:pPr>
                    <w:jc w:val="both"/>
                    <w:rPr>
                      <w:rFonts w:asciiTheme="minorHAnsi" w:hAnsiTheme="minorHAnsi" w:cstheme="minorHAnsi"/>
                      <w:sz w:val="18"/>
                      <w:szCs w:val="18"/>
                    </w:rPr>
                  </w:pPr>
                </w:p>
              </w:tc>
            </w:tr>
            <w:tr w:rsidR="008C0887" w:rsidRPr="00D4787D" w:rsidTr="00634798">
              <w:tc>
                <w:tcPr>
                  <w:tcW w:w="90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Category 1</w:t>
                  </w:r>
                </w:p>
              </w:tc>
              <w:tc>
                <w:tcPr>
                  <w:tcW w:w="51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24</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31</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40</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25</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26</w:t>
                  </w:r>
                </w:p>
              </w:tc>
              <w:tc>
                <w:tcPr>
                  <w:tcW w:w="425"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40</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31</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29</w:t>
                  </w:r>
                </w:p>
              </w:tc>
              <w:tc>
                <w:tcPr>
                  <w:tcW w:w="52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29</w:t>
                  </w:r>
                </w:p>
              </w:tc>
            </w:tr>
            <w:tr w:rsidR="008C0887" w:rsidRPr="00D4787D" w:rsidTr="00634798">
              <w:tc>
                <w:tcPr>
                  <w:tcW w:w="90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Category 2</w:t>
                  </w:r>
                </w:p>
              </w:tc>
              <w:tc>
                <w:tcPr>
                  <w:tcW w:w="51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32</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47</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44</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35</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36</w:t>
                  </w:r>
                </w:p>
              </w:tc>
              <w:tc>
                <w:tcPr>
                  <w:tcW w:w="425"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41</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45</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49</w:t>
                  </w:r>
                </w:p>
              </w:tc>
              <w:tc>
                <w:tcPr>
                  <w:tcW w:w="52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39</w:t>
                  </w:r>
                </w:p>
              </w:tc>
            </w:tr>
            <w:tr w:rsidR="008C0887" w:rsidRPr="00D4787D" w:rsidTr="00634798">
              <w:tc>
                <w:tcPr>
                  <w:tcW w:w="90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Category 3</w:t>
                  </w:r>
                </w:p>
              </w:tc>
              <w:tc>
                <w:tcPr>
                  <w:tcW w:w="51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44</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22</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16</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40</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38</w:t>
                  </w:r>
                </w:p>
              </w:tc>
              <w:tc>
                <w:tcPr>
                  <w:tcW w:w="425"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20</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24</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22</w:t>
                  </w:r>
                </w:p>
              </w:tc>
              <w:tc>
                <w:tcPr>
                  <w:tcW w:w="52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32</w:t>
                  </w:r>
                </w:p>
              </w:tc>
            </w:tr>
            <w:tr w:rsidR="008C0887" w:rsidRPr="00D4787D" w:rsidTr="00634798">
              <w:tc>
                <w:tcPr>
                  <w:tcW w:w="90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b/>
                      <w:sz w:val="18"/>
                      <w:szCs w:val="18"/>
                    </w:rPr>
                    <w:t>Total</w:t>
                  </w:r>
                </w:p>
              </w:tc>
              <w:tc>
                <w:tcPr>
                  <w:tcW w:w="519"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425"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476"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41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c>
                <w:tcPr>
                  <w:tcW w:w="527" w:type="pct"/>
                </w:tcPr>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100</w:t>
                  </w:r>
                </w:p>
              </w:tc>
            </w:tr>
          </w:tbl>
          <w:p w:rsidR="008C0887" w:rsidRPr="00D4787D" w:rsidRDefault="008C0887" w:rsidP="00D4787D">
            <w:pPr>
              <w:jc w:val="both"/>
              <w:rPr>
                <w:rFonts w:asciiTheme="minorHAnsi" w:hAnsiTheme="minorHAnsi" w:cstheme="minorHAnsi"/>
                <w:sz w:val="18"/>
                <w:szCs w:val="18"/>
              </w:rPr>
            </w:pPr>
            <w:r w:rsidRPr="00D4787D">
              <w:rPr>
                <w:rFonts w:asciiTheme="minorHAnsi" w:hAnsiTheme="minorHAnsi" w:cstheme="minorHAnsi"/>
                <w:sz w:val="18"/>
                <w:szCs w:val="18"/>
              </w:rPr>
              <w:t xml:space="preserve">Source: AIHW 2013. </w:t>
            </w:r>
            <w:r w:rsidRPr="00D4787D">
              <w:rPr>
                <w:rFonts w:asciiTheme="minorHAnsi" w:hAnsiTheme="minorHAnsi" w:cstheme="minorHAnsi"/>
                <w:i/>
                <w:sz w:val="18"/>
                <w:szCs w:val="18"/>
              </w:rPr>
              <w:t>Australian hospital Statistics 2012–13</w:t>
            </w:r>
            <w:r w:rsidRPr="00D4787D">
              <w:rPr>
                <w:rFonts w:asciiTheme="minorHAnsi" w:hAnsiTheme="minorHAnsi" w:cstheme="minorHAnsi"/>
                <w:sz w:val="18"/>
                <w:szCs w:val="18"/>
              </w:rPr>
              <w:t xml:space="preserve">: </w:t>
            </w:r>
            <w:r w:rsidRPr="00D4787D">
              <w:rPr>
                <w:rFonts w:asciiTheme="minorHAnsi" w:hAnsiTheme="minorHAnsi" w:cstheme="minorHAnsi"/>
                <w:i/>
                <w:sz w:val="18"/>
                <w:szCs w:val="18"/>
              </w:rPr>
              <w:t>elective surgery waiting times</w:t>
            </w:r>
            <w:r w:rsidRPr="00D4787D">
              <w:rPr>
                <w:rFonts w:asciiTheme="minorHAnsi" w:hAnsiTheme="minorHAnsi" w:cstheme="minorHAnsi"/>
                <w:sz w:val="18"/>
                <w:szCs w:val="18"/>
              </w:rPr>
              <w:t>. Health service series No.51. Cat. no. HSE 140. pp 40.</w:t>
            </w:r>
          </w:p>
          <w:p w:rsidR="008C0887" w:rsidRPr="00D4787D" w:rsidRDefault="008C0887"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Interpretation of waiting times for jurisdictions should take into consideration these differences. For example, a state could report relatively long median waiting times in association with a relatively high proportion of patients assessed by clinicians in the state as being in Category 3. Conversely, a state in which a relatively high proportion of patients are assessed by clinicians as being in Category 1 or 2 (treatment clinically recommended within 30 days and 90 days, respectively) could have relatively short median waiting times.</w:t>
            </w:r>
          </w:p>
          <w:p w:rsidR="008C0887" w:rsidRPr="00D4787D" w:rsidRDefault="008C0887"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Interpretation of waiting times for jurisdictions should take into consideration cross-border flows, particularly for the ACT.</w:t>
            </w:r>
          </w:p>
        </w:tc>
      </w:tr>
    </w:tbl>
    <w:p w:rsidR="009F4002" w:rsidRDefault="00B33A69" w:rsidP="00B33A69">
      <w:pPr>
        <w:pStyle w:val="Heading4"/>
      </w:pPr>
      <w:r w:rsidRPr="00B33A69">
        <w:lastRenderedPageBreak/>
        <w:t>Waiting times for admission following emergency department care</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9F4002" w:rsidRPr="00B8230A" w:rsidRDefault="009F4002" w:rsidP="009F4002">
            <w:pPr>
              <w:widowControl w:val="0"/>
              <w:spacing w:after="40" w:line="200" w:lineRule="atLeast"/>
              <w:ind w:left="6" w:right="113"/>
              <w:jc w:val="both"/>
              <w:rPr>
                <w:rFonts w:asciiTheme="minorHAnsi" w:hAnsiTheme="minorHAnsi" w:cstheme="minorHAnsi"/>
                <w:b/>
                <w:sz w:val="18"/>
                <w:szCs w:val="18"/>
              </w:rPr>
            </w:pPr>
          </w:p>
          <w:p w:rsidR="009F4002" w:rsidRPr="00B8230A" w:rsidRDefault="009F4002" w:rsidP="009F4002">
            <w:pPr>
              <w:widowControl w:val="0"/>
              <w:spacing w:after="40" w:line="200" w:lineRule="atLeast"/>
              <w:ind w:left="6" w:right="113"/>
              <w:jc w:val="both"/>
              <w:rPr>
                <w:rFonts w:asciiTheme="minorHAnsi" w:hAnsiTheme="minorHAnsi" w:cstheme="minorHAnsi"/>
                <w:b/>
                <w:sz w:val="18"/>
                <w:szCs w:val="18"/>
                <w:u w:val="single"/>
              </w:rPr>
            </w:pPr>
            <w:r w:rsidRPr="00B8230A">
              <w:rPr>
                <w:rFonts w:asciiTheme="minorHAnsi" w:hAnsiTheme="minorHAnsi" w:cstheme="minorHAnsi"/>
                <w:b/>
                <w:sz w:val="18"/>
                <w:szCs w:val="18"/>
                <w:u w:val="single"/>
              </w:rPr>
              <w:t>Indicator definition and description</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Element</w:t>
            </w:r>
          </w:p>
        </w:tc>
        <w:tc>
          <w:tcPr>
            <w:tcW w:w="7169" w:type="dxa"/>
          </w:tcPr>
          <w:p w:rsidR="00614760" w:rsidRPr="00B8230A" w:rsidRDefault="00614760" w:rsidP="00345271">
            <w:pPr>
              <w:pStyle w:val="TableBodyText"/>
              <w:jc w:val="both"/>
              <w:rPr>
                <w:rFonts w:asciiTheme="minorHAnsi" w:hAnsiTheme="minorHAnsi" w:cstheme="minorHAnsi"/>
                <w:szCs w:val="18"/>
              </w:rPr>
            </w:pPr>
            <w:r w:rsidRPr="00B8230A">
              <w:rPr>
                <w:rFonts w:asciiTheme="minorHAnsi" w:hAnsiTheme="minorHAnsi" w:cstheme="minorHAnsi"/>
                <w:szCs w:val="18"/>
              </w:rPr>
              <w:t xml:space="preserve">Effectiveness — access </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Indicator</w:t>
            </w:r>
          </w:p>
        </w:tc>
        <w:tc>
          <w:tcPr>
            <w:tcW w:w="7169" w:type="dxa"/>
            <w:vAlign w:val="bottom"/>
          </w:tcPr>
          <w:p w:rsidR="00614760" w:rsidRPr="00B8230A" w:rsidRDefault="00614760" w:rsidP="00345271">
            <w:pPr>
              <w:pStyle w:val="TableBodyText"/>
              <w:jc w:val="both"/>
              <w:rPr>
                <w:rFonts w:asciiTheme="minorHAnsi" w:hAnsiTheme="minorHAnsi" w:cstheme="minorHAnsi"/>
                <w:szCs w:val="18"/>
                <w:u w:val="single"/>
              </w:rPr>
            </w:pPr>
            <w:r w:rsidRPr="00B8230A">
              <w:rPr>
                <w:rFonts w:asciiTheme="minorHAnsi" w:hAnsiTheme="minorHAnsi" w:cstheme="minorHAnsi"/>
                <w:szCs w:val="18"/>
              </w:rPr>
              <w:t>Waiting times for admitted patient services — Waiting times for admission following emergency department care</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Measure</w:t>
            </w:r>
          </w:p>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(computation</w:t>
            </w:r>
          </w:p>
        </w:tc>
        <w:tc>
          <w:tcPr>
            <w:tcW w:w="7169" w:type="dxa"/>
            <w:vAlign w:val="bottom"/>
          </w:tcPr>
          <w:p w:rsidR="0097028D" w:rsidRPr="00923FBE" w:rsidRDefault="0097028D" w:rsidP="0097028D">
            <w:pPr>
              <w:pStyle w:val="TableBodyText"/>
              <w:jc w:val="both"/>
              <w:rPr>
                <w:rFonts w:asciiTheme="minorHAnsi" w:hAnsiTheme="minorHAnsi" w:cstheme="minorHAnsi"/>
                <w:szCs w:val="18"/>
              </w:rPr>
            </w:pPr>
            <w:r w:rsidRPr="00B8230A">
              <w:rPr>
                <w:rFonts w:asciiTheme="minorHAnsi" w:hAnsiTheme="minorHAnsi" w:cstheme="minorHAnsi"/>
                <w:color w:val="FF0000"/>
                <w:szCs w:val="18"/>
              </w:rPr>
              <w:t>‘</w:t>
            </w:r>
            <w:r w:rsidRPr="00923FBE">
              <w:rPr>
                <w:rFonts w:asciiTheme="minorHAnsi" w:hAnsiTheme="minorHAnsi" w:cstheme="minorHAnsi"/>
                <w:szCs w:val="18"/>
              </w:rPr>
              <w:t>Presentations to emergency departments with a length of stay of 4 hours or less ending in admission’ is defined as the percentage of presentations to public hospital emergency departments where the time from presentation to admission to hospital is less than or equal to four hours.</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Calculation includes presentations with any type of visit to emergency department.</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 xml:space="preserve">ED stay length is calculated by subtracting presentation time/date from physical departure time/date, which is recorded as per the business rules included in the NAPEDC NMDS 2013–14: </w:t>
            </w:r>
            <w:r w:rsidRPr="001E5CC7">
              <w:rPr>
                <w:rFonts w:asciiTheme="minorHAnsi" w:hAnsiTheme="minorHAnsi" w:cstheme="minorHAnsi"/>
              </w:rPr>
              <w:t>http://meteor.aihw.gov.au/content/index.phtml/itemId/509116</w:t>
            </w:r>
          </w:p>
          <w:p w:rsidR="00E2221C" w:rsidRPr="00923FBE" w:rsidRDefault="0097028D" w:rsidP="00E2221C">
            <w:pPr>
              <w:pStyle w:val="TableBodyText"/>
              <w:jc w:val="both"/>
              <w:rPr>
                <w:rFonts w:asciiTheme="minorHAnsi" w:hAnsiTheme="minorHAnsi" w:cstheme="minorHAnsi"/>
                <w:szCs w:val="18"/>
              </w:rPr>
            </w:pPr>
            <w:r w:rsidRPr="00923FBE">
              <w:rPr>
                <w:rFonts w:asciiTheme="minorHAnsi" w:hAnsiTheme="minorHAnsi" w:cstheme="minorHAnsi"/>
                <w:szCs w:val="18"/>
              </w:rPr>
              <w:t xml:space="preserve">Presentations to emergency departments with a length of stay of 4 hours or less ending in admission’ is </w:t>
            </w:r>
            <w:r w:rsidR="00A75358" w:rsidRPr="00923FBE">
              <w:rPr>
                <w:rFonts w:asciiTheme="minorHAnsi" w:hAnsiTheme="minorHAnsi" w:cstheme="minorHAnsi"/>
                <w:szCs w:val="18"/>
              </w:rPr>
              <w:t>calculated as:</w:t>
            </w:r>
          </w:p>
          <w:p w:rsidR="00E2221C" w:rsidRPr="00923FBE" w:rsidRDefault="00E2221C" w:rsidP="00E2221C">
            <w:pPr>
              <w:pStyle w:val="TableBodyText"/>
              <w:jc w:val="both"/>
              <w:rPr>
                <w:rFonts w:asciiTheme="minorHAnsi" w:hAnsiTheme="minorHAnsi" w:cstheme="minorHAnsi"/>
                <w:szCs w:val="18"/>
              </w:rPr>
            </w:pPr>
            <w:r w:rsidRPr="00923FBE">
              <w:rPr>
                <w:rFonts w:asciiTheme="minorHAnsi" w:hAnsiTheme="minorHAnsi" w:cstheme="minorHAnsi"/>
                <w:i/>
                <w:szCs w:val="18"/>
              </w:rPr>
              <w:t>Numerator</w:t>
            </w:r>
            <w:r w:rsidRPr="00923FBE">
              <w:rPr>
                <w:rFonts w:asciiTheme="minorHAnsi" w:hAnsiTheme="minorHAnsi" w:cstheme="minorHAnsi"/>
                <w:szCs w:val="18"/>
              </w:rPr>
              <w:t>: Number of ED presentations where ED stay is less than or equal to four hours</w:t>
            </w:r>
            <w:r w:rsidR="00A75358" w:rsidRPr="00923FBE">
              <w:rPr>
                <w:rFonts w:asciiTheme="minorHAnsi" w:hAnsiTheme="minorHAnsi" w:cstheme="minorHAnsi"/>
                <w:szCs w:val="18"/>
              </w:rPr>
              <w:t xml:space="preserve"> ending in hospital admission</w:t>
            </w:r>
            <w:r w:rsidRPr="00923FBE">
              <w:rPr>
                <w:rFonts w:asciiTheme="minorHAnsi" w:hAnsiTheme="minorHAnsi" w:cstheme="minorHAnsi"/>
                <w:szCs w:val="18"/>
              </w:rPr>
              <w:t>.</w:t>
            </w:r>
          </w:p>
          <w:p w:rsidR="00E2221C" w:rsidRPr="00923FBE" w:rsidRDefault="00E2221C" w:rsidP="00E2221C">
            <w:pPr>
              <w:pStyle w:val="TableBodyText"/>
              <w:jc w:val="both"/>
              <w:rPr>
                <w:rFonts w:asciiTheme="minorHAnsi" w:hAnsiTheme="minorHAnsi" w:cstheme="minorHAnsi"/>
                <w:szCs w:val="18"/>
              </w:rPr>
            </w:pPr>
            <w:r w:rsidRPr="00923FBE">
              <w:rPr>
                <w:rFonts w:asciiTheme="minorHAnsi" w:hAnsiTheme="minorHAnsi" w:cstheme="minorHAnsi"/>
                <w:i/>
                <w:szCs w:val="18"/>
              </w:rPr>
              <w:t>Denominator</w:t>
            </w:r>
            <w:r w:rsidRPr="00923FBE">
              <w:rPr>
                <w:rFonts w:asciiTheme="minorHAnsi" w:hAnsiTheme="minorHAnsi" w:cstheme="minorHAnsi"/>
                <w:szCs w:val="18"/>
              </w:rPr>
              <w:t>: Number of ED presentations.</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Calculation includes all presentations with an ED stay completed in the reporting period, including records where the presentation date/time is prior to the reporting period. Invalid records are excluded from the numerator and denominator. Invalid records are records for which:</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w:t>
            </w:r>
            <w:r w:rsidRPr="00923FBE">
              <w:rPr>
                <w:rFonts w:asciiTheme="minorHAnsi" w:hAnsiTheme="minorHAnsi" w:cstheme="minorHAnsi"/>
              </w:rPr>
              <w:tab/>
              <w:t>Length of stay &lt; 0.</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w:t>
            </w:r>
            <w:r w:rsidRPr="00923FBE">
              <w:rPr>
                <w:rFonts w:asciiTheme="minorHAnsi" w:hAnsiTheme="minorHAnsi" w:cstheme="minorHAnsi"/>
              </w:rPr>
              <w:tab/>
              <w:t>Presentation date or time missing.</w:t>
            </w:r>
          </w:p>
          <w:p w:rsidR="00923FBE" w:rsidRPr="00B8230A" w:rsidRDefault="00923FBE" w:rsidP="00923FBE">
            <w:pPr>
              <w:pStyle w:val="TableBodyText"/>
              <w:jc w:val="left"/>
              <w:rPr>
                <w:rFonts w:asciiTheme="minorHAnsi" w:hAnsiTheme="minorHAnsi" w:cstheme="minorHAnsi"/>
                <w:szCs w:val="18"/>
              </w:rPr>
            </w:pPr>
            <w:r w:rsidRPr="00923FBE">
              <w:rPr>
                <w:rFonts w:asciiTheme="minorHAnsi" w:hAnsiTheme="minorHAnsi" w:cstheme="minorHAnsi"/>
              </w:rPr>
              <w:t>•</w:t>
            </w:r>
            <w:r w:rsidRPr="00923FBE">
              <w:rPr>
                <w:rFonts w:asciiTheme="minorHAnsi" w:hAnsiTheme="minorHAnsi" w:cstheme="minorHAnsi"/>
              </w:rPr>
              <w:tab/>
              <w:t>Physical departure date or time missing.</w:t>
            </w:r>
          </w:p>
        </w:tc>
      </w:tr>
      <w:tr w:rsidR="003A7941" w:rsidRPr="003A7941" w:rsidTr="009F4002">
        <w:tc>
          <w:tcPr>
            <w:tcW w:w="1620" w:type="dxa"/>
          </w:tcPr>
          <w:p w:rsidR="00614760" w:rsidRPr="00B8230A" w:rsidRDefault="00614760" w:rsidP="009F4002">
            <w:pPr>
              <w:widowControl w:val="0"/>
              <w:spacing w:after="40" w:line="200" w:lineRule="atLeast"/>
              <w:ind w:left="6" w:right="113"/>
              <w:rPr>
                <w:rFonts w:asciiTheme="minorHAnsi" w:hAnsiTheme="minorHAnsi" w:cstheme="minorHAnsi"/>
                <w:b/>
                <w:sz w:val="18"/>
                <w:szCs w:val="18"/>
              </w:rPr>
            </w:pPr>
            <w:r w:rsidRPr="00B8230A">
              <w:rPr>
                <w:rFonts w:asciiTheme="minorHAnsi" w:hAnsiTheme="minorHAnsi" w:cstheme="minorHAnsi"/>
                <w:b/>
                <w:sz w:val="18"/>
                <w:szCs w:val="18"/>
              </w:rPr>
              <w:t>Data source/s</w:t>
            </w:r>
          </w:p>
        </w:tc>
        <w:tc>
          <w:tcPr>
            <w:tcW w:w="7169" w:type="dxa"/>
          </w:tcPr>
          <w:p w:rsidR="00614760" w:rsidRPr="00B8230A" w:rsidRDefault="00167614" w:rsidP="009F4002">
            <w:pPr>
              <w:widowControl w:val="0"/>
              <w:spacing w:after="40" w:line="200" w:lineRule="atLeast"/>
              <w:ind w:left="6" w:right="113"/>
              <w:jc w:val="both"/>
              <w:rPr>
                <w:rFonts w:asciiTheme="minorHAnsi" w:hAnsiTheme="minorHAnsi" w:cstheme="minorHAnsi"/>
                <w:sz w:val="18"/>
                <w:szCs w:val="18"/>
              </w:rPr>
            </w:pPr>
            <w:r w:rsidRPr="00B8230A">
              <w:rPr>
                <w:rFonts w:asciiTheme="minorHAnsi" w:hAnsiTheme="minorHAnsi" w:cstheme="minorHAnsi"/>
                <w:sz w:val="18"/>
                <w:szCs w:val="18"/>
              </w:rPr>
              <w:t>This indicator is calculated using data from the Australian Institute of Health and Welfare’s (AIHW’s) NNAPEDCD, based on the National Minimum Data Set (NMDS) for Non-admitted patient emergency department care (NAPEDC).</w:t>
            </w:r>
          </w:p>
        </w:tc>
      </w:tr>
      <w:tr w:rsidR="003A7941" w:rsidRPr="003A7941" w:rsidTr="009F4002">
        <w:tc>
          <w:tcPr>
            <w:tcW w:w="8789" w:type="dxa"/>
            <w:gridSpan w:val="2"/>
            <w:vAlign w:val="bottom"/>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p>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u w:val="single"/>
              </w:rPr>
            </w:pPr>
            <w:r w:rsidRPr="00B8230A">
              <w:rPr>
                <w:rFonts w:asciiTheme="minorHAnsi" w:hAnsiTheme="minorHAnsi" w:cstheme="minorHAnsi"/>
                <w:b/>
                <w:sz w:val="18"/>
                <w:szCs w:val="18"/>
                <w:u w:val="single"/>
              </w:rPr>
              <w:t>Data Quality Framework Dimensions</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Institutional environment</w:t>
            </w:r>
          </w:p>
        </w:tc>
        <w:tc>
          <w:tcPr>
            <w:tcW w:w="7169" w:type="dxa"/>
            <w:shd w:val="clear" w:color="auto" w:fill="auto"/>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Australian Institute of Health and Welfare (AIHW) is a major national agency set up by the Australian Government under the </w:t>
            </w:r>
            <w:r w:rsidRPr="00B8230A">
              <w:rPr>
                <w:rFonts w:asciiTheme="minorHAnsi" w:hAnsiTheme="minorHAnsi" w:cstheme="minorHAnsi"/>
                <w:i/>
                <w:sz w:val="18"/>
                <w:szCs w:val="18"/>
              </w:rPr>
              <w:t>Australian Institute of Health and Welfare Act 1987</w:t>
            </w:r>
            <w:r w:rsidRPr="00B8230A">
              <w:rPr>
                <w:rFonts w:asciiTheme="minorHAnsi" w:hAnsiTheme="minorHAnsi" w:cstheme="minorHAnsi"/>
                <w:sz w:val="18"/>
                <w:szCs w:val="18"/>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w:t>
            </w:r>
            <w:r w:rsidRPr="00B8230A">
              <w:rPr>
                <w:rFonts w:asciiTheme="minorHAnsi" w:hAnsiTheme="minorHAnsi" w:cstheme="minorHAnsi"/>
                <w:i/>
                <w:sz w:val="18"/>
                <w:szCs w:val="18"/>
              </w:rPr>
              <w:t>Australian Institute of Health and Welfare Act 1987</w:t>
            </w:r>
            <w:r w:rsidRPr="00B8230A">
              <w:rPr>
                <w:rFonts w:asciiTheme="minorHAnsi" w:hAnsiTheme="minorHAnsi" w:cstheme="minorHAnsi"/>
                <w:sz w:val="18"/>
                <w:szCs w:val="18"/>
              </w:rPr>
              <w:t xml:space="preserve">, in conjunction with compliance to the </w:t>
            </w:r>
            <w:r w:rsidRPr="00B8230A">
              <w:rPr>
                <w:rFonts w:asciiTheme="minorHAnsi" w:hAnsiTheme="minorHAnsi" w:cstheme="minorHAnsi"/>
                <w:i/>
                <w:sz w:val="18"/>
                <w:szCs w:val="18"/>
              </w:rPr>
              <w:t>Privacy Act 1988 (Commonwealth),</w:t>
            </w:r>
            <w:r w:rsidRPr="00B8230A">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For further information see the AIHW website </w:t>
            </w:r>
            <w:r w:rsidRPr="001E5CC7">
              <w:rPr>
                <w:rFonts w:asciiTheme="minorHAnsi" w:hAnsiTheme="minorHAnsi" w:cstheme="minorHAnsi"/>
                <w:sz w:val="18"/>
                <w:szCs w:val="18"/>
              </w:rPr>
              <w:t>www.aihw.gov.au</w:t>
            </w:r>
            <w:r w:rsidRPr="00B8230A">
              <w:rPr>
                <w:rFonts w:asciiTheme="minorHAnsi" w:hAnsiTheme="minorHAnsi" w:cstheme="minorHAnsi"/>
                <w:sz w:val="18"/>
                <w:szCs w:val="18"/>
              </w:rPr>
              <w:t>.</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Data for the NNAPEDCD were supplied to the AIHW by state and territory health authorities under the terms of the National Health Information Agreement (see the following links):</w:t>
            </w:r>
          </w:p>
          <w:p w:rsidR="00167614" w:rsidRPr="00B8230A" w:rsidRDefault="00167614" w:rsidP="00167614">
            <w:pPr>
              <w:rPr>
                <w:rFonts w:asciiTheme="minorHAnsi" w:hAnsiTheme="minorHAnsi" w:cstheme="minorHAnsi"/>
                <w:sz w:val="18"/>
                <w:szCs w:val="18"/>
              </w:rPr>
            </w:pPr>
            <w:r w:rsidRPr="001E5CC7">
              <w:rPr>
                <w:rFonts w:asciiTheme="minorHAnsi" w:hAnsiTheme="minorHAnsi" w:cstheme="minorHAnsi"/>
                <w:sz w:val="18"/>
                <w:szCs w:val="18"/>
              </w:rPr>
              <w:lastRenderedPageBreak/>
              <w:t>http://www.aihw.gov.au/nhissc/</w:t>
            </w:r>
            <w:r w:rsidRPr="00B8230A">
              <w:rPr>
                <w:rFonts w:asciiTheme="minorHAnsi" w:hAnsiTheme="minorHAnsi" w:cstheme="minorHAnsi"/>
                <w:sz w:val="18"/>
                <w:szCs w:val="18"/>
              </w:rPr>
              <w:t xml:space="preserve"> </w:t>
            </w:r>
          </w:p>
          <w:p w:rsidR="00167614" w:rsidRPr="00B8230A" w:rsidRDefault="00167614" w:rsidP="00167614">
            <w:pPr>
              <w:rPr>
                <w:rFonts w:asciiTheme="minorHAnsi" w:hAnsiTheme="minorHAnsi" w:cstheme="minorHAnsi"/>
                <w:sz w:val="18"/>
                <w:szCs w:val="18"/>
              </w:rPr>
            </w:pPr>
            <w:r w:rsidRPr="001E5CC7">
              <w:rPr>
                <w:rFonts w:asciiTheme="minorHAnsi" w:hAnsiTheme="minorHAnsi" w:cstheme="minorHAnsi"/>
                <w:sz w:val="18"/>
                <w:szCs w:val="18"/>
              </w:rPr>
              <w:t>http://meteor.aihw.gov.au/content/index.phtml/itemId/182135</w:t>
            </w:r>
            <w:r w:rsidRPr="00B8230A">
              <w:rPr>
                <w:rFonts w:asciiTheme="minorHAnsi" w:hAnsiTheme="minorHAnsi" w:cstheme="minorHAnsi"/>
                <w:sz w:val="18"/>
                <w:szCs w:val="18"/>
              </w:rPr>
              <w:t xml:space="preserve"> </w:t>
            </w:r>
          </w:p>
          <w:p w:rsidR="00614760" w:rsidRPr="00B8230A" w:rsidRDefault="00167614" w:rsidP="00167614">
            <w:pPr>
              <w:widowControl w:val="0"/>
              <w:spacing w:after="40" w:line="200" w:lineRule="atLeast"/>
              <w:ind w:left="6" w:right="113"/>
              <w:jc w:val="both"/>
              <w:rPr>
                <w:rFonts w:asciiTheme="minorHAnsi" w:hAnsiTheme="minorHAnsi" w:cstheme="minorHAnsi"/>
                <w:sz w:val="18"/>
                <w:szCs w:val="18"/>
              </w:rPr>
            </w:pPr>
            <w:r w:rsidRPr="00B8230A">
              <w:rPr>
                <w:rFonts w:asciiTheme="minorHAnsi" w:hAnsiTheme="minorHAnsi" w:cstheme="minorHAnsi"/>
                <w:sz w:val="18"/>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lastRenderedPageBreak/>
              <w:t>Relevance</w:t>
            </w:r>
          </w:p>
        </w:tc>
        <w:tc>
          <w:tcPr>
            <w:tcW w:w="7169" w:type="dxa"/>
            <w:shd w:val="clear" w:color="auto" w:fill="auto"/>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purpose of the NNAPEDCD is to collect information on the characteristics of emergency department care  for non-admitted patients registered for care in emergency departments in selected public hospitals classified as either </w:t>
            </w:r>
            <w:r w:rsidRPr="00B8230A">
              <w:rPr>
                <w:rFonts w:asciiTheme="minorHAnsi" w:hAnsiTheme="minorHAnsi" w:cstheme="minorHAnsi"/>
                <w:i/>
                <w:sz w:val="18"/>
                <w:szCs w:val="18"/>
              </w:rPr>
              <w:t xml:space="preserve">Principal referral and Specialist women’s and children’s hospitals </w:t>
            </w:r>
            <w:r w:rsidRPr="00B8230A">
              <w:rPr>
                <w:rFonts w:asciiTheme="minorHAnsi" w:hAnsiTheme="minorHAnsi" w:cstheme="minorHAnsi"/>
                <w:sz w:val="18"/>
                <w:szCs w:val="18"/>
              </w:rPr>
              <w:t xml:space="preserve">(peer group A) or </w:t>
            </w:r>
            <w:r w:rsidRPr="00B8230A">
              <w:rPr>
                <w:rFonts w:asciiTheme="minorHAnsi" w:hAnsiTheme="minorHAnsi" w:cstheme="minorHAnsi"/>
                <w:i/>
                <w:sz w:val="18"/>
                <w:szCs w:val="18"/>
              </w:rPr>
              <w:t>Large hospitals</w:t>
            </w:r>
            <w:r w:rsidRPr="00B8230A">
              <w:rPr>
                <w:rFonts w:asciiTheme="minorHAnsi" w:hAnsiTheme="minorHAnsi" w:cstheme="minorHAnsi"/>
                <w:sz w:val="18"/>
                <w:szCs w:val="18"/>
              </w:rPr>
              <w:t xml:space="preserve"> (peer group B). In 2012–13, hospitals in peer groups A and B provided over 86 per cent of all public hospital emergency presentations. In 2013–14, hospitals in peer groups A and B provided about 80 per cent of all public hospital emergency presentations.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data presented here are not necessarily representative of the hospitals not included in the NNAPEDCD. Hospitals not included do not necessarily have emergency departments that are equivalent to those in hospitals in peer groups A and B.</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Data are reported by jurisdiction of presentation, regardless of the jurisdiction of usual residence.</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Timeliness</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reference period for these data is 2012–13 and 2013–14.</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The financial year of 2011–12 is the first reporting period that these data are available according the agreed specification. </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Accuracy</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For 2012–13, the coverage of the NNAPEDCD was 100 per cent in all jurisdictions for public hospitals in peer groups A and B and is estimated at about 85</w:t>
            </w:r>
            <w:r w:rsidR="00E8429E">
              <w:rPr>
                <w:rFonts w:asciiTheme="minorHAnsi" w:hAnsiTheme="minorHAnsi" w:cstheme="minorHAnsi"/>
                <w:sz w:val="18"/>
                <w:szCs w:val="18"/>
              </w:rPr>
              <w:t xml:space="preserve"> per cent</w:t>
            </w:r>
            <w:r w:rsidRPr="00B8230A">
              <w:rPr>
                <w:rFonts w:asciiTheme="minorHAnsi" w:hAnsiTheme="minorHAnsi" w:cstheme="minorHAnsi"/>
                <w:sz w:val="18"/>
                <w:szCs w:val="18"/>
              </w:rPr>
              <w:t xml:space="preserve"> for all hospitals. </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For 2013–14, the preliminary estimate of the proportion of emergency occasions of service reported to the NNAPEDCD was 100 per cent for public hospitals in peer groups A and B and is estimated at about 88</w:t>
            </w:r>
            <w:r w:rsidR="00E8429E">
              <w:rPr>
                <w:rFonts w:asciiTheme="minorHAnsi" w:hAnsiTheme="minorHAnsi" w:cstheme="minorHAnsi"/>
                <w:sz w:val="18"/>
                <w:szCs w:val="18"/>
              </w:rPr>
              <w:t xml:space="preserve"> per cent</w:t>
            </w:r>
            <w:r w:rsidRPr="00B8230A">
              <w:rPr>
                <w:rFonts w:asciiTheme="minorHAnsi" w:hAnsiTheme="minorHAnsi" w:cstheme="minorHAnsi"/>
                <w:sz w:val="18"/>
                <w:szCs w:val="18"/>
              </w:rPr>
              <w:t xml:space="preserve"> for all hospitals.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In the baseline year (2007-08) for this indicator,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From 2009–10, data for the Albury Base Hospital (previously reported in </w:t>
            </w:r>
            <w:r w:rsidR="00E8429E">
              <w:rPr>
                <w:rFonts w:asciiTheme="minorHAnsi" w:hAnsiTheme="minorHAnsi" w:cstheme="minorHAnsi"/>
                <w:sz w:val="18"/>
                <w:szCs w:val="18"/>
              </w:rPr>
              <w:t xml:space="preserve">NSW </w:t>
            </w:r>
            <w:r w:rsidRPr="00B8230A">
              <w:rPr>
                <w:rFonts w:asciiTheme="minorHAnsi" w:hAnsiTheme="minorHAnsi" w:cstheme="minorHAnsi"/>
                <w:sz w:val="18"/>
                <w:szCs w:val="18"/>
              </w:rPr>
              <w:t xml:space="preserve">hospital statistics) were reported in Victorian hospital statistics. This reporting arrangement should be factored into any analysis of data for </w:t>
            </w:r>
            <w:r w:rsidR="00E8429E">
              <w:rPr>
                <w:rFonts w:asciiTheme="minorHAnsi" w:hAnsiTheme="minorHAnsi" w:cstheme="minorHAnsi"/>
                <w:sz w:val="18"/>
                <w:szCs w:val="18"/>
              </w:rPr>
              <w:t xml:space="preserve">NSW </w:t>
            </w:r>
            <w:r w:rsidRPr="00B8230A">
              <w:rPr>
                <w:rFonts w:asciiTheme="minorHAnsi" w:hAnsiTheme="minorHAnsi" w:cstheme="minorHAnsi"/>
                <w:sz w:val="18"/>
                <w:szCs w:val="18"/>
              </w:rPr>
              <w:t>and Victoria.</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States and territories are primarily responsible for the quality of the data they provide. However, the AIHW undertakes extensive validations on data. Data are checked for valid values, logical consistency and historical consistency. Potential errors are queried with jurisdictions, and corrections and resubmissions may be made in response to these queries. The AIHW does not adjust data to account for possible data errors or missing or incorrect values.</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Coherence</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scope of the NAPEDC NMDS changed between the 2012–13 and 2013–14 reporting periods. These changes may affect comparability of the data reported for 2013–14 with data reported for previous years. </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For 2012–13, the scope of the Non-admitted patient emergency department care national minimum data set was non-admitted patients registered for care in emergency departments in selected public hospitals that are classified as either Peer Group A or B in the Australian Institute of Health and Welfare’s </w:t>
            </w:r>
            <w:r w:rsidRPr="00B8230A">
              <w:rPr>
                <w:rFonts w:asciiTheme="minorHAnsi" w:hAnsiTheme="minorHAnsi" w:cstheme="minorHAnsi"/>
                <w:i/>
                <w:sz w:val="18"/>
                <w:szCs w:val="18"/>
              </w:rPr>
              <w:t>Australian Hospital Statistics</w:t>
            </w:r>
            <w:r w:rsidRPr="00B8230A">
              <w:rPr>
                <w:rFonts w:asciiTheme="minorHAnsi" w:hAnsiTheme="minorHAnsi" w:cstheme="minorHAnsi"/>
                <w:sz w:val="18"/>
                <w:szCs w:val="18"/>
              </w:rPr>
              <w:t xml:space="preserve"> publication from the preceding financial year.</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For 2013–14, the scope of the Non-admitted patient emergency department care national minimum data set specification (NAPEDC NMDS) is patients registered for care in emergency departments in public hospitals where the emergency department meets the following criteria:</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 Purposely designed and equipped area with designated assessment, treatment and resuscitation areas.</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lastRenderedPageBreak/>
              <w:t xml:space="preserve"> Ability to provide resuscitation, stabilisation and initial management of all emergencies.</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 Availability of medical staff in the hospital 24 hours a day. </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Designated emergency department nursing staff and nursing unit manager 24 hours per day 7 days per week.</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data reported for 2012–13 are consistent with data reported for the NNAPEDCD for previous years for individual hospitals.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In addition, the data reported to the NNAPEDCD in previous years has been consistent with the numbers of emergency occasions of services reported to the NPHED for each hospital for the same reference year.</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Time series presentations may be affected by changes in the number of hospitals reported to the collection and changes in coverage.</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 xml:space="preserve">The information presented for this indicator are calculated using the same methodology as data published in </w:t>
            </w:r>
            <w:r w:rsidRPr="00B8230A">
              <w:rPr>
                <w:rFonts w:asciiTheme="minorHAnsi" w:hAnsiTheme="minorHAnsi" w:cstheme="minorHAnsi"/>
                <w:i/>
                <w:szCs w:val="18"/>
              </w:rPr>
              <w:t>Australian hospital statistics: emergency department care</w:t>
            </w:r>
            <w:r w:rsidRPr="00B8230A">
              <w:rPr>
                <w:rFonts w:asciiTheme="minorHAnsi" w:hAnsiTheme="minorHAnsi" w:cstheme="minorHAnsi"/>
                <w:szCs w:val="18"/>
              </w:rPr>
              <w:t xml:space="preserve"> (report series) and the </w:t>
            </w:r>
            <w:r w:rsidRPr="00B8230A">
              <w:rPr>
                <w:rFonts w:asciiTheme="minorHAnsi" w:hAnsiTheme="minorHAnsi" w:cstheme="minorHAnsi"/>
                <w:i/>
                <w:szCs w:val="18"/>
              </w:rPr>
              <w:t>National Healthcare Agreement: performance report 2012–13</w:t>
            </w:r>
            <w:r w:rsidRPr="00B8230A">
              <w:rPr>
                <w:rFonts w:asciiTheme="minorHAnsi" w:hAnsiTheme="minorHAnsi" w:cstheme="minorHAnsi"/>
                <w:szCs w:val="18"/>
              </w:rPr>
              <w:t>.</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lastRenderedPageBreak/>
              <w:t>Accessibility</w:t>
            </w:r>
          </w:p>
        </w:tc>
        <w:tc>
          <w:tcPr>
            <w:tcW w:w="7169" w:type="dxa"/>
          </w:tcPr>
          <w:p w:rsidR="00E2221C" w:rsidRPr="00B8230A" w:rsidRDefault="00167614" w:rsidP="00F42252">
            <w:pPr>
              <w:pStyle w:val="TableBodyText"/>
              <w:jc w:val="both"/>
              <w:rPr>
                <w:rFonts w:asciiTheme="minorHAnsi" w:hAnsiTheme="minorHAnsi" w:cstheme="minorHAnsi"/>
                <w:szCs w:val="18"/>
              </w:rPr>
            </w:pPr>
            <w:r w:rsidRPr="00B8230A">
              <w:rPr>
                <w:rFonts w:asciiTheme="minorHAnsi" w:hAnsiTheme="minorHAnsi" w:cstheme="minorHAnsi"/>
                <w:szCs w:val="18"/>
              </w:rPr>
              <w:t xml:space="preserve">The AIHW provides a variety of products that draw upon the NNAPEDCD. Published products available on the AIHW website are: Australian hospital statistics suite of products with associated Excel tables. These products may be accessed on the AIHW website at: </w:t>
            </w:r>
            <w:r w:rsidRPr="001E5CC7">
              <w:rPr>
                <w:rFonts w:asciiTheme="minorHAnsi" w:hAnsiTheme="minorHAnsi" w:cstheme="minorHAnsi"/>
                <w:szCs w:val="18"/>
              </w:rPr>
              <w:t>http://www.aihw.gov.au/hospitals/</w:t>
            </w:r>
            <w:r w:rsidRPr="00B8230A">
              <w:rPr>
                <w:rFonts w:asciiTheme="minorHAnsi" w:hAnsiTheme="minorHAnsi" w:cstheme="minorHAnsi"/>
                <w:szCs w:val="18"/>
              </w:rPr>
              <w:t>.</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Interpretability</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Metadata information for the NAPEDC NMDS and the NAPEDC Data Set Specification (DSS) are published in the AIHW’s online metadata repository, METeOR, and the </w:t>
            </w:r>
            <w:r w:rsidRPr="00B8230A">
              <w:rPr>
                <w:rFonts w:asciiTheme="minorHAnsi" w:hAnsiTheme="minorHAnsi" w:cstheme="minorHAnsi"/>
                <w:i/>
                <w:sz w:val="18"/>
                <w:szCs w:val="18"/>
              </w:rPr>
              <w:t>National health data dictionary</w:t>
            </w:r>
            <w:r w:rsidRPr="00B8230A">
              <w:rPr>
                <w:rFonts w:asciiTheme="minorHAnsi" w:hAnsiTheme="minorHAnsi" w:cstheme="minorHAnsi"/>
                <w:sz w:val="18"/>
                <w:szCs w:val="18"/>
              </w:rPr>
              <w:t>.</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w:t>
            </w:r>
            <w:r w:rsidRPr="00B8230A">
              <w:rPr>
                <w:rFonts w:asciiTheme="minorHAnsi" w:hAnsiTheme="minorHAnsi" w:cstheme="minorHAnsi"/>
                <w:i/>
                <w:sz w:val="18"/>
                <w:szCs w:val="18"/>
              </w:rPr>
              <w:t>National health data dictionary</w:t>
            </w:r>
            <w:r w:rsidRPr="00B8230A">
              <w:rPr>
                <w:rFonts w:asciiTheme="minorHAnsi" w:hAnsiTheme="minorHAnsi" w:cstheme="minorHAnsi"/>
                <w:sz w:val="18"/>
                <w:szCs w:val="18"/>
              </w:rPr>
              <w:t xml:space="preserve"> can be accessed online at:</w:t>
            </w:r>
          </w:p>
          <w:p w:rsidR="00167614" w:rsidRPr="00B8230A" w:rsidRDefault="00167614" w:rsidP="00167614">
            <w:pPr>
              <w:rPr>
                <w:rFonts w:asciiTheme="minorHAnsi" w:hAnsiTheme="minorHAnsi" w:cstheme="minorHAnsi"/>
                <w:sz w:val="18"/>
                <w:szCs w:val="18"/>
              </w:rPr>
            </w:pPr>
            <w:r w:rsidRPr="001E5CC7">
              <w:rPr>
                <w:rFonts w:asciiTheme="minorHAnsi" w:hAnsiTheme="minorHAnsi" w:cstheme="minorHAnsi"/>
                <w:sz w:val="18"/>
                <w:szCs w:val="18"/>
              </w:rPr>
              <w:t>http://www.aihw.gov.au/publication-detail/?id=10737422826</w:t>
            </w:r>
            <w:r w:rsidRPr="00B8230A">
              <w:rPr>
                <w:rFonts w:asciiTheme="minorHAnsi" w:hAnsiTheme="minorHAnsi" w:cstheme="minorHAnsi"/>
                <w:sz w:val="18"/>
                <w:szCs w:val="18"/>
              </w:rPr>
              <w:t xml:space="preserve"> </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Data Quality Statement for the 2012–13 NNAPEDCD can be accessed on the AIHW website at:</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 xml:space="preserve"> </w:t>
            </w:r>
            <w:r w:rsidRPr="001E5CC7">
              <w:rPr>
                <w:rFonts w:asciiTheme="minorHAnsi" w:hAnsiTheme="minorHAnsi" w:cstheme="minorHAnsi"/>
                <w:szCs w:val="18"/>
              </w:rPr>
              <w:t>http://meteor.aihw.gov.au/content/index.phtml/itemId/546749</w:t>
            </w:r>
            <w:r w:rsidR="00E2221C" w:rsidRPr="00B8230A">
              <w:rPr>
                <w:rFonts w:asciiTheme="minorHAnsi" w:hAnsiTheme="minorHAnsi" w:cstheme="minorHAnsi"/>
                <w:szCs w:val="18"/>
              </w:rPr>
              <w:t xml:space="preserve"> </w:t>
            </w:r>
          </w:p>
        </w:tc>
      </w:tr>
      <w:tr w:rsidR="003A7941" w:rsidRPr="003A7941" w:rsidTr="009F4002">
        <w:tc>
          <w:tcPr>
            <w:tcW w:w="8789" w:type="dxa"/>
            <w:gridSpan w:val="2"/>
            <w:vAlign w:val="bottom"/>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p>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u w:val="single"/>
              </w:rPr>
            </w:pPr>
            <w:r w:rsidRPr="00B8230A">
              <w:rPr>
                <w:rFonts w:asciiTheme="minorHAnsi" w:hAnsiTheme="minorHAnsi" w:cstheme="minorHAnsi"/>
                <w:b/>
                <w:sz w:val="18"/>
                <w:szCs w:val="18"/>
                <w:u w:val="single"/>
              </w:rPr>
              <w:t>Data Gaps/Issues Analysis</w:t>
            </w:r>
          </w:p>
        </w:tc>
      </w:tr>
      <w:tr w:rsidR="003A7941" w:rsidRPr="003A7941" w:rsidTr="009F4002">
        <w:tc>
          <w:tcPr>
            <w:tcW w:w="1620" w:type="dxa"/>
          </w:tcPr>
          <w:p w:rsidR="00E2221C" w:rsidRPr="00B8230A" w:rsidRDefault="00E2221C" w:rsidP="009F4002">
            <w:pPr>
              <w:widowControl w:val="0"/>
              <w:spacing w:after="40" w:line="200" w:lineRule="atLeast"/>
              <w:ind w:left="6" w:right="113"/>
              <w:rPr>
                <w:rFonts w:asciiTheme="minorHAnsi" w:hAnsiTheme="minorHAnsi" w:cstheme="minorHAnsi"/>
                <w:b/>
                <w:sz w:val="18"/>
                <w:szCs w:val="18"/>
              </w:rPr>
            </w:pPr>
            <w:r w:rsidRPr="00B8230A">
              <w:rPr>
                <w:rFonts w:asciiTheme="minorHAnsi" w:hAnsiTheme="minorHAnsi" w:cstheme="minorHAnsi"/>
                <w:b/>
                <w:sz w:val="18"/>
                <w:szCs w:val="18"/>
              </w:rPr>
              <w:t>Key data gaps/issues</w:t>
            </w:r>
          </w:p>
        </w:tc>
        <w:tc>
          <w:tcPr>
            <w:tcW w:w="7169" w:type="dxa"/>
          </w:tcPr>
          <w:p w:rsidR="00E2221C" w:rsidRPr="00B8230A" w:rsidRDefault="00E2221C" w:rsidP="00F42252">
            <w:pPr>
              <w:widowControl w:val="0"/>
              <w:spacing w:after="40" w:line="200" w:lineRule="atLeast"/>
              <w:ind w:left="6" w:right="113"/>
              <w:jc w:val="both"/>
              <w:rPr>
                <w:rFonts w:asciiTheme="minorHAnsi" w:hAnsiTheme="minorHAnsi" w:cstheme="minorHAnsi"/>
                <w:sz w:val="18"/>
                <w:szCs w:val="18"/>
              </w:rPr>
            </w:pPr>
            <w:r w:rsidRPr="00B8230A">
              <w:rPr>
                <w:rFonts w:asciiTheme="minorHAnsi" w:hAnsiTheme="minorHAnsi" w:cstheme="minorHAnsi"/>
                <w:sz w:val="18"/>
                <w:szCs w:val="18"/>
              </w:rPr>
              <w:t>The Steering Committee notes the following key data gaps/issues:</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The scope of the data used to produce this indicator is non-admitted patients registered for care in emergency departments in public hospitals reporting to the Non-admitted Patient Emergency Department Care (NAPEDC) National Minimum Data Set (NMDS) (Peer Groups A, B and other) as at August 2011 (when the National Health Reform Agreement National Partnership Agreement on Improving Public Hospital Services was signed). </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The scope of the NAPEDC NMDS changed between the 2012–13 and 2013–14 reporting periods. These changes may affect comparability of the data reported for 2013–14 with data reported for previous years.  </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For 2012–13, the coverage of the National Non-admitted Patient Emergency Department Care Database (NNAPEDCD) collection is complete for public hospitals in peer groups A and B (</w:t>
            </w:r>
            <w:r w:rsidRPr="00B8230A">
              <w:rPr>
                <w:rFonts w:asciiTheme="minorHAnsi" w:hAnsiTheme="minorHAnsi" w:cstheme="minorHAnsi"/>
                <w:i/>
                <w:sz w:val="18"/>
                <w:szCs w:val="18"/>
              </w:rPr>
              <w:t>Principal referral and Specialist women’s and children’s hospitals</w:t>
            </w:r>
            <w:r w:rsidRPr="00B8230A">
              <w:rPr>
                <w:rFonts w:asciiTheme="minorHAnsi" w:hAnsiTheme="minorHAnsi" w:cstheme="minorHAnsi"/>
                <w:sz w:val="18"/>
                <w:szCs w:val="18"/>
              </w:rPr>
              <w:t xml:space="preserve"> and </w:t>
            </w:r>
            <w:r w:rsidRPr="00B8230A">
              <w:rPr>
                <w:rFonts w:asciiTheme="minorHAnsi" w:hAnsiTheme="minorHAnsi" w:cstheme="minorHAnsi"/>
                <w:i/>
                <w:sz w:val="18"/>
                <w:szCs w:val="18"/>
              </w:rPr>
              <w:t>Large hospitals</w:t>
            </w:r>
            <w:r w:rsidRPr="00B8230A">
              <w:rPr>
                <w:rFonts w:asciiTheme="minorHAnsi" w:hAnsiTheme="minorHAnsi" w:cstheme="minorHAnsi"/>
                <w:sz w:val="18"/>
                <w:szCs w:val="18"/>
              </w:rPr>
              <w:t>) and is estimated at about 85</w:t>
            </w:r>
            <w:r w:rsidR="00B8230A" w:rsidRPr="00B8230A">
              <w:rPr>
                <w:rFonts w:asciiTheme="minorHAnsi" w:hAnsiTheme="minorHAnsi" w:cstheme="minorHAnsi"/>
                <w:sz w:val="18"/>
                <w:szCs w:val="18"/>
              </w:rPr>
              <w:t xml:space="preserve"> per cent </w:t>
            </w:r>
            <w:r w:rsidRPr="00B8230A">
              <w:rPr>
                <w:rFonts w:asciiTheme="minorHAnsi" w:hAnsiTheme="minorHAnsi" w:cstheme="minorHAnsi"/>
                <w:sz w:val="18"/>
                <w:szCs w:val="18"/>
              </w:rPr>
              <w:t xml:space="preserve">for all hospitals. </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It is estimated that 2013–14 has similar coverage for public hospitals in peer groups A and B, and is estimated at about 88</w:t>
            </w:r>
            <w:r w:rsidR="00B8230A" w:rsidRPr="00B8230A">
              <w:rPr>
                <w:rFonts w:asciiTheme="minorHAnsi" w:hAnsiTheme="minorHAnsi" w:cstheme="minorHAnsi"/>
                <w:sz w:val="18"/>
                <w:szCs w:val="18"/>
              </w:rPr>
              <w:t xml:space="preserve"> per cent</w:t>
            </w:r>
            <w:r w:rsidRPr="00B8230A">
              <w:rPr>
                <w:rFonts w:asciiTheme="minorHAnsi" w:hAnsiTheme="minorHAnsi" w:cstheme="minorHAnsi"/>
                <w:sz w:val="18"/>
                <w:szCs w:val="18"/>
              </w:rPr>
              <w:t xml:space="preserve"> for all hospitals, although final coverage cannot be calculated until the 2013–14 National Public Hospital Establishments Database (NPHED) data are available.</w:t>
            </w:r>
          </w:p>
          <w:p w:rsidR="002C426D" w:rsidRPr="00B8230A" w:rsidRDefault="002C426D" w:rsidP="00B8230A">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Caution should be used in comparing these data with earlier years as the number of reporting hospitals and the peer group for a hospital, may vary over time.</w:t>
            </w:r>
            <w:r w:rsidR="00B8230A" w:rsidRPr="00B8230A">
              <w:rPr>
                <w:rFonts w:asciiTheme="minorHAnsi" w:hAnsiTheme="minorHAnsi" w:cstheme="minorHAnsi"/>
                <w:sz w:val="18"/>
                <w:szCs w:val="18"/>
              </w:rPr>
              <w:t xml:space="preserve"> </w:t>
            </w:r>
          </w:p>
        </w:tc>
      </w:tr>
    </w:tbl>
    <w:p w:rsidR="009E4756" w:rsidRDefault="009E4756" w:rsidP="009E4756">
      <w:pPr>
        <w:pStyle w:val="BodyText"/>
        <w:rPr>
          <w:rFonts w:ascii="Arial" w:hAnsi="Arial"/>
          <w:sz w:val="26"/>
        </w:rPr>
      </w:pPr>
      <w:bookmarkStart w:id="5" w:name="_Toc401912923"/>
      <w:r>
        <w:br w:type="page"/>
      </w:r>
    </w:p>
    <w:p w:rsidR="0090363E" w:rsidRDefault="0090363E" w:rsidP="0090363E">
      <w:pPr>
        <w:pStyle w:val="Heading3"/>
      </w:pPr>
      <w:r w:rsidRPr="003A7941">
        <w:lastRenderedPageBreak/>
        <w:t>Se</w:t>
      </w:r>
      <w:r>
        <w:t>paration rates for selected procedures</w:t>
      </w:r>
      <w:bookmarkEnd w:id="5"/>
    </w:p>
    <w:p w:rsidR="00D434A0"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042BA" w:rsidRPr="003846CE" w:rsidTr="009F4002">
        <w:tc>
          <w:tcPr>
            <w:tcW w:w="1620" w:type="dxa"/>
          </w:tcPr>
          <w:p w:rsidR="009042BA" w:rsidRPr="003846CE" w:rsidRDefault="009042BA"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042BA" w:rsidRPr="00E00AD6" w:rsidRDefault="009042BA" w:rsidP="007957BE">
            <w:pPr>
              <w:pStyle w:val="TableBodyText"/>
              <w:keepNext w:val="0"/>
              <w:keepLines w:val="0"/>
              <w:widowControl w:val="0"/>
              <w:jc w:val="both"/>
            </w:pPr>
            <w:r w:rsidRPr="00E00AD6">
              <w:t xml:space="preserve">Effectiveness—appropriateness </w:t>
            </w:r>
          </w:p>
        </w:tc>
      </w:tr>
      <w:tr w:rsidR="009042BA" w:rsidRPr="003846CE" w:rsidTr="009F4002">
        <w:tc>
          <w:tcPr>
            <w:tcW w:w="1620" w:type="dxa"/>
          </w:tcPr>
          <w:p w:rsidR="009042BA" w:rsidRPr="003846CE" w:rsidRDefault="009042BA"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vAlign w:val="bottom"/>
          </w:tcPr>
          <w:p w:rsidR="009042BA" w:rsidRPr="00E00AD6" w:rsidRDefault="009042BA" w:rsidP="007957BE">
            <w:pPr>
              <w:pStyle w:val="TableBodyText"/>
              <w:keepNext w:val="0"/>
              <w:keepLines w:val="0"/>
              <w:widowControl w:val="0"/>
              <w:jc w:val="both"/>
            </w:pPr>
            <w:r>
              <w:t>Separation rates for selected procedures</w:t>
            </w:r>
          </w:p>
        </w:tc>
      </w:tr>
      <w:tr w:rsidR="009042BA" w:rsidRPr="003846CE" w:rsidTr="009F4002">
        <w:tc>
          <w:tcPr>
            <w:tcW w:w="1620" w:type="dxa"/>
          </w:tcPr>
          <w:p w:rsidR="009042BA" w:rsidRDefault="009042BA"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042BA" w:rsidRPr="003846CE" w:rsidRDefault="009042BA"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vAlign w:val="bottom"/>
          </w:tcPr>
          <w:p w:rsidR="009042BA" w:rsidRPr="00D223FF" w:rsidRDefault="009042BA" w:rsidP="007957BE">
            <w:pPr>
              <w:pStyle w:val="TableBodyText"/>
              <w:keepNext w:val="0"/>
              <w:keepLines w:val="0"/>
              <w:widowControl w:val="0"/>
              <w:jc w:val="both"/>
            </w:pPr>
            <w:r w:rsidRPr="00D223FF">
              <w:t xml:space="preserve">The </w:t>
            </w:r>
            <w:r w:rsidRPr="00D223FF">
              <w:rPr>
                <w:i/>
              </w:rPr>
              <w:t>numerator</w:t>
            </w:r>
            <w:r w:rsidRPr="00D223FF">
              <w:t xml:space="preserve"> is the number of hospital separations involving the procedures: cataract extraction, cholecystectomy, coronary artery bypass graft, coronary angioplasty, cystoscopy, haemorrhoidectomy, hip replacement, inguinal herniorrhaphy, knee replacement, myringotomy, tonsillectomy, varicose veins stripping and ligation, septoplasty, prostatectomy and hysterectomy. </w:t>
            </w:r>
          </w:p>
          <w:p w:rsidR="009042BA" w:rsidRPr="00D223FF" w:rsidRDefault="009042BA" w:rsidP="007957BE">
            <w:pPr>
              <w:pStyle w:val="TableBodyText"/>
              <w:keepNext w:val="0"/>
              <w:keepLines w:val="0"/>
              <w:widowControl w:val="0"/>
              <w:jc w:val="both"/>
            </w:pPr>
            <w:r w:rsidRPr="00D223FF">
              <w:t xml:space="preserve">The </w:t>
            </w:r>
            <w:r w:rsidRPr="00D223FF">
              <w:rPr>
                <w:i/>
              </w:rPr>
              <w:t>denominator</w:t>
            </w:r>
            <w:r w:rsidRPr="00D223FF">
              <w:t xml:space="preserve"> is the Estimated Resident Population (ERP), with the exception of prostatectomy, where only the male ERP is used, and hysterectomy, where only the female ERP aged 15–69 years is used. </w:t>
            </w:r>
          </w:p>
          <w:p w:rsidR="009042BA" w:rsidRPr="00D223FF" w:rsidRDefault="009042BA" w:rsidP="007957BE">
            <w:pPr>
              <w:pStyle w:val="TableBodyText"/>
              <w:keepNext w:val="0"/>
              <w:keepLines w:val="0"/>
              <w:widowControl w:val="0"/>
              <w:jc w:val="both"/>
            </w:pPr>
            <w:r w:rsidRPr="00D223FF">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9042BA" w:rsidRPr="00D223FF" w:rsidRDefault="009042BA" w:rsidP="007957BE">
            <w:pPr>
              <w:pStyle w:val="TableBodyText"/>
              <w:keepNext w:val="0"/>
              <w:keepLines w:val="0"/>
              <w:widowControl w:val="0"/>
              <w:jc w:val="both"/>
            </w:pPr>
            <w:r w:rsidRPr="00D223FF">
              <w:rPr>
                <w:i/>
              </w:rPr>
              <w:t>Calculation</w:t>
            </w:r>
            <w:r w:rsidRPr="00D223FF">
              <w:t xml:space="preserve"> is </w:t>
            </w:r>
            <w:r>
              <w:t>1000</w:t>
            </w:r>
            <w:r w:rsidRPr="00D223FF">
              <w:t xml:space="preserve"> × (numerator </w:t>
            </w:r>
            <w:r w:rsidRPr="00D223FF">
              <w:rPr>
                <w:rFonts w:cs="Arial"/>
              </w:rPr>
              <w:t xml:space="preserve">÷ denominator), presented as a number </w:t>
            </w:r>
            <w:r>
              <w:rPr>
                <w:rFonts w:cs="Arial"/>
              </w:rPr>
              <w:t>per 1000</w:t>
            </w:r>
            <w:r w:rsidRPr="00D223FF">
              <w:rPr>
                <w:rFonts w:cs="Arial"/>
              </w:rPr>
              <w:t xml:space="preserve"> and age-standardised to the Australian population as at 30 June 2001 using 5-year age groups to 84 years, with ages over 84 combined. </w:t>
            </w:r>
            <w:r w:rsidR="006B0096" w:rsidRPr="006B0096">
              <w:rPr>
                <w:rFonts w:cs="Arial"/>
              </w:rPr>
              <w:t xml:space="preserve">Aboriginal and Torres Strait Islander </w:t>
            </w:r>
            <w:r w:rsidRPr="00D223FF">
              <w:rPr>
                <w:rFonts w:cs="Arial"/>
              </w:rPr>
              <w:t>population data are no</w:t>
            </w:r>
            <w:r w:rsidRPr="00D223FF">
              <w:t xml:space="preserve">t available for all states and territories for 5-year age groups beyond 64 years, so the Indigenous disaggregation was standardised to 64 years, with ages over 64 combined. </w:t>
            </w:r>
          </w:p>
          <w:p w:rsidR="009042BA" w:rsidRPr="00184B37" w:rsidRDefault="009042BA" w:rsidP="007957BE">
            <w:pPr>
              <w:pStyle w:val="TableBodyText"/>
              <w:keepNext w:val="0"/>
              <w:keepLines w:val="0"/>
              <w:widowControl w:val="0"/>
              <w:jc w:val="both"/>
              <w:rPr>
                <w:color w:val="000000"/>
              </w:rPr>
            </w:pPr>
            <w:r w:rsidRPr="00D223FF">
              <w:t xml:space="preserve">For hysterectomy only: Total population data were age-standardised using 5 year age groups between 15–69 years. Indigenous disaggregation for the </w:t>
            </w:r>
            <w:r>
              <w:t>ACT</w:t>
            </w:r>
            <w:r w:rsidRPr="00D223FF">
              <w:t xml:space="preserve"> and Tasmania was age-standardised using 5-year age groups from 15–64, with ages over 64 combined. Indigenous disaggregation for all other jurisdictions was standardised using 5-year age groups between 15–69 years as data on the </w:t>
            </w:r>
            <w:r w:rsidR="006B0096" w:rsidRPr="006B0096">
              <w:t xml:space="preserve">Aboriginal and Torres Strait Islander </w:t>
            </w:r>
            <w:r w:rsidRPr="00D223FF">
              <w:t>population aged 65–69 years were available for these jurisdictions.</w:t>
            </w:r>
          </w:p>
        </w:tc>
      </w:tr>
      <w:tr w:rsidR="009042BA" w:rsidRPr="003846CE" w:rsidTr="009F4002">
        <w:tc>
          <w:tcPr>
            <w:tcW w:w="1620" w:type="dxa"/>
          </w:tcPr>
          <w:p w:rsidR="009042BA" w:rsidRPr="003846CE" w:rsidRDefault="009042BA"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9042BA" w:rsidRPr="00D223FF" w:rsidRDefault="009042BA" w:rsidP="007957BE">
            <w:pPr>
              <w:pStyle w:val="TableBodyText"/>
              <w:keepNext w:val="0"/>
              <w:keepLines w:val="0"/>
              <w:widowControl w:val="0"/>
              <w:jc w:val="left"/>
            </w:pPr>
            <w:r w:rsidRPr="00D223FF">
              <w:rPr>
                <w:i/>
              </w:rPr>
              <w:t>Numerator</w:t>
            </w:r>
            <w:r w:rsidRPr="00D223FF">
              <w:t>:</w:t>
            </w:r>
          </w:p>
          <w:p w:rsidR="009042BA" w:rsidRPr="00D223FF" w:rsidRDefault="009042BA" w:rsidP="007957BE">
            <w:pPr>
              <w:pStyle w:val="TableBodyText"/>
              <w:keepNext w:val="0"/>
              <w:keepLines w:val="0"/>
              <w:widowControl w:val="0"/>
              <w:jc w:val="both"/>
            </w:pPr>
            <w:r w:rsidRPr="00D223FF">
              <w:t>This indicator is calculated using data from the NHMD, based on the National Minimum Data Set for Admitted patient care.</w:t>
            </w:r>
          </w:p>
          <w:p w:rsidR="009042BA" w:rsidRPr="00D223FF" w:rsidRDefault="009042BA" w:rsidP="007957BE">
            <w:pPr>
              <w:pStyle w:val="TableBodyText"/>
              <w:keepNext w:val="0"/>
              <w:keepLines w:val="0"/>
              <w:widowControl w:val="0"/>
              <w:jc w:val="left"/>
            </w:pPr>
            <w:r w:rsidRPr="00D223FF">
              <w:rPr>
                <w:i/>
              </w:rPr>
              <w:t>Denominator</w:t>
            </w:r>
            <w:r w:rsidRPr="00D223FF">
              <w:t>:</w:t>
            </w:r>
          </w:p>
          <w:p w:rsidR="009042BA" w:rsidRPr="00E00AD6" w:rsidRDefault="009042BA" w:rsidP="007957BE">
            <w:pPr>
              <w:pStyle w:val="TableBodyText"/>
              <w:keepNext w:val="0"/>
              <w:keepLines w:val="0"/>
              <w:widowControl w:val="0"/>
              <w:jc w:val="both"/>
            </w:pPr>
            <w:r w:rsidRPr="00D223FF">
              <w:rPr>
                <w:u w:val="single"/>
              </w:rPr>
              <w:t>For total population</w:t>
            </w:r>
            <w:r w:rsidRPr="00D223FF">
              <w:t>: Australian Bureau of Statistics (ABS) ERP as at 30</w:t>
            </w:r>
            <w:r>
              <w:t> </w:t>
            </w:r>
            <w:r w:rsidRPr="00D223FF">
              <w:t>June 20</w:t>
            </w:r>
            <w:r>
              <w:t>11</w:t>
            </w:r>
            <w:r w:rsidRPr="00D223FF">
              <w:t xml:space="preserve">. </w:t>
            </w:r>
          </w:p>
        </w:tc>
      </w:tr>
      <w:tr w:rsidR="009042BA" w:rsidRPr="003846CE" w:rsidTr="009F4002">
        <w:tc>
          <w:tcPr>
            <w:tcW w:w="8789" w:type="dxa"/>
            <w:gridSpan w:val="2"/>
            <w:vAlign w:val="bottom"/>
          </w:tcPr>
          <w:p w:rsidR="009042BA" w:rsidRDefault="009042BA" w:rsidP="00905501">
            <w:pPr>
              <w:widowControl w:val="0"/>
              <w:spacing w:after="40" w:line="200" w:lineRule="atLeast"/>
              <w:ind w:left="6" w:right="113"/>
              <w:jc w:val="both"/>
              <w:rPr>
                <w:rFonts w:ascii="Arial" w:hAnsi="Arial"/>
                <w:b/>
                <w:color w:val="000000"/>
                <w:sz w:val="18"/>
                <w:szCs w:val="20"/>
              </w:rPr>
            </w:pPr>
          </w:p>
          <w:p w:rsidR="009042BA" w:rsidRPr="003846CE" w:rsidRDefault="009042BA"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Default="00950E2C" w:rsidP="00B04C80">
            <w:pPr>
              <w:pStyle w:val="TableBodyText"/>
              <w:keepNext w:val="0"/>
              <w:keepLines w:val="0"/>
              <w:widowControl w:val="0"/>
              <w:jc w:val="both"/>
            </w:pPr>
            <w:r>
              <w:t xml:space="preserve">The </w:t>
            </w:r>
            <w:r w:rsidRPr="00D223FF">
              <w:t xml:space="preserve">Australian Institute of Health and Welfare (AIHW) </w:t>
            </w:r>
            <w:r>
              <w:t xml:space="preserve">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950E2C" w:rsidRDefault="00950E2C" w:rsidP="00B04C80">
            <w:pPr>
              <w:pStyle w:val="TableBodyText"/>
              <w:keepNext w:val="0"/>
              <w:keepLines w:val="0"/>
              <w:widowControl w:val="0"/>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950E2C" w:rsidRDefault="00950E2C" w:rsidP="00B04C80">
            <w:pPr>
              <w:pStyle w:val="TableBodyText"/>
              <w:keepNext w:val="0"/>
              <w:keepLines w:val="0"/>
              <w:widowControl w:val="0"/>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950E2C" w:rsidRDefault="00950E2C" w:rsidP="00B04C80">
            <w:pPr>
              <w:pStyle w:val="TableBodyText"/>
              <w:keepNext w:val="0"/>
              <w:keepLines w:val="0"/>
              <w:widowControl w:val="0"/>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950E2C" w:rsidRDefault="00950E2C" w:rsidP="00B04C80">
            <w:pPr>
              <w:pStyle w:val="TableBodyText"/>
              <w:keepNext w:val="0"/>
              <w:keepLines w:val="0"/>
              <w:widowControl w:val="0"/>
              <w:jc w:val="both"/>
            </w:pPr>
            <w:r>
              <w:lastRenderedPageBreak/>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950E2C" w:rsidRDefault="00950E2C" w:rsidP="00B04C80">
            <w:pPr>
              <w:pStyle w:val="TableBodyText"/>
              <w:keepNext w:val="0"/>
              <w:keepLines w:val="0"/>
              <w:widowControl w:val="0"/>
              <w:jc w:val="both"/>
            </w:pPr>
            <w:r>
              <w:t xml:space="preserve">For further information see the AIHW website www.aihw.gov.au </w:t>
            </w:r>
          </w:p>
          <w:p w:rsidR="00950E2C" w:rsidRDefault="00950E2C" w:rsidP="00B04C80">
            <w:pPr>
              <w:pStyle w:val="TableBodyText"/>
              <w:keepNext w:val="0"/>
              <w:keepLines w:val="0"/>
              <w:widowControl w:val="0"/>
              <w:jc w:val="both"/>
            </w:pPr>
            <w:r>
              <w:t xml:space="preserve">Data for the NESWTDC were supplied to the AIHW by state and territory health authorities under the terms of the National Health Information Agreement (see the following links): </w:t>
            </w:r>
          </w:p>
          <w:p w:rsidR="00950E2C" w:rsidRDefault="00950E2C" w:rsidP="00B04C80">
            <w:pPr>
              <w:pStyle w:val="TableBodyText"/>
              <w:keepNext w:val="0"/>
              <w:keepLines w:val="0"/>
              <w:widowControl w:val="0"/>
              <w:jc w:val="both"/>
            </w:pPr>
            <w:r>
              <w:t xml:space="preserve">http://www.aihw.gov.au/nhissc/ </w:t>
            </w:r>
          </w:p>
          <w:p w:rsidR="00950E2C" w:rsidRDefault="00950E2C" w:rsidP="00B04C80">
            <w:pPr>
              <w:pStyle w:val="TableBodyText"/>
              <w:keepNext w:val="0"/>
              <w:keepLines w:val="0"/>
              <w:widowControl w:val="0"/>
              <w:jc w:val="both"/>
            </w:pPr>
            <w:r>
              <w:t xml:space="preserve">http://meteor.aihw.gov.au/content/index.phtml/itemId/182135 </w:t>
            </w:r>
          </w:p>
          <w:p w:rsidR="00950E2C" w:rsidRPr="00E00AD6" w:rsidRDefault="00950E2C" w:rsidP="00B04C80">
            <w:pPr>
              <w:pStyle w:val="TableBodyText"/>
              <w:keepNext w:val="0"/>
              <w:keepLines w:val="0"/>
              <w:widowControl w:val="0"/>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lastRenderedPageBreak/>
              <w:t>Relevance</w:t>
            </w:r>
          </w:p>
        </w:tc>
        <w:tc>
          <w:tcPr>
            <w:tcW w:w="7169" w:type="dxa"/>
            <w:shd w:val="clear" w:color="auto" w:fill="auto"/>
          </w:tcPr>
          <w:p w:rsidR="00950E2C" w:rsidRPr="00D223FF" w:rsidRDefault="00950E2C" w:rsidP="00B04C80">
            <w:pPr>
              <w:pStyle w:val="TableBodyText"/>
              <w:keepNext w:val="0"/>
              <w:keepLines w:val="0"/>
              <w:widowControl w:val="0"/>
              <w:jc w:val="both"/>
            </w:pPr>
            <w:r w:rsidRPr="00D223FF">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950E2C" w:rsidRPr="00D223FF" w:rsidRDefault="00950E2C" w:rsidP="00B04C80">
            <w:pPr>
              <w:pStyle w:val="TableBodyText"/>
              <w:keepNext w:val="0"/>
              <w:keepLines w:val="0"/>
              <w:widowControl w:val="0"/>
              <w:jc w:val="both"/>
            </w:pPr>
            <w:r w:rsidRPr="00D223FF">
              <w:t>The hospital separations data do not include episodes of non-admitted patient care provided in outpatient clinics or emergency departments.</w:t>
            </w:r>
          </w:p>
          <w:p w:rsidR="00950E2C" w:rsidRPr="00D223FF" w:rsidRDefault="00950E2C" w:rsidP="00B04C80">
            <w:pPr>
              <w:pStyle w:val="TableBodyText"/>
              <w:keepNext w:val="0"/>
              <w:keepLines w:val="0"/>
              <w:widowControl w:val="0"/>
              <w:jc w:val="both"/>
            </w:pPr>
            <w:r w:rsidRPr="0048545F">
              <w:t>Separations are reported by</w:t>
            </w:r>
            <w:r w:rsidRPr="00D223FF">
              <w:t xml:space="preserve"> jurisdiction of hospitalisation, regardless of the jurisdiction of usual residence. This is relevant if significant numbers of one jurisdiction’s residents are treated in another jurisdiction.</w:t>
            </w:r>
          </w:p>
          <w:p w:rsidR="00950E2C" w:rsidRPr="00D223FF" w:rsidRDefault="00950E2C" w:rsidP="00B04C80">
            <w:pPr>
              <w:pStyle w:val="TableBodyText"/>
              <w:keepNext w:val="0"/>
              <w:keepLines w:val="0"/>
              <w:widowControl w:val="0"/>
              <w:tabs>
                <w:tab w:val="left" w:pos="434"/>
                <w:tab w:val="left" w:pos="1316"/>
              </w:tabs>
              <w:jc w:val="both"/>
            </w:pPr>
            <w:r w:rsidRPr="00D223FF">
              <w:t xml:space="preserve">Other Australians includes separations for </w:t>
            </w:r>
            <w:r>
              <w:t>non</w:t>
            </w:r>
            <w:r>
              <w:noBreakHyphen/>
              <w:t>Indigenous</w:t>
            </w:r>
            <w:r w:rsidRPr="00D223FF">
              <w:t xml:space="preserve"> people and those for whom Indigenous status was not stated.</w:t>
            </w:r>
          </w:p>
          <w:p w:rsidR="00950E2C" w:rsidRDefault="006B0096" w:rsidP="00B04C80">
            <w:pPr>
              <w:pStyle w:val="TableBodyText"/>
              <w:keepNext w:val="0"/>
              <w:keepLines w:val="0"/>
              <w:widowControl w:val="0"/>
              <w:jc w:val="both"/>
            </w:pPr>
            <w:r w:rsidRPr="006B0096">
              <w:t xml:space="preserve">Aboriginal and Torres Strait Islander </w:t>
            </w:r>
            <w:r w:rsidR="00950E2C" w:rsidRPr="00D223FF">
              <w:t xml:space="preserve">and Other Australians’ rates of hysterectomy in Tasmania and the </w:t>
            </w:r>
            <w:r w:rsidR="00950E2C">
              <w:t>ACT</w:t>
            </w:r>
            <w:r w:rsidR="00950E2C" w:rsidRPr="00D223FF">
              <w:t xml:space="preserve"> may underestimate rates of hysterectomy for women aged 15–69 years due to the age-standardi</w:t>
            </w:r>
            <w:r w:rsidR="00950E2C">
              <w:t>sation method used (see above).</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950E2C" w:rsidRPr="00E00AD6" w:rsidRDefault="00950E2C" w:rsidP="008B5323">
            <w:pPr>
              <w:pStyle w:val="TableBodyText"/>
              <w:keepNext w:val="0"/>
              <w:keepLines w:val="0"/>
              <w:widowControl w:val="0"/>
              <w:jc w:val="both"/>
            </w:pPr>
            <w:r w:rsidRPr="00D223FF">
              <w:t>The reference period for these data is 20</w:t>
            </w:r>
            <w:r>
              <w:t>1</w:t>
            </w:r>
            <w:r w:rsidR="008B5323">
              <w:t>2</w:t>
            </w:r>
            <w:r w:rsidRPr="00D223FF">
              <w:t>–1</w:t>
            </w:r>
            <w:r w:rsidR="008B5323">
              <w:t>3</w:t>
            </w:r>
            <w:r w:rsidRPr="00D223FF">
              <w:t>.</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D223FF" w:rsidRDefault="00950E2C" w:rsidP="00B04C80">
            <w:pPr>
              <w:pStyle w:val="TableBodyText"/>
              <w:keepNext w:val="0"/>
              <w:keepLines w:val="0"/>
              <w:widowControl w:val="0"/>
              <w:jc w:val="both"/>
            </w:pPr>
            <w:r w:rsidRPr="00D223FF">
              <w:t>For 20</w:t>
            </w:r>
            <w:r>
              <w:t>1</w:t>
            </w:r>
            <w:r w:rsidR="008B5323">
              <w:t>2</w:t>
            </w:r>
            <w:r w:rsidRPr="00D223FF">
              <w:t>–1</w:t>
            </w:r>
            <w:r w:rsidR="008B5323">
              <w:t>3</w:t>
            </w:r>
            <w:r w:rsidRPr="00D223FF">
              <w:t xml:space="preserve"> almost all public hospitals provided data for the NHMD, with the exception of all separations for a mothercraft hospital in the </w:t>
            </w:r>
            <w:r>
              <w:t>ACT</w:t>
            </w:r>
            <w:r w:rsidRPr="00D223FF">
              <w:t xml:space="preserve">. </w:t>
            </w:r>
          </w:p>
          <w:p w:rsidR="00950E2C" w:rsidRPr="00D223FF" w:rsidRDefault="00950E2C" w:rsidP="00B04C80">
            <w:pPr>
              <w:pStyle w:val="TableBodyText"/>
              <w:keepNext w:val="0"/>
              <w:keepLines w:val="0"/>
              <w:widowControl w:val="0"/>
              <w:jc w:val="both"/>
            </w:pPr>
            <w:r w:rsidRPr="00D223FF">
              <w:t xml:space="preserve">The majority of private hospitals provided data, with the exception of the private </w:t>
            </w:r>
            <w:r>
              <w:t>free-standing day hospitals in the ACT and the NT</w:t>
            </w:r>
            <w:r w:rsidRPr="00D223FF">
              <w:t>.</w:t>
            </w:r>
          </w:p>
          <w:p w:rsidR="00950E2C" w:rsidRPr="00D223FF" w:rsidRDefault="00950E2C" w:rsidP="00B04C80">
            <w:pPr>
              <w:pStyle w:val="TableBodyText"/>
              <w:keepNext w:val="0"/>
              <w:keepLines w:val="0"/>
              <w:widowControl w:val="0"/>
              <w:jc w:val="both"/>
            </w:pPr>
            <w:r w:rsidRPr="00D223FF">
              <w:rPr>
                <w:rFonts w:cs="Arial"/>
              </w:rPr>
              <w:t xml:space="preserve">Coronary artery bypass graft and coronary angioplasty are not performed in </w:t>
            </w:r>
            <w:r>
              <w:rPr>
                <w:rFonts w:cs="Arial"/>
              </w:rPr>
              <w:t>NT</w:t>
            </w:r>
            <w:r w:rsidRPr="00D223FF">
              <w:rPr>
                <w:rFonts w:cs="Arial"/>
              </w:rPr>
              <w:t xml:space="preserve"> hospitals. Residents of the </w:t>
            </w:r>
            <w:r>
              <w:rPr>
                <w:rFonts w:cs="Arial"/>
              </w:rPr>
              <w:t>NT</w:t>
            </w:r>
            <w:r w:rsidRPr="00D223FF">
              <w:rPr>
                <w:rFonts w:cs="Arial"/>
              </w:rPr>
              <w:t xml:space="preserve"> requiring these procedures receive treatment interstate</w:t>
            </w:r>
            <w:r w:rsidRPr="00D223FF">
              <w:t>.</w:t>
            </w:r>
          </w:p>
          <w:p w:rsidR="00950E2C" w:rsidRPr="00D223FF" w:rsidRDefault="00950E2C" w:rsidP="00B04C80">
            <w:pPr>
              <w:pStyle w:val="TableBodyText"/>
              <w:keepNext w:val="0"/>
              <w:keepLines w:val="0"/>
              <w:widowControl w:val="0"/>
              <w:jc w:val="both"/>
            </w:pPr>
            <w:r w:rsidRPr="00D223FF">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950E2C" w:rsidRPr="00D223FF" w:rsidRDefault="00950E2C" w:rsidP="00B04C80">
            <w:pPr>
              <w:pStyle w:val="TableBodyText"/>
              <w:keepNext w:val="0"/>
              <w:keepLines w:val="0"/>
              <w:widowControl w:val="0"/>
              <w:jc w:val="both"/>
            </w:pPr>
            <w:r w:rsidRPr="00D223FF">
              <w:t xml:space="preserve">Data on procedures are recorded uniformly using the Australian Classification of Health Interventions. </w:t>
            </w:r>
          </w:p>
          <w:p w:rsidR="00950E2C" w:rsidRPr="00D223FF" w:rsidRDefault="00950E2C" w:rsidP="00B04C80">
            <w:pPr>
              <w:pStyle w:val="TableBodyText"/>
              <w:keepNext w:val="0"/>
              <w:keepLines w:val="0"/>
              <w:widowControl w:val="0"/>
              <w:jc w:val="both"/>
            </w:pPr>
            <w:r w:rsidRPr="00D223FF">
              <w:t>Variations in admission practices and policies lead to variation among providers in the number of admissions for some conditions.</w:t>
            </w:r>
          </w:p>
          <w:p w:rsidR="00950E2C" w:rsidRPr="00D223FF" w:rsidRDefault="00950E2C" w:rsidP="00B04C80">
            <w:pPr>
              <w:pStyle w:val="TableBodyText"/>
              <w:keepNext w:val="0"/>
              <w:keepLines w:val="0"/>
              <w:widowControl w:val="0"/>
              <w:jc w:val="both"/>
            </w:pPr>
            <w:r w:rsidRPr="00D223FF">
              <w:t>Cells have been suppressed to protect confidentiality where the presentation could identify a patient or a service provider or where rates are likely to be highly volatile, for example, where the denominator is very small. The following rules were applied:</w:t>
            </w:r>
          </w:p>
          <w:p w:rsidR="00950E2C" w:rsidRPr="00D223FF" w:rsidRDefault="00950E2C" w:rsidP="00C947FF">
            <w:pPr>
              <w:pStyle w:val="TableBullet"/>
            </w:pPr>
            <w:r w:rsidRPr="00D223FF">
              <w:t xml:space="preserve">Rates were suppressed where the numerator was less than 5 and/or the denominator was less than </w:t>
            </w:r>
            <w:r>
              <w:t xml:space="preserve">1000. </w:t>
            </w:r>
          </w:p>
          <w:p w:rsidR="00950E2C" w:rsidRPr="00D223FF" w:rsidRDefault="00950E2C" w:rsidP="00C947FF">
            <w:pPr>
              <w:pStyle w:val="TableBullet"/>
            </w:pPr>
            <w:r w:rsidRPr="00D223FF">
              <w:t xml:space="preserve">Data for private hospitals in Tasmania, </w:t>
            </w:r>
            <w:r>
              <w:t>the ACT</w:t>
            </w:r>
            <w:r w:rsidRPr="00D223FF">
              <w:t xml:space="preserve"> and the </w:t>
            </w:r>
            <w:r>
              <w:t>NT</w:t>
            </w:r>
            <w:r w:rsidRPr="00D223FF">
              <w:t xml:space="preserve"> were suppressed. </w:t>
            </w:r>
          </w:p>
          <w:p w:rsidR="00950E2C" w:rsidRPr="00E00AD6" w:rsidRDefault="00950E2C" w:rsidP="00C947FF">
            <w:pPr>
              <w:pStyle w:val="TableBullet"/>
            </w:pPr>
            <w:r w:rsidRPr="00D223FF">
              <w:t>Rates which appear misleading (for example, because of cross border flows) were also suppressed.</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950E2C" w:rsidRPr="00D223FF" w:rsidRDefault="00950E2C" w:rsidP="00B04C80">
            <w:pPr>
              <w:pStyle w:val="TableBodyText"/>
              <w:keepNext w:val="0"/>
              <w:keepLines w:val="0"/>
              <w:widowControl w:val="0"/>
              <w:jc w:val="both"/>
            </w:pPr>
            <w:r w:rsidRPr="00D223FF">
              <w:t xml:space="preserve">The information presented for this indicator is calculated using the same methodology </w:t>
            </w:r>
            <w:r w:rsidRPr="00D223FF">
              <w:lastRenderedPageBreak/>
              <w:t xml:space="preserve">as data published in </w:t>
            </w:r>
            <w:r w:rsidRPr="00D223FF">
              <w:rPr>
                <w:i/>
              </w:rPr>
              <w:t>Australian hospital statistics 20</w:t>
            </w:r>
            <w:r>
              <w:rPr>
                <w:i/>
              </w:rPr>
              <w:t>1</w:t>
            </w:r>
            <w:r w:rsidR="008B5323">
              <w:rPr>
                <w:i/>
              </w:rPr>
              <w:t>2</w:t>
            </w:r>
            <w:r w:rsidRPr="00D223FF">
              <w:rPr>
                <w:i/>
              </w:rPr>
              <w:t>–1</w:t>
            </w:r>
            <w:r w:rsidR="008B5323">
              <w:rPr>
                <w:i/>
              </w:rPr>
              <w:t>3</w:t>
            </w:r>
            <w:r w:rsidRPr="00D223FF">
              <w:t>.</w:t>
            </w:r>
          </w:p>
          <w:p w:rsidR="00950E2C" w:rsidRDefault="00950E2C" w:rsidP="00B04C80">
            <w:pPr>
              <w:pStyle w:val="TableBodyText"/>
              <w:keepNext w:val="0"/>
              <w:keepLines w:val="0"/>
              <w:widowControl w:val="0"/>
              <w:jc w:val="both"/>
            </w:pPr>
            <w:r w:rsidRPr="00D223FF">
              <w:t>The data can be meaningfully compared across reference periods for all jurisdictions except Tasmania. 2008–09 data for Tasmania does not include two private hospitals that were included in 2007–08 and 2009–10 data reported in National Healthcare Agreement performance reports.</w:t>
            </w:r>
            <w:r>
              <w:t xml:space="preserve"> In 2009-10, </w:t>
            </w:r>
            <w:r w:rsidRPr="00442E2E">
              <w:t>WA was missing 2400 separations for one public hospital and was not able to provide about 10 600 separations for one private hospital</w:t>
            </w:r>
            <w:r>
              <w:t>.</w:t>
            </w:r>
          </w:p>
          <w:p w:rsidR="008B5323" w:rsidRPr="00FE2943" w:rsidRDefault="008B5323" w:rsidP="008B5323">
            <w:pPr>
              <w:pStyle w:val="TableBodyText"/>
              <w:keepNext w:val="0"/>
              <w:keepLines w:val="0"/>
              <w:widowControl w:val="0"/>
              <w:jc w:val="both"/>
            </w:pPr>
            <w:r w:rsidRPr="00FE2943">
              <w:t>Caution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8B5323" w:rsidRPr="00FE2943" w:rsidRDefault="008B5323" w:rsidP="008B5323">
            <w:pPr>
              <w:pStyle w:val="TableBodyText"/>
              <w:keepNext w:val="0"/>
              <w:keepLines w:val="0"/>
              <w:widowControl w:val="0"/>
              <w:jc w:val="both"/>
            </w:pPr>
            <w:r w:rsidRPr="00FE2943">
              <w:t xml:space="preserve">National level data disaggregated by Indigenous status for 2007–08 included data from NSW, Queensland, WA, SA and NT. National level data disaggregated by Indigenous status for 2008–09, 2009–10 and 2010–11 included data from NSW, Victoria, Queensland,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8B5323" w:rsidRPr="00E00AD6" w:rsidRDefault="008B5323" w:rsidP="008B5323">
            <w:pPr>
              <w:pStyle w:val="TableBodyText"/>
              <w:keepNext w:val="0"/>
              <w:keepLines w:val="0"/>
              <w:widowControl w:val="0"/>
              <w:jc w:val="both"/>
            </w:pPr>
            <w:r w:rsidRPr="00FE2943">
              <w:t>In 2011, the ABS updated the Socio-Economic Indices for Areas (SEIFA), based on the 2011 ABS Census of Population and Housing.  The new SEIFA will be referred to as SEIFA 2011, and the previous SEIFA as SEIFA 2006.  Data for 2007-08 through to 2010-11 reported for SEIFA quintiles are reported using SEIFA 2006 at the Statistical Local Area (SLA) level.  Data for 2011-12 are reported using SEIFA 2011 at the SLA level.  The AIHW consider the change from SEIFA 2006 to SEIFA 2011 to be a series break when applied to data supplied for this indicator, therefore SEIFA data for 2011-12 are not directly comparable with SEIFA data from previous reporting cycles.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lastRenderedPageBreak/>
              <w:t>Accessibility</w:t>
            </w:r>
          </w:p>
        </w:tc>
        <w:tc>
          <w:tcPr>
            <w:tcW w:w="7169" w:type="dxa"/>
          </w:tcPr>
          <w:p w:rsidR="00950E2C" w:rsidRPr="00D223FF" w:rsidRDefault="00950E2C" w:rsidP="00F227D6">
            <w:pPr>
              <w:pStyle w:val="TableBodyText"/>
              <w:keepNext w:val="0"/>
              <w:keepLines w:val="0"/>
              <w:widowControl w:val="0"/>
              <w:jc w:val="both"/>
            </w:pPr>
            <w:r w:rsidRPr="00D223FF">
              <w:t>The AIHW provides a variety of products that draw upon the NHMD. Published products available on the AIHW website are:</w:t>
            </w:r>
          </w:p>
          <w:p w:rsidR="00950E2C" w:rsidRPr="00D223FF" w:rsidRDefault="00950E2C" w:rsidP="00F227D6">
            <w:pPr>
              <w:pStyle w:val="TableBullet"/>
              <w:jc w:val="both"/>
            </w:pPr>
            <w:r w:rsidRPr="004B7850">
              <w:rPr>
                <w:i/>
              </w:rPr>
              <w:t>Australian hospital statistics</w:t>
            </w:r>
            <w:r w:rsidRPr="00D223FF">
              <w:t xml:space="preserve"> with associated Excel tables </w:t>
            </w:r>
          </w:p>
          <w:p w:rsidR="00950E2C" w:rsidRPr="00D223FF" w:rsidRDefault="00950E2C" w:rsidP="00F227D6">
            <w:pPr>
              <w:pStyle w:val="TableBullet"/>
              <w:jc w:val="both"/>
            </w:pPr>
            <w:r w:rsidRPr="00D223FF">
              <w:t>interactive data cubes for Admitted patient care (for Principal diagnoses, Procedures and Diagnosis Related Groups).</w:t>
            </w:r>
          </w:p>
          <w:p w:rsidR="00950E2C" w:rsidRPr="00184B37" w:rsidRDefault="00950E2C" w:rsidP="00F227D6">
            <w:pPr>
              <w:pStyle w:val="TableBullet"/>
              <w:jc w:val="both"/>
              <w:rPr>
                <w:color w:val="000000"/>
              </w:rPr>
            </w:pPr>
            <w:r w:rsidRPr="00D223FF">
              <w:t>Data are also included on the MyHospitals website.</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950E2C" w:rsidRPr="00E00AD6" w:rsidRDefault="00950E2C" w:rsidP="00B04C80">
            <w:pPr>
              <w:pStyle w:val="TableBodyText"/>
              <w:keepNext w:val="0"/>
              <w:keepLines w:val="0"/>
              <w:widowControl w:val="0"/>
              <w:jc w:val="both"/>
            </w:pPr>
            <w:r w:rsidRPr="00D223FF">
              <w:t xml:space="preserve">Supporting information on the quality and use of the NHMD are published annually in </w:t>
            </w:r>
            <w:r w:rsidRPr="00D223FF">
              <w:rPr>
                <w:i/>
              </w:rPr>
              <w:t>Australian hospital statistics</w:t>
            </w:r>
            <w:r w:rsidRPr="00D223FF">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t xml:space="preserve">Aboriginal and Torres Strait Islander </w:t>
            </w:r>
            <w:r w:rsidRPr="00D223FF">
              <w:t>data, and changes in service delivery that might affect interpretation of the published data. Metadata information for the NMDS for Admitted patient care is published in the AIHW’s online metadata repository</w:t>
            </w:r>
            <w:r w:rsidRPr="00D223FF">
              <w:rPr>
                <w:i/>
              </w:rPr>
              <w:t xml:space="preserve"> </w:t>
            </w:r>
            <w:r w:rsidRPr="00D223FF">
              <w:t xml:space="preserve">METeOR and the </w:t>
            </w:r>
            <w:r w:rsidRPr="00D223FF">
              <w:rPr>
                <w:i/>
              </w:rPr>
              <w:t>National health data dictionary</w:t>
            </w:r>
            <w:r w:rsidRPr="00D223FF">
              <w:t>.</w:t>
            </w:r>
          </w:p>
        </w:tc>
      </w:tr>
      <w:tr w:rsidR="00950E2C" w:rsidRPr="003846CE" w:rsidTr="009F4002">
        <w:tc>
          <w:tcPr>
            <w:tcW w:w="8789" w:type="dxa"/>
            <w:gridSpan w:val="2"/>
            <w:vAlign w:val="bottom"/>
          </w:tcPr>
          <w:p w:rsidR="00950E2C" w:rsidRDefault="00950E2C" w:rsidP="00B04C80">
            <w:pPr>
              <w:widowControl w:val="0"/>
              <w:spacing w:after="40" w:line="200" w:lineRule="atLeast"/>
              <w:ind w:left="6" w:right="113"/>
              <w:jc w:val="both"/>
              <w:rPr>
                <w:rFonts w:ascii="Arial" w:hAnsi="Arial"/>
                <w:b/>
                <w:color w:val="000000"/>
                <w:sz w:val="18"/>
                <w:szCs w:val="20"/>
              </w:rPr>
            </w:pPr>
          </w:p>
          <w:p w:rsidR="00950E2C" w:rsidRPr="003846CE" w:rsidRDefault="00950E2C" w:rsidP="00B04C80">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950E2C" w:rsidRPr="003846CE" w:rsidTr="009F4002">
        <w:tc>
          <w:tcPr>
            <w:tcW w:w="1620" w:type="dxa"/>
          </w:tcPr>
          <w:p w:rsidR="00950E2C" w:rsidRPr="003846CE" w:rsidRDefault="00950E2C" w:rsidP="00B04C80">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950E2C" w:rsidRDefault="00950E2C" w:rsidP="00B04C80">
            <w:pPr>
              <w:pStyle w:val="TableBodyText"/>
              <w:keepNext w:val="0"/>
              <w:keepLines w:val="0"/>
              <w:widowControl w:val="0"/>
              <w:jc w:val="both"/>
            </w:pPr>
            <w:r w:rsidRPr="00E00AD6">
              <w:t>The Steering Committee notes the following key data gaps/issues:</w:t>
            </w:r>
          </w:p>
          <w:p w:rsidR="00950E2C" w:rsidRDefault="00950E2C" w:rsidP="00B04C80">
            <w:pPr>
              <w:pStyle w:val="TableBodyText"/>
              <w:keepNext w:val="0"/>
              <w:keepLines w:val="0"/>
              <w:widowControl w:val="0"/>
              <w:jc w:val="both"/>
            </w:pPr>
            <w:r>
              <w:t xml:space="preserve">Higher/lower rates are not necessarily associated with inappropriate care. However, large jurisdictional variations in rates for particular procedures can require investigation to determine whether service levels are appropriate. </w:t>
            </w:r>
          </w:p>
          <w:p w:rsidR="00950E2C" w:rsidRPr="00E00AD6" w:rsidRDefault="00950E2C" w:rsidP="00B04C80">
            <w:pPr>
              <w:pStyle w:val="TableBodyText"/>
              <w:keepNext w:val="0"/>
              <w:keepLines w:val="0"/>
              <w:widowControl w:val="0"/>
              <w:jc w:val="both"/>
            </w:pPr>
            <w:r>
              <w:t xml:space="preserve">Care needs to be taken when interpreting the differences in the separation rates for the selected procedures. Variations in rates can be attributable to variations in the prevalence of the conditions being treated, or to differences in clinical practice across </w:t>
            </w:r>
            <w:r w:rsidRPr="00670698">
              <w:t>states and territories</w:t>
            </w:r>
            <w:r>
              <w:t>. Higher rates can be acceptable for certain conditions and not for others. Higher rates of angioplasties, for example, can represent appropriate levels of care, whereas higher rates of hysterectomies or tonsillectomies can represent an over-reliance on procedures. Some of the selected procedures, such as angioplasty and coronary artery bypass graft, are alternative treatment options for people diagnosed with similar conditions.</w:t>
            </w:r>
          </w:p>
        </w:tc>
      </w:tr>
    </w:tbl>
    <w:p w:rsidR="0090363E" w:rsidRDefault="0090363E" w:rsidP="0090363E">
      <w:pPr>
        <w:pStyle w:val="Heading3"/>
      </w:pPr>
      <w:bookmarkStart w:id="6" w:name="_Toc401912924"/>
      <w:r>
        <w:lastRenderedPageBreak/>
        <w:t>Unplanned hospital readmission rates</w:t>
      </w:r>
      <w:bookmarkEnd w:id="6"/>
    </w:p>
    <w:p w:rsidR="0090363E" w:rsidRDefault="00253741" w:rsidP="0090363E">
      <w:pPr>
        <w:pStyle w:val="BodyText"/>
      </w:pPr>
      <w:r w:rsidRPr="00253741">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7D0D79" w:rsidRPr="00221402" w:rsidRDefault="007D0D79" w:rsidP="00DB1A3A">
            <w:pPr>
              <w:widowControl w:val="0"/>
              <w:spacing w:after="40" w:line="200" w:lineRule="atLeast"/>
              <w:ind w:left="6" w:right="113"/>
              <w:jc w:val="both"/>
              <w:rPr>
                <w:rFonts w:asciiTheme="minorHAnsi" w:hAnsiTheme="minorHAnsi" w:cstheme="minorHAnsi"/>
                <w:b/>
                <w:sz w:val="18"/>
                <w:szCs w:val="18"/>
              </w:rPr>
            </w:pPr>
          </w:p>
          <w:p w:rsidR="007D0D79" w:rsidRPr="00221402" w:rsidRDefault="007D0D79" w:rsidP="00DB1A3A">
            <w:pPr>
              <w:widowControl w:val="0"/>
              <w:spacing w:after="40" w:line="200" w:lineRule="atLeast"/>
              <w:ind w:left="6" w:right="113"/>
              <w:jc w:val="both"/>
              <w:rPr>
                <w:rFonts w:asciiTheme="minorHAnsi" w:hAnsiTheme="minorHAnsi" w:cstheme="minorHAnsi"/>
                <w:b/>
                <w:sz w:val="18"/>
                <w:szCs w:val="18"/>
                <w:u w:val="single"/>
              </w:rPr>
            </w:pPr>
            <w:r w:rsidRPr="00221402">
              <w:rPr>
                <w:rFonts w:asciiTheme="minorHAnsi" w:hAnsiTheme="minorHAnsi" w:cstheme="minorHAnsi"/>
                <w:b/>
                <w:sz w:val="18"/>
                <w:szCs w:val="18"/>
                <w:u w:val="single"/>
              </w:rPr>
              <w:t>Indicator definition and description</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Element</w:t>
            </w:r>
          </w:p>
        </w:tc>
        <w:tc>
          <w:tcPr>
            <w:tcW w:w="7169" w:type="dxa"/>
          </w:tcPr>
          <w:p w:rsidR="00950E2C" w:rsidRPr="00221402" w:rsidRDefault="00950E2C" w:rsidP="00DB1A3A">
            <w:pPr>
              <w:pStyle w:val="TableBodyText"/>
              <w:jc w:val="both"/>
              <w:rPr>
                <w:rFonts w:asciiTheme="minorHAnsi" w:hAnsiTheme="minorHAnsi" w:cstheme="minorHAnsi"/>
                <w:szCs w:val="18"/>
              </w:rPr>
            </w:pPr>
            <w:r w:rsidRPr="00221402">
              <w:rPr>
                <w:rFonts w:asciiTheme="minorHAnsi" w:hAnsiTheme="minorHAnsi" w:cstheme="minorHAnsi"/>
                <w:szCs w:val="18"/>
              </w:rPr>
              <w:t xml:space="preserve">Effectiveness — quality/safety </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Indicator</w:t>
            </w:r>
          </w:p>
        </w:tc>
        <w:tc>
          <w:tcPr>
            <w:tcW w:w="7169" w:type="dxa"/>
          </w:tcPr>
          <w:p w:rsidR="00DD4939" w:rsidRPr="00221402" w:rsidRDefault="00DD4939" w:rsidP="008B71EE">
            <w:pPr>
              <w:pStyle w:val="TableBodyText"/>
              <w:jc w:val="both"/>
              <w:rPr>
                <w:rFonts w:asciiTheme="minorHAnsi" w:hAnsiTheme="minorHAnsi" w:cstheme="minorHAnsi"/>
                <w:szCs w:val="18"/>
              </w:rPr>
            </w:pPr>
            <w:r w:rsidRPr="00221402">
              <w:rPr>
                <w:rFonts w:asciiTheme="minorHAnsi" w:hAnsiTheme="minorHAnsi" w:cstheme="minorHAnsi"/>
                <w:szCs w:val="18"/>
              </w:rPr>
              <w:t>Unplanned/unexpected readmissions within 28 days of selected surgical admissions.</w:t>
            </w:r>
          </w:p>
          <w:p w:rsidR="00950E2C" w:rsidRPr="00221402" w:rsidRDefault="00DD4939"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 xml:space="preserve">For the 2013 report, the National Health Information Standards and Statistics Committee (NHISSC), on behalf of Australian Health Ministers’ Conference, amended the title of this indicator in the NHISSC specifications to: </w:t>
            </w:r>
            <w:r w:rsidRPr="00221402">
              <w:rPr>
                <w:rFonts w:asciiTheme="minorHAnsi" w:hAnsiTheme="minorHAnsi" w:cstheme="minorHAnsi"/>
                <w:i/>
                <w:szCs w:val="18"/>
              </w:rPr>
              <w:t xml:space="preserve">Unplanned hospital readmission rates </w:t>
            </w:r>
            <w:r w:rsidRPr="00221402">
              <w:rPr>
                <w:rFonts w:asciiTheme="minorHAnsi" w:hAnsiTheme="minorHAnsi" w:cstheme="minorHAnsi"/>
                <w:szCs w:val="18"/>
              </w:rPr>
              <w:t>to better reflect how the indicator is calculated.</w:t>
            </w:r>
            <w:r w:rsidRPr="00221402">
              <w:rPr>
                <w:rFonts w:asciiTheme="minorHAnsi" w:hAnsiTheme="minorHAnsi" w:cstheme="minorHAnsi"/>
                <w:i/>
                <w:szCs w:val="18"/>
              </w:rPr>
              <w:t xml:space="preserve"> </w:t>
            </w:r>
            <w:r w:rsidRPr="00221402">
              <w:rPr>
                <w:rFonts w:asciiTheme="minorHAnsi" w:hAnsiTheme="minorHAnsi" w:cstheme="minorHAnsi"/>
                <w:szCs w:val="18"/>
              </w:rPr>
              <w:t>Readmissions for this indicator are defined within 28 days from the end of the patient’s surgical episode of care.</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Measure</w:t>
            </w:r>
          </w:p>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(computation</w:t>
            </w:r>
          </w:p>
        </w:tc>
        <w:tc>
          <w:tcPr>
            <w:tcW w:w="7169" w:type="dxa"/>
          </w:tcPr>
          <w:p w:rsidR="00DD4939" w:rsidRPr="00221402" w:rsidRDefault="00DD4939" w:rsidP="00DB1A3A">
            <w:pPr>
              <w:pStyle w:val="TableBodyText"/>
              <w:jc w:val="both"/>
              <w:rPr>
                <w:rFonts w:asciiTheme="minorHAnsi" w:hAnsiTheme="minorHAnsi" w:cstheme="minorHAnsi"/>
                <w:szCs w:val="18"/>
              </w:rPr>
            </w:pPr>
            <w:r w:rsidRPr="00221402">
              <w:rPr>
                <w:rFonts w:asciiTheme="minorHAnsi" w:hAnsiTheme="minorHAnsi" w:cstheme="minorHAnsi"/>
                <w:i/>
                <w:szCs w:val="18"/>
              </w:rPr>
              <w:t>Numerator</w:t>
            </w:r>
            <w:r w:rsidRPr="00221402">
              <w:rPr>
                <w:rFonts w:asciiTheme="minorHAnsi" w:hAnsiTheme="minorHAnsi" w:cstheme="minorHAnsi"/>
                <w:szCs w:val="18"/>
              </w:rPr>
              <w:t>: the number of separations for public hospitals which meet all of the following criteria:</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the separation is a readmission to the same hospital following a separation in which one of the following procedures was performed: knee replacement; hip replacement; tonsillectomy and adenoidectomy; hysterectomy; prostatectomy; cataract surgery; appendicectomy</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the readmission occurs within 28 days of the previous date of separation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the principal diagnosis for the readmission is a post-operative complication.</w:t>
            </w:r>
          </w:p>
          <w:p w:rsidR="00DD4939" w:rsidRPr="00221402" w:rsidRDefault="00DD4939" w:rsidP="00DB1A3A">
            <w:pPr>
              <w:pStyle w:val="TableBodyText"/>
              <w:jc w:val="both"/>
              <w:rPr>
                <w:rFonts w:asciiTheme="minorHAnsi" w:hAnsiTheme="minorHAnsi" w:cstheme="minorHAnsi"/>
                <w:szCs w:val="18"/>
              </w:rPr>
            </w:pPr>
            <w:r w:rsidRPr="00221402">
              <w:rPr>
                <w:rFonts w:asciiTheme="minorHAnsi" w:hAnsiTheme="minorHAnsi" w:cstheme="minorHAnsi"/>
                <w:i/>
                <w:szCs w:val="18"/>
              </w:rPr>
              <w:t>Denominator</w:t>
            </w:r>
            <w:r w:rsidRPr="00221402">
              <w:rPr>
                <w:rFonts w:asciiTheme="minorHAnsi" w:hAnsiTheme="minorHAnsi" w:cstheme="minorHAnsi"/>
                <w:szCs w:val="18"/>
              </w:rPr>
              <w:t xml:space="preserve">: the number of separations in which one of the following surgical procedures was undertaken: knee replacement; hip replacement; tonsillectomy and adenoidectomy; hysterectomy; prostatectomy; cataract surgery; appendicectomy. </w:t>
            </w:r>
          </w:p>
          <w:p w:rsidR="00950E2C" w:rsidRPr="00221402" w:rsidRDefault="00DD4939"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The denominator is limited to separations with a separation date between 1 July and 19 May in the reference year.</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Data source/s</w:t>
            </w:r>
          </w:p>
        </w:tc>
        <w:tc>
          <w:tcPr>
            <w:tcW w:w="7169" w:type="dxa"/>
          </w:tcPr>
          <w:p w:rsidR="00DD4939" w:rsidRPr="00221402" w:rsidRDefault="00DD4939" w:rsidP="00DB1A3A">
            <w:pPr>
              <w:pStyle w:val="TableBodyText"/>
              <w:jc w:val="both"/>
              <w:rPr>
                <w:rFonts w:asciiTheme="minorHAnsi" w:hAnsiTheme="minorHAnsi" w:cstheme="minorHAnsi"/>
                <w:szCs w:val="18"/>
              </w:rPr>
            </w:pPr>
            <w:r w:rsidRPr="00221402">
              <w:rPr>
                <w:rFonts w:asciiTheme="minorHAnsi" w:hAnsiTheme="minorHAnsi" w:cstheme="minorHAnsi"/>
                <w:szCs w:val="18"/>
              </w:rPr>
              <w:t xml:space="preserve">For all jurisdictions except </w:t>
            </w:r>
            <w:r w:rsidR="00E8429E">
              <w:rPr>
                <w:rFonts w:asciiTheme="minorHAnsi" w:hAnsiTheme="minorHAnsi" w:cstheme="minorHAnsi"/>
                <w:szCs w:val="18"/>
              </w:rPr>
              <w:t>WA</w:t>
            </w:r>
            <w:r w:rsidRPr="00221402">
              <w:rPr>
                <w:rFonts w:asciiTheme="minorHAnsi" w:hAnsiTheme="minorHAnsi" w:cstheme="minorHAnsi"/>
                <w:szCs w:val="18"/>
              </w:rPr>
              <w:t>, this indicator is calculated by the Australian Institute of Health and Welfare (AIHW) using data from the NHMD, based on the Admitted patient care national minimum data set (NMDS).</w:t>
            </w:r>
          </w:p>
          <w:p w:rsidR="00DD4939" w:rsidRPr="00221402" w:rsidRDefault="00DD4939" w:rsidP="00DB1A3A">
            <w:pPr>
              <w:pStyle w:val="TableBodyText"/>
              <w:jc w:val="both"/>
              <w:rPr>
                <w:rFonts w:asciiTheme="minorHAnsi" w:hAnsiTheme="minorHAnsi" w:cstheme="minorHAnsi"/>
                <w:szCs w:val="18"/>
              </w:rPr>
            </w:pPr>
            <w:r w:rsidRPr="00221402">
              <w:rPr>
                <w:rFonts w:asciiTheme="minorHAnsi" w:hAnsiTheme="minorHAnsi" w:cstheme="minorHAnsi"/>
                <w:szCs w:val="18"/>
              </w:rPr>
              <w:t xml:space="preserve">For </w:t>
            </w:r>
            <w:r w:rsidR="00E8429E">
              <w:rPr>
                <w:rFonts w:asciiTheme="minorHAnsi" w:hAnsiTheme="minorHAnsi" w:cstheme="minorHAnsi"/>
                <w:szCs w:val="18"/>
              </w:rPr>
              <w:t>WA</w:t>
            </w:r>
            <w:r w:rsidRPr="00221402">
              <w:rPr>
                <w:rFonts w:asciiTheme="minorHAnsi" w:hAnsiTheme="minorHAnsi" w:cstheme="minorHAnsi"/>
                <w:szCs w:val="18"/>
              </w:rPr>
              <w:t>, the indicator was calculated and supplied by WA Health and was not independently verified by the AIHW.</w:t>
            </w:r>
          </w:p>
          <w:p w:rsidR="00DD4939" w:rsidRPr="00221402" w:rsidRDefault="00DD4939" w:rsidP="00DB1A3A">
            <w:pPr>
              <w:pStyle w:val="TableBodyText"/>
              <w:jc w:val="both"/>
              <w:rPr>
                <w:rFonts w:asciiTheme="minorHAnsi" w:hAnsiTheme="minorHAnsi" w:cstheme="minorHAnsi"/>
                <w:szCs w:val="18"/>
              </w:rPr>
            </w:pPr>
            <w:r w:rsidRPr="00221402">
              <w:rPr>
                <w:rFonts w:asciiTheme="minorHAnsi" w:hAnsiTheme="minorHAnsi" w:cstheme="minorHAnsi"/>
                <w:szCs w:val="18"/>
                <w:u w:val="single"/>
              </w:rPr>
              <w:t>For data by socioeconomic status</w:t>
            </w:r>
            <w:r w:rsidRPr="00221402">
              <w:rPr>
                <w:rFonts w:asciiTheme="minorHAnsi" w:hAnsiTheme="minorHAnsi" w:cstheme="minorHAnsi"/>
                <w:szCs w:val="18"/>
              </w:rPr>
              <w:t>: calculated by AIHW using the Australian Bureau of Statistics (ABS) Socio-Economic Indexes For Areas (SEIFA), Index of Relative Socio-Economic Disadvantage (IRSD) 2011 and Estimated Resident Population (ERP) by Statistical Area level 2 (SA2) as at 30 June 2012. Each SA2 in Australia is ranked and divided into quintiles and deciles in a population-based manner, such that each quintile has approximately 20 per cent of the population and each decile has approximately 10 per cent of the population.</w:t>
            </w:r>
          </w:p>
          <w:p w:rsidR="00950E2C" w:rsidRPr="00221402" w:rsidRDefault="00DD4939" w:rsidP="00DB1A3A">
            <w:pPr>
              <w:pStyle w:val="TableBodyText"/>
              <w:jc w:val="both"/>
              <w:rPr>
                <w:rFonts w:asciiTheme="minorHAnsi" w:hAnsiTheme="minorHAnsi" w:cstheme="minorHAnsi"/>
                <w:szCs w:val="18"/>
              </w:rPr>
            </w:pPr>
            <w:r w:rsidRPr="00221402">
              <w:rPr>
                <w:rFonts w:asciiTheme="minorHAnsi" w:hAnsiTheme="minorHAnsi" w:cstheme="minorHAnsi"/>
                <w:szCs w:val="18"/>
                <w:u w:val="single"/>
              </w:rPr>
              <w:t>For data by remoteness</w:t>
            </w:r>
            <w:r w:rsidRPr="00221402">
              <w:rPr>
                <w:rFonts w:asciiTheme="minorHAnsi" w:hAnsiTheme="minorHAnsi" w:cstheme="minorHAnsi"/>
                <w:szCs w:val="18"/>
              </w:rPr>
              <w:t>: each separation is allocated an ABS remoteness area, as specified in the Australian Standard Geographical Classification, based on the SA2 of usual residence of the patient.</w:t>
            </w:r>
          </w:p>
        </w:tc>
      </w:tr>
      <w:tr w:rsidR="003A7941" w:rsidRPr="003A7941" w:rsidTr="009F4002">
        <w:tc>
          <w:tcPr>
            <w:tcW w:w="8789" w:type="dxa"/>
            <w:gridSpan w:val="2"/>
            <w:vAlign w:val="bottom"/>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221402">
              <w:rPr>
                <w:rFonts w:asciiTheme="minorHAnsi" w:hAnsiTheme="minorHAnsi" w:cstheme="minorHAnsi"/>
                <w:b/>
                <w:sz w:val="18"/>
                <w:szCs w:val="18"/>
                <w:u w:val="single"/>
              </w:rPr>
              <w:t>Data Quality Framework Dimensions</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Institutional environment</w:t>
            </w:r>
          </w:p>
        </w:tc>
        <w:tc>
          <w:tcPr>
            <w:tcW w:w="7169" w:type="dxa"/>
            <w:shd w:val="clear" w:color="auto" w:fill="auto"/>
          </w:tcPr>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Australian Institute of Health and Welfare (AIHW) is a major national agency set up by the Australian Government under the </w:t>
            </w:r>
            <w:r w:rsidRPr="00221402">
              <w:rPr>
                <w:rFonts w:asciiTheme="minorHAnsi" w:hAnsiTheme="minorHAnsi" w:cstheme="minorHAnsi"/>
                <w:i/>
                <w:sz w:val="18"/>
                <w:szCs w:val="18"/>
              </w:rPr>
              <w:t>Australian Institute of Health and Welfare Act 1987</w:t>
            </w:r>
            <w:r w:rsidRPr="00221402">
              <w:rPr>
                <w:rFonts w:asciiTheme="minorHAnsi" w:hAnsiTheme="minorHAnsi" w:cstheme="minorHAnsi"/>
                <w:sz w:val="18"/>
                <w:szCs w:val="18"/>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w:t>
            </w:r>
            <w:r w:rsidRPr="00221402">
              <w:rPr>
                <w:rFonts w:asciiTheme="minorHAnsi" w:hAnsiTheme="minorHAnsi" w:cstheme="minorHAnsi"/>
                <w:sz w:val="18"/>
                <w:szCs w:val="18"/>
              </w:rPr>
              <w:lastRenderedPageBreak/>
              <w:t>data and reporting.</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w:t>
            </w:r>
            <w:r w:rsidRPr="00221402">
              <w:rPr>
                <w:rFonts w:asciiTheme="minorHAnsi" w:hAnsiTheme="minorHAnsi" w:cstheme="minorHAnsi"/>
                <w:i/>
                <w:sz w:val="18"/>
                <w:szCs w:val="18"/>
              </w:rPr>
              <w:t>Australian Institute of Health and Welfare Act 1987</w:t>
            </w:r>
            <w:r w:rsidRPr="00221402">
              <w:rPr>
                <w:rFonts w:asciiTheme="minorHAnsi" w:hAnsiTheme="minorHAnsi" w:cstheme="minorHAnsi"/>
                <w:sz w:val="18"/>
                <w:szCs w:val="18"/>
              </w:rPr>
              <w:t xml:space="preserve">, in conjunction with compliance to the </w:t>
            </w:r>
            <w:r w:rsidRPr="00221402">
              <w:rPr>
                <w:rFonts w:asciiTheme="minorHAnsi" w:hAnsiTheme="minorHAnsi" w:cstheme="minorHAnsi"/>
                <w:i/>
                <w:sz w:val="18"/>
                <w:szCs w:val="18"/>
              </w:rPr>
              <w:t>Privacy Act 1988 (Commonwealth),</w:t>
            </w:r>
            <w:r w:rsidRPr="00221402">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For further information see the AIHW website </w:t>
            </w:r>
            <w:r w:rsidRPr="001E5CC7">
              <w:rPr>
                <w:rFonts w:asciiTheme="minorHAnsi" w:hAnsiTheme="minorHAnsi" w:cstheme="minorHAnsi"/>
                <w:sz w:val="18"/>
                <w:szCs w:val="18"/>
              </w:rPr>
              <w:t>www.aihw.gov.au</w:t>
            </w:r>
            <w:r w:rsidRPr="00221402">
              <w:rPr>
                <w:rFonts w:asciiTheme="minorHAnsi" w:hAnsiTheme="minorHAnsi" w:cstheme="minorHAnsi"/>
                <w:sz w:val="18"/>
                <w:szCs w:val="18"/>
              </w:rPr>
              <w:t>.</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Data for the NNAPEDCD were supplied to the AIHW by state and territory health authorities under the terms of the National Health Information Agreement (see the following links):</w:t>
            </w:r>
          </w:p>
          <w:p w:rsidR="00DD4939" w:rsidRPr="00221402" w:rsidRDefault="00DD4939" w:rsidP="00DB1A3A">
            <w:pPr>
              <w:jc w:val="both"/>
              <w:rPr>
                <w:rFonts w:asciiTheme="minorHAnsi" w:hAnsiTheme="minorHAnsi" w:cstheme="minorHAnsi"/>
                <w:sz w:val="18"/>
                <w:szCs w:val="18"/>
              </w:rPr>
            </w:pPr>
            <w:r w:rsidRPr="001E5CC7">
              <w:rPr>
                <w:rFonts w:asciiTheme="minorHAnsi" w:hAnsiTheme="minorHAnsi" w:cstheme="minorHAnsi"/>
                <w:sz w:val="18"/>
                <w:szCs w:val="18"/>
              </w:rPr>
              <w:t>http://www.aihw.gov.au/nhissc/</w:t>
            </w:r>
            <w:r w:rsidRPr="00221402">
              <w:rPr>
                <w:rFonts w:asciiTheme="minorHAnsi" w:hAnsiTheme="minorHAnsi" w:cstheme="minorHAnsi"/>
                <w:sz w:val="18"/>
                <w:szCs w:val="18"/>
              </w:rPr>
              <w:t xml:space="preserve"> </w:t>
            </w:r>
          </w:p>
          <w:p w:rsidR="00DD4939" w:rsidRPr="00221402" w:rsidRDefault="00DD4939" w:rsidP="00DB1A3A">
            <w:pPr>
              <w:jc w:val="both"/>
              <w:rPr>
                <w:rFonts w:asciiTheme="minorHAnsi" w:hAnsiTheme="minorHAnsi" w:cstheme="minorHAnsi"/>
                <w:sz w:val="18"/>
                <w:szCs w:val="18"/>
              </w:rPr>
            </w:pPr>
            <w:r w:rsidRPr="001E5CC7">
              <w:rPr>
                <w:rFonts w:asciiTheme="minorHAnsi" w:hAnsiTheme="minorHAnsi" w:cstheme="minorHAnsi"/>
                <w:sz w:val="18"/>
                <w:szCs w:val="18"/>
              </w:rPr>
              <w:t>http://meteor.aihw.gov.au/content/index.phtml/itemId/182135</w:t>
            </w:r>
            <w:r w:rsidRPr="00221402">
              <w:rPr>
                <w:rFonts w:asciiTheme="minorHAnsi" w:hAnsiTheme="minorHAnsi" w:cstheme="minorHAnsi"/>
                <w:sz w:val="18"/>
                <w:szCs w:val="18"/>
              </w:rPr>
              <w:t xml:space="preserve">  </w:t>
            </w:r>
          </w:p>
          <w:p w:rsidR="00950E2C" w:rsidRPr="00221402" w:rsidRDefault="00DD4939" w:rsidP="00DB1A3A">
            <w:pPr>
              <w:pStyle w:val="TableBodyText"/>
              <w:jc w:val="both"/>
              <w:rPr>
                <w:rFonts w:asciiTheme="minorHAnsi" w:hAnsiTheme="minorHAnsi" w:cstheme="minorHAnsi"/>
                <w:szCs w:val="18"/>
              </w:rPr>
            </w:pPr>
            <w:r w:rsidRPr="00221402">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lastRenderedPageBreak/>
              <w:t>Relevance</w:t>
            </w:r>
          </w:p>
        </w:tc>
        <w:tc>
          <w:tcPr>
            <w:tcW w:w="7169" w:type="dxa"/>
            <w:shd w:val="clear" w:color="auto" w:fill="auto"/>
          </w:tcPr>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The hospital separations data do not include episodes of non-admitted patient care provided in outpatient clinics or emergency departments.</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analyses by remoteness and socioeconomic status are based on the Statistical Area level 2 (SA2) of usual residence of the patient. The Socio-Economic Indexes for Areas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SA2 are derived from 2011 Census data and represent the attributes of the population in that SA2 in 2011. </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Separations are reported by jurisdiction of hospitalisation, regardless of the jurisdiction of usual residence. Hence, rates represent the number of separations for patients living in each remoteness area or SEIFA population group (regardless of their jurisdiction of residence) divided by the total number of separations for people living in that remoteness area or SEIFA population group and hospitalised in the reporting jurisdiction. This is relevant if significant numbers of one jurisdiction’s residents are treated in another jurisdiction.</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The unplanned and/or unexpected readmissions counted in the computation for this indicator have been limited to those having a principal diagnosis of a post-operative adverse event for which a specified ICD-10-AM diagnosis code has been assigned. Unplanned and/or unexpected readmissions attributable to other causes have not been included.</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With regard to hysterectomy, there are three related procedures that are not defined for the indicator, and therefore have not been included in any </w:t>
            </w:r>
            <w:r w:rsidRPr="00221402">
              <w:rPr>
                <w:rFonts w:asciiTheme="minorHAnsi" w:hAnsiTheme="minorHAnsi" w:cstheme="minorHAnsi"/>
                <w:i/>
                <w:sz w:val="18"/>
                <w:szCs w:val="18"/>
              </w:rPr>
              <w:t>National Healthcare Agreement</w:t>
            </w:r>
            <w:r w:rsidRPr="00221402">
              <w:rPr>
                <w:rFonts w:asciiTheme="minorHAnsi" w:hAnsiTheme="minorHAnsi" w:cstheme="minorHAnsi"/>
                <w:sz w:val="18"/>
                <w:szCs w:val="18"/>
              </w:rPr>
              <w:t xml:space="preserve"> (NHA) reporting (all years). These are (in ICD-10-AM 7th edition), 35750-00—Laparoscopically assisted vaginal hysterectomy; 35753-02—Laprascopically assisted vaginal hysterectomy with removal of adnexa; and 35653-00—Subtotal abdominal hysterectomy. For public hospitals, there were 1,692 separations in 2012–13 that involved one of these procedures. </w:t>
            </w:r>
          </w:p>
          <w:p w:rsidR="00DD4939" w:rsidRPr="00221402" w:rsidRDefault="00DD4939" w:rsidP="00DB1A3A">
            <w:pPr>
              <w:jc w:val="both"/>
              <w:rPr>
                <w:rFonts w:asciiTheme="minorHAnsi" w:hAnsiTheme="minorHAnsi" w:cstheme="minorHAnsi"/>
                <w:sz w:val="18"/>
                <w:szCs w:val="18"/>
              </w:rPr>
            </w:pPr>
            <w:r w:rsidRPr="00221402">
              <w:rPr>
                <w:rFonts w:asciiTheme="minorHAnsi" w:hAnsiTheme="minorHAnsi" w:cstheme="minorHAnsi"/>
                <w:sz w:val="18"/>
                <w:szCs w:val="18"/>
              </w:rPr>
              <w:t>The calculation of the indicator is limited to public hospitals and to readmissions to the same hospital.</w:t>
            </w:r>
          </w:p>
          <w:p w:rsidR="00950E2C" w:rsidRPr="00221402" w:rsidRDefault="00DD4939"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Other Australians includes separations for non-Indigenous people and those for whom Indigenous status was not stated.</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Timeliness</w:t>
            </w:r>
          </w:p>
        </w:tc>
        <w:tc>
          <w:tcPr>
            <w:tcW w:w="7169" w:type="dxa"/>
          </w:tcPr>
          <w:p w:rsidR="00950E2C" w:rsidRPr="00221402" w:rsidRDefault="00DD4939"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The reference period for this data set is 2012–13.</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Accuracy</w:t>
            </w:r>
          </w:p>
        </w:tc>
        <w:tc>
          <w:tcPr>
            <w:tcW w:w="7169" w:type="dxa"/>
          </w:tcPr>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For 2012–13, almost all public hospitals provided data for the NHMD. The exception was a mothercraft hospital in the </w:t>
            </w:r>
            <w:r w:rsidR="00FA5C46">
              <w:rPr>
                <w:rFonts w:asciiTheme="minorHAnsi" w:hAnsiTheme="minorHAnsi" w:cstheme="minorHAnsi"/>
                <w:sz w:val="18"/>
                <w:szCs w:val="18"/>
              </w:rPr>
              <w:t>ACT</w:t>
            </w:r>
            <w:r w:rsidRPr="00221402">
              <w:rPr>
                <w:rFonts w:asciiTheme="minorHAnsi" w:hAnsiTheme="minorHAnsi" w:cstheme="minorHAnsi"/>
                <w:sz w:val="18"/>
                <w:szCs w:val="18"/>
              </w:rPr>
              <w:t>.</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lastRenderedPageBreak/>
              <w:t xml:space="preserve">The majority of private hospitals provided data, with the exception of the private day hospital facilities in the </w:t>
            </w:r>
            <w:r w:rsidR="00E8429E">
              <w:rPr>
                <w:rFonts w:asciiTheme="minorHAnsi" w:hAnsiTheme="minorHAnsi" w:cstheme="minorHAnsi"/>
                <w:sz w:val="18"/>
                <w:szCs w:val="18"/>
              </w:rPr>
              <w:t xml:space="preserve">ACT </w:t>
            </w:r>
            <w:r w:rsidRPr="00221402">
              <w:rPr>
                <w:rFonts w:asciiTheme="minorHAnsi" w:hAnsiTheme="minorHAnsi" w:cstheme="minorHAnsi"/>
                <w:sz w:val="18"/>
                <w:szCs w:val="18"/>
              </w:rPr>
              <w:t xml:space="preserve">and the </w:t>
            </w:r>
            <w:r w:rsidR="00E8429E">
              <w:rPr>
                <w:rFonts w:asciiTheme="minorHAnsi" w:hAnsiTheme="minorHAnsi" w:cstheme="minorHAnsi"/>
                <w:sz w:val="18"/>
                <w:szCs w:val="18"/>
              </w:rPr>
              <w:t>NT</w:t>
            </w:r>
            <w:r w:rsidRPr="00221402">
              <w:rPr>
                <w:rFonts w:asciiTheme="minorHAnsi" w:hAnsiTheme="minorHAnsi" w:cstheme="minorHAnsi"/>
                <w:sz w:val="18"/>
                <w:szCs w:val="18"/>
              </w:rPr>
              <w:t xml:space="preserve">. </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 or missing or incorrect values.</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AIHW report </w:t>
            </w:r>
            <w:r w:rsidRPr="00221402">
              <w:rPr>
                <w:rFonts w:asciiTheme="minorHAnsi" w:hAnsiTheme="minorHAnsi" w:cstheme="minorHAnsi"/>
                <w:i/>
                <w:sz w:val="18"/>
                <w:szCs w:val="18"/>
              </w:rPr>
              <w:t>Indigenous identification in hospital separations data: quality report</w:t>
            </w:r>
            <w:r w:rsidRPr="00221402">
              <w:rPr>
                <w:rFonts w:asciiTheme="minorHAnsi" w:hAnsiTheme="minorHAnsi" w:cstheme="minorHAnsi"/>
                <w:sz w:val="18"/>
                <w:szCs w:val="18"/>
              </w:rPr>
              <w:t xml:space="preserve"> (AIHW 2013) found that nationally, about 88</w:t>
            </w:r>
            <w:r w:rsidR="00E8429E">
              <w:rPr>
                <w:rFonts w:asciiTheme="minorHAnsi" w:hAnsiTheme="minorHAnsi" w:cstheme="minorHAnsi"/>
                <w:sz w:val="18"/>
                <w:szCs w:val="18"/>
              </w:rPr>
              <w:t xml:space="preserve"> per cent</w:t>
            </w:r>
            <w:r w:rsidRPr="00221402">
              <w:rPr>
                <w:rFonts w:asciiTheme="minorHAnsi" w:hAnsiTheme="minorHAnsi" w:cstheme="minorHAnsi"/>
                <w:sz w:val="18"/>
                <w:szCs w:val="18"/>
              </w:rPr>
              <w:t xml:space="preserve"> of </w:t>
            </w:r>
            <w:r w:rsidR="006B0096" w:rsidRPr="006B0096">
              <w:rPr>
                <w:rFonts w:asciiTheme="minorHAnsi" w:hAnsiTheme="minorHAnsi" w:cstheme="minorHAnsi"/>
                <w:sz w:val="18"/>
                <w:szCs w:val="18"/>
              </w:rPr>
              <w:t xml:space="preserve">Aboriginal and Torres Strait Islander </w:t>
            </w:r>
            <w:r w:rsidRPr="00221402">
              <w:rPr>
                <w:rFonts w:asciiTheme="minorHAnsi" w:hAnsiTheme="minorHAnsi" w:cstheme="minorHAnsi"/>
                <w:sz w:val="18"/>
                <w:szCs w:val="18"/>
              </w:rPr>
              <w:t xml:space="preserve">Australians were identified correctly in hospital admissions data in the 2011–12 study period, and the ‘true’ number of separations for </w:t>
            </w:r>
            <w:r w:rsidR="006B0096" w:rsidRPr="006B0096">
              <w:rPr>
                <w:rFonts w:asciiTheme="minorHAnsi" w:hAnsiTheme="minorHAnsi" w:cstheme="minorHAnsi"/>
                <w:sz w:val="18"/>
                <w:szCs w:val="18"/>
              </w:rPr>
              <w:t>Aboriginal and Torres Strait Islander</w:t>
            </w:r>
            <w:r w:rsidRPr="00221402">
              <w:rPr>
                <w:rFonts w:asciiTheme="minorHAnsi" w:hAnsiTheme="minorHAnsi" w:cstheme="minorHAnsi"/>
                <w:sz w:val="18"/>
                <w:szCs w:val="18"/>
              </w:rPr>
              <w:t xml:space="preserve"> Australians was about 9</w:t>
            </w:r>
            <w:r w:rsidR="00E8429E">
              <w:rPr>
                <w:rFonts w:asciiTheme="minorHAnsi" w:hAnsiTheme="minorHAnsi" w:cstheme="minorHAnsi"/>
                <w:sz w:val="18"/>
                <w:szCs w:val="18"/>
              </w:rPr>
              <w:t xml:space="preserve"> per cent</w:t>
            </w:r>
            <w:r w:rsidRPr="00221402">
              <w:rPr>
                <w:rFonts w:asciiTheme="minorHAnsi" w:hAnsiTheme="minorHAnsi" w:cstheme="minorHAnsi"/>
                <w:sz w:val="18"/>
                <w:szCs w:val="18"/>
              </w:rPr>
              <w:t xml:space="preserve"> higher than reported. The report recommended that the data for all jurisdictions are used in analysis of </w:t>
            </w:r>
            <w:r w:rsidR="006B0096" w:rsidRPr="006B0096">
              <w:rPr>
                <w:rFonts w:asciiTheme="minorHAnsi" w:hAnsiTheme="minorHAnsi" w:cstheme="minorHAnsi"/>
                <w:sz w:val="18"/>
                <w:szCs w:val="18"/>
              </w:rPr>
              <w:t>Aboriginal and Torres Strait Islander</w:t>
            </w:r>
            <w:r w:rsidRPr="00221402">
              <w:rPr>
                <w:rFonts w:asciiTheme="minorHAnsi" w:hAnsiTheme="minorHAnsi" w:cstheme="minorHAnsi"/>
                <w:sz w:val="18"/>
                <w:szCs w:val="18"/>
              </w:rPr>
              <w:t xml:space="preserve"> hospitalisation rates, for hospitalisations in total in national analyses of </w:t>
            </w:r>
            <w:r w:rsidR="006B0096" w:rsidRPr="006B0096">
              <w:rPr>
                <w:rFonts w:asciiTheme="minorHAnsi" w:hAnsiTheme="minorHAnsi" w:cstheme="minorHAnsi"/>
                <w:sz w:val="18"/>
                <w:szCs w:val="18"/>
              </w:rPr>
              <w:t xml:space="preserve">Aboriginal and Torres Strait Islander </w:t>
            </w:r>
            <w:r w:rsidRPr="00221402">
              <w:rPr>
                <w:rFonts w:asciiTheme="minorHAnsi" w:hAnsiTheme="minorHAnsi" w:cstheme="minorHAnsi"/>
                <w:sz w:val="18"/>
                <w:szCs w:val="18"/>
              </w:rPr>
              <w:t xml:space="preserve">admitted patient care. However, these data should be interpreted with caution as there is variation among jurisdictions in the quality of the Indigenous status data. </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For this indicator, the linkage of separations records is based on the patient identifiers which are reported for public hospitals. As a consequence, only readmissions to the same public hospital are in scope; and readmissions to different public hospitals and readmissions involving private hospitals are not included.</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For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the indicator was calculated and supplied by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Health.</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To calculate this indicator, readmissions within the 2012–13 financial year had to be linked to an initial separation (which involved the specified surgery) that occurred within the 2012–13 financial year. The 19 May was specified as the cut-off date for the initial separation to exclude initial separations from the denominator for which a readmission may occur in the following financial year. The use of the cut-off date ensures that the numerator and denominator for this indicator are consistent. </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Data on procedures are recorded uniformly using the Australian Classification of Health Interventions. Data on diagnoses are recorded uniformly using the ICD-10-AM.</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Cells have been suppressed to protect confidentiality where the presentation could identify a patient or a service provider or where rates are likely to be highly volatile, for example where the denominator is very small. The following rules were applied:</w:t>
            </w:r>
          </w:p>
          <w:p w:rsidR="00221402" w:rsidRPr="00221402" w:rsidRDefault="00221402"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Rates were suppressed where the numerator was less than 5 and/or the denominator was less than 200.</w:t>
            </w:r>
          </w:p>
          <w:p w:rsidR="00221402" w:rsidRPr="00221402" w:rsidRDefault="00221402"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Rates were suppressed where the numerator was zero and the denominator was less than 200.</w:t>
            </w:r>
          </w:p>
          <w:p w:rsidR="00221402" w:rsidRPr="00221402" w:rsidRDefault="00221402"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Counts were suppressed when the number was less than 5.</w:t>
            </w:r>
          </w:p>
          <w:p w:rsidR="00950E2C" w:rsidRPr="00221402" w:rsidRDefault="00221402" w:rsidP="00E8429E">
            <w:pPr>
              <w:pStyle w:val="TableBullet"/>
              <w:keepNext w:val="0"/>
              <w:keepLines w:val="0"/>
              <w:widowControl w:val="0"/>
              <w:numPr>
                <w:ilvl w:val="0"/>
                <w:numId w:val="0"/>
              </w:numPr>
              <w:ind w:left="170"/>
              <w:jc w:val="both"/>
              <w:rPr>
                <w:rFonts w:asciiTheme="minorHAnsi" w:hAnsiTheme="minorHAnsi" w:cstheme="minorHAnsi"/>
                <w:szCs w:val="18"/>
              </w:rPr>
            </w:pPr>
            <w:r w:rsidRPr="00221402">
              <w:rPr>
                <w:rFonts w:asciiTheme="minorHAnsi" w:hAnsiTheme="minorHAnsi" w:cstheme="minorHAnsi"/>
                <w:szCs w:val="18"/>
              </w:rPr>
              <w:t xml:space="preserve">Data for private hospitals in Tasmania, </w:t>
            </w:r>
            <w:r w:rsidR="00E8429E">
              <w:rPr>
                <w:rFonts w:asciiTheme="minorHAnsi" w:hAnsiTheme="minorHAnsi" w:cstheme="minorHAnsi"/>
                <w:szCs w:val="18"/>
              </w:rPr>
              <w:t xml:space="preserve">ACT </w:t>
            </w:r>
            <w:r w:rsidRPr="00221402">
              <w:rPr>
                <w:rFonts w:asciiTheme="minorHAnsi" w:hAnsiTheme="minorHAnsi" w:cstheme="minorHAnsi"/>
                <w:szCs w:val="18"/>
              </w:rPr>
              <w:t xml:space="preserve">and the </w:t>
            </w:r>
            <w:r w:rsidR="00E8429E">
              <w:rPr>
                <w:rFonts w:asciiTheme="minorHAnsi" w:hAnsiTheme="minorHAnsi" w:cstheme="minorHAnsi"/>
                <w:szCs w:val="18"/>
              </w:rPr>
              <w:t xml:space="preserve">NT </w:t>
            </w:r>
            <w:r w:rsidRPr="00221402">
              <w:rPr>
                <w:rFonts w:asciiTheme="minorHAnsi" w:hAnsiTheme="minorHAnsi" w:cstheme="minorHAnsi"/>
                <w:szCs w:val="18"/>
              </w:rPr>
              <w:t>were suppressed.</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lastRenderedPageBreak/>
              <w:t>Coherence</w:t>
            </w:r>
          </w:p>
        </w:tc>
        <w:tc>
          <w:tcPr>
            <w:tcW w:w="7169" w:type="dxa"/>
          </w:tcPr>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information presented for this indicator is calculated using the same methodology as data published in </w:t>
            </w:r>
            <w:r w:rsidRPr="00221402">
              <w:rPr>
                <w:rFonts w:asciiTheme="minorHAnsi" w:hAnsiTheme="minorHAnsi" w:cstheme="minorHAnsi"/>
                <w:i/>
                <w:sz w:val="18"/>
                <w:szCs w:val="18"/>
              </w:rPr>
              <w:t>Australian hospital statistics 2012–13</w:t>
            </w:r>
            <w:r w:rsidRPr="00221402">
              <w:rPr>
                <w:rFonts w:asciiTheme="minorHAnsi" w:hAnsiTheme="minorHAnsi" w:cstheme="minorHAnsi"/>
                <w:sz w:val="18"/>
                <w:szCs w:val="18"/>
              </w:rPr>
              <w:t xml:space="preserve"> and the </w:t>
            </w:r>
            <w:r w:rsidRPr="00221402">
              <w:rPr>
                <w:rFonts w:asciiTheme="minorHAnsi" w:hAnsiTheme="minorHAnsi" w:cstheme="minorHAnsi"/>
                <w:i/>
                <w:sz w:val="18"/>
                <w:szCs w:val="18"/>
              </w:rPr>
              <w:t>National healthcare agreement: performance report 2012–13</w:t>
            </w:r>
            <w:r w:rsidRPr="00221402">
              <w:rPr>
                <w:rFonts w:asciiTheme="minorHAnsi" w:hAnsiTheme="minorHAnsi" w:cstheme="minorHAnsi"/>
                <w:sz w:val="18"/>
                <w:szCs w:val="18"/>
              </w:rPr>
              <w:t>.</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The data can be meaningfully compared across reference periods for all jurisdictions.</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However, caution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950E2C" w:rsidRPr="00221402" w:rsidRDefault="00221402"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 xml:space="preserve">In 2011, the ABS updated the Socio-Economic Indices for Areas (SEIFA), based on the 2011 ABS Census of Population and Housing.  The new SEIFA will be referred to as SEIFA 2011, and the previous SEIFA as SEIFA 2006.  Data for 2007–08 through to 2010–11 reported for SEIFA quintiles are reported using SEIFA 2006 at the Statistical </w:t>
            </w:r>
            <w:r w:rsidRPr="00221402">
              <w:rPr>
                <w:rFonts w:asciiTheme="minorHAnsi" w:hAnsiTheme="minorHAnsi" w:cstheme="minorHAnsi"/>
                <w:szCs w:val="18"/>
              </w:rPr>
              <w:lastRenderedPageBreak/>
              <w:t>Local Area (SLA) level. Data for 2011–12 are reported using SEIFA 2011 at the SLA level. Data for 2012–13 are reported using SEIFA 2011 at the Statistical Area level 2 (SA2). The AIHW considers the change from SEIFA 2006 to SEIFA 2011, and the change from SLA to SA2 to be series breaks when applied to data supplied for this indicator.  Therefore, SEIFA data for 2010–11 and previous years are not directly comparable with SEIFA data for 2011–12, and SEIFA data for 2011–12 and previous years are not directly comparable with SEIFA data for 2012–13 and subsequent years.</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lastRenderedPageBreak/>
              <w:t>Accessibility</w:t>
            </w:r>
          </w:p>
        </w:tc>
        <w:tc>
          <w:tcPr>
            <w:tcW w:w="7169" w:type="dxa"/>
          </w:tcPr>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The AIHW provides a variety of products that draw upon the NHMD. Published products available on the AIHW website are:</w:t>
            </w:r>
          </w:p>
          <w:p w:rsidR="00221402" w:rsidRPr="00221402" w:rsidRDefault="00221402"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i/>
                <w:sz w:val="18"/>
                <w:szCs w:val="18"/>
              </w:rPr>
              <w:t>Australian hospital statistics</w:t>
            </w:r>
            <w:r w:rsidRPr="00221402">
              <w:rPr>
                <w:rFonts w:asciiTheme="minorHAnsi" w:hAnsiTheme="minorHAnsi" w:cstheme="minorHAnsi"/>
                <w:sz w:val="18"/>
                <w:szCs w:val="18"/>
              </w:rPr>
              <w:t xml:space="preserve"> with associated Excel tables </w:t>
            </w:r>
          </w:p>
          <w:p w:rsidR="00221402" w:rsidRPr="00221402" w:rsidRDefault="00221402"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interactive data cubes for Admitted patient care (for Principal diagnoses, Procedures and Diagnosis Related Groups).</w:t>
            </w:r>
          </w:p>
          <w:p w:rsidR="00950E2C" w:rsidRPr="00221402" w:rsidRDefault="00221402"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 xml:space="preserve">These products may be accessed on the AIHW website at: </w:t>
            </w:r>
            <w:r w:rsidRPr="001E5CC7">
              <w:rPr>
                <w:rFonts w:asciiTheme="minorHAnsi" w:hAnsiTheme="minorHAnsi" w:cstheme="minorHAnsi"/>
                <w:szCs w:val="18"/>
              </w:rPr>
              <w:t>http://www.aihw.gov.au/hospitals/</w:t>
            </w:r>
            <w:r w:rsidRPr="00221402">
              <w:rPr>
                <w:rFonts w:asciiTheme="minorHAnsi" w:hAnsiTheme="minorHAnsi" w:cstheme="minorHAnsi"/>
                <w:szCs w:val="18"/>
              </w:rPr>
              <w:t>.</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Interpretability</w:t>
            </w:r>
          </w:p>
        </w:tc>
        <w:tc>
          <w:tcPr>
            <w:tcW w:w="7169" w:type="dxa"/>
          </w:tcPr>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Supporting information on the quality and use of the NHMD are published annually in </w:t>
            </w:r>
            <w:r w:rsidRPr="00221402">
              <w:rPr>
                <w:rFonts w:asciiTheme="minorHAnsi" w:hAnsiTheme="minorHAnsi" w:cstheme="minorHAnsi"/>
                <w:i/>
                <w:sz w:val="18"/>
                <w:szCs w:val="18"/>
              </w:rPr>
              <w:t xml:space="preserve">Australian hospital statistics </w:t>
            </w:r>
            <w:r w:rsidRPr="00221402">
              <w:rPr>
                <w:rFonts w:asciiTheme="minorHAnsi" w:hAnsiTheme="minorHAnsi" w:cstheme="minorHAnsi"/>
                <w:sz w:val="18"/>
                <w:szCs w:val="18"/>
              </w:rPr>
              <w:t xml:space="preserve">(technical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rPr>
                <w:rFonts w:asciiTheme="minorHAnsi" w:hAnsiTheme="minorHAnsi" w:cstheme="minorHAnsi"/>
                <w:sz w:val="18"/>
                <w:szCs w:val="18"/>
              </w:rPr>
              <w:t xml:space="preserve">Aboriginal and Torres Strait Islander </w:t>
            </w:r>
            <w:r w:rsidRPr="00221402">
              <w:rPr>
                <w:rFonts w:asciiTheme="minorHAnsi" w:hAnsiTheme="minorHAnsi" w:cstheme="minorHAnsi"/>
                <w:sz w:val="18"/>
                <w:szCs w:val="18"/>
              </w:rPr>
              <w:t xml:space="preserve">data, and changes in service delivery that might affect interpretation of the published data. Metadata information for the National Minimum Data Set (NMDS) for Admitted patient care is published in the AIHW’s online metadata repository, METeOR, and the </w:t>
            </w:r>
            <w:r w:rsidRPr="00221402">
              <w:rPr>
                <w:rFonts w:asciiTheme="minorHAnsi" w:hAnsiTheme="minorHAnsi" w:cstheme="minorHAnsi"/>
                <w:i/>
                <w:sz w:val="18"/>
                <w:szCs w:val="18"/>
              </w:rPr>
              <w:t>National health data dictionary</w:t>
            </w:r>
            <w:r w:rsidRPr="00221402">
              <w:rPr>
                <w:rFonts w:asciiTheme="minorHAnsi" w:hAnsiTheme="minorHAnsi" w:cstheme="minorHAnsi"/>
                <w:sz w:val="18"/>
                <w:szCs w:val="18"/>
              </w:rPr>
              <w:t>.</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 xml:space="preserve">The </w:t>
            </w:r>
            <w:r w:rsidRPr="00221402">
              <w:rPr>
                <w:rFonts w:asciiTheme="minorHAnsi" w:hAnsiTheme="minorHAnsi" w:cstheme="minorHAnsi"/>
                <w:i/>
                <w:sz w:val="18"/>
                <w:szCs w:val="18"/>
              </w:rPr>
              <w:t>National health data dictionary</w:t>
            </w:r>
            <w:r w:rsidRPr="00221402">
              <w:rPr>
                <w:rFonts w:asciiTheme="minorHAnsi" w:hAnsiTheme="minorHAnsi" w:cstheme="minorHAnsi"/>
                <w:sz w:val="18"/>
                <w:szCs w:val="18"/>
              </w:rPr>
              <w:t xml:space="preserve"> can be accessed online at:</w:t>
            </w:r>
          </w:p>
          <w:p w:rsidR="00221402" w:rsidRPr="00221402" w:rsidRDefault="00221402" w:rsidP="00DB1A3A">
            <w:pPr>
              <w:jc w:val="both"/>
              <w:rPr>
                <w:rFonts w:asciiTheme="minorHAnsi" w:hAnsiTheme="minorHAnsi" w:cstheme="minorHAnsi"/>
                <w:sz w:val="18"/>
                <w:szCs w:val="18"/>
              </w:rPr>
            </w:pPr>
            <w:r w:rsidRPr="001E5CC7">
              <w:rPr>
                <w:rFonts w:asciiTheme="minorHAnsi" w:hAnsiTheme="minorHAnsi" w:cstheme="minorHAnsi"/>
                <w:sz w:val="18"/>
                <w:szCs w:val="18"/>
              </w:rPr>
              <w:t>http://www.aihw.gov.au/publication-detail/?id=10737422826</w:t>
            </w:r>
            <w:r w:rsidRPr="00221402">
              <w:rPr>
                <w:rFonts w:asciiTheme="minorHAnsi" w:hAnsiTheme="minorHAnsi" w:cstheme="minorHAnsi"/>
                <w:sz w:val="18"/>
                <w:szCs w:val="18"/>
              </w:rPr>
              <w:t xml:space="preserve"> </w:t>
            </w:r>
          </w:p>
          <w:p w:rsidR="00221402" w:rsidRPr="00221402" w:rsidRDefault="00221402" w:rsidP="00DB1A3A">
            <w:pPr>
              <w:jc w:val="both"/>
              <w:rPr>
                <w:rFonts w:asciiTheme="minorHAnsi" w:hAnsiTheme="minorHAnsi" w:cstheme="minorHAnsi"/>
                <w:sz w:val="18"/>
                <w:szCs w:val="18"/>
              </w:rPr>
            </w:pPr>
            <w:r w:rsidRPr="00221402">
              <w:rPr>
                <w:rFonts w:asciiTheme="minorHAnsi" w:hAnsiTheme="minorHAnsi" w:cstheme="minorHAnsi"/>
                <w:sz w:val="18"/>
                <w:szCs w:val="18"/>
              </w:rPr>
              <w:t>The Data Quality Statement for the 2012–13 NHMD can be accessed on the AIHW website at:</w:t>
            </w:r>
          </w:p>
          <w:p w:rsidR="00950E2C" w:rsidRPr="00221402" w:rsidRDefault="00221402"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 xml:space="preserve"> </w:t>
            </w:r>
            <w:r w:rsidRPr="001E5CC7">
              <w:rPr>
                <w:rFonts w:asciiTheme="minorHAnsi" w:hAnsiTheme="minorHAnsi" w:cstheme="minorHAnsi"/>
                <w:szCs w:val="18"/>
              </w:rPr>
              <w:t>http://meteor.aihw.gov.au/content/index.phtml/itemId/546749</w:t>
            </w:r>
          </w:p>
        </w:tc>
      </w:tr>
      <w:tr w:rsidR="003A7941" w:rsidRPr="003A7941" w:rsidTr="009F4002">
        <w:tc>
          <w:tcPr>
            <w:tcW w:w="8789" w:type="dxa"/>
            <w:gridSpan w:val="2"/>
            <w:vAlign w:val="bottom"/>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221402">
              <w:rPr>
                <w:rFonts w:asciiTheme="minorHAnsi" w:hAnsiTheme="minorHAnsi" w:cstheme="minorHAnsi"/>
                <w:b/>
                <w:sz w:val="18"/>
                <w:szCs w:val="18"/>
                <w:u w:val="single"/>
              </w:rPr>
              <w:t>Data Gaps/Issues Analysis</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Key data gaps/issues</w:t>
            </w:r>
          </w:p>
        </w:tc>
        <w:tc>
          <w:tcPr>
            <w:tcW w:w="7169" w:type="dxa"/>
          </w:tcPr>
          <w:p w:rsidR="00950E2C" w:rsidRPr="00221402" w:rsidRDefault="00950E2C"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The Steering Committee notes the following issues:</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The National Hospital Morbidity Database (NHMD) is a comprehensive data set that has records for all separations of admitted patients from essentially all public and private hospitals in Australia.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The indicator is an underestimate of all possible unplanned/unexpected readmissions because: </w:t>
            </w:r>
          </w:p>
          <w:p w:rsidR="00DD4939" w:rsidRPr="00221402" w:rsidRDefault="00DD4939" w:rsidP="00DB1A3A">
            <w:pPr>
              <w:numPr>
                <w:ilvl w:val="1"/>
                <w:numId w:val="30"/>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it could only be calculated for public hospitals and for readmissions to the same hospital. </w:t>
            </w:r>
          </w:p>
          <w:p w:rsidR="00DD4939" w:rsidRPr="00221402" w:rsidRDefault="00DD4939" w:rsidP="00DB1A3A">
            <w:pPr>
              <w:numPr>
                <w:ilvl w:val="1"/>
                <w:numId w:val="30"/>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episodes of non-admitted patient care provided in outpatient clinics or emergency departments which may have been related to a previous admission are not included. </w:t>
            </w:r>
          </w:p>
          <w:p w:rsidR="00DD4939" w:rsidRPr="00221402" w:rsidRDefault="00DD4939" w:rsidP="00DB1A3A">
            <w:pPr>
              <w:numPr>
                <w:ilvl w:val="1"/>
                <w:numId w:val="30"/>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the unplanned and/or unexpected readmissions are limited to those having a principal diagnosis of a post-operative adverse event for which a specified International Statistical Classification of Diseases and Related Health Problems, Tenth Revision, Australian Modification (ICD-10-AM) diagnosis code has been assigned. This does not include all possible unplanned/unexpected readmissions.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Calculation of the indicator for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was not possible using data from the NHMD. Data for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were supplied by WA Health and Australian rates and numbers do not include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Variations in admission practices and policies lead to variation among providers in the number of admissions for some conditions.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Remoteness data for 2011–12 and previous years are not directly comparable to remoteness data for 2012–13 and subsequent years.</w:t>
            </w:r>
          </w:p>
          <w:p w:rsidR="00DD4939" w:rsidRPr="00221402" w:rsidRDefault="00DD4939" w:rsidP="00DB1A3A">
            <w:pPr>
              <w:numPr>
                <w:ilvl w:val="0"/>
                <w:numId w:val="24"/>
              </w:numPr>
              <w:spacing w:before="40" w:after="40"/>
              <w:jc w:val="both"/>
              <w:rPr>
                <w:rStyle w:val="DraftingNote"/>
                <w:rFonts w:asciiTheme="minorHAnsi" w:hAnsiTheme="minorHAnsi" w:cstheme="minorHAnsi"/>
                <w:b w:val="0"/>
                <w:color w:val="auto"/>
                <w:sz w:val="18"/>
                <w:szCs w:val="18"/>
                <w:u w:val="none"/>
              </w:rPr>
            </w:pPr>
            <w:r w:rsidRPr="00221402">
              <w:rPr>
                <w:rFonts w:asciiTheme="minorHAnsi" w:hAnsiTheme="minorHAnsi" w:cstheme="minorHAnsi"/>
                <w:sz w:val="18"/>
                <w:szCs w:val="18"/>
              </w:rPr>
              <w:t>SEIFA data for 2010–11 and previous years are not directly comparable with SEIFA data for 2011–12, and SEIFA data for 2011–12 and previous years are not directly comparable with SEIFA data for 2012–13 and subsequent years.</w:t>
            </w:r>
          </w:p>
        </w:tc>
      </w:tr>
    </w:tbl>
    <w:p w:rsidR="0090363E" w:rsidRDefault="0090363E" w:rsidP="0090363E">
      <w:pPr>
        <w:pStyle w:val="Heading3"/>
      </w:pPr>
      <w:bookmarkStart w:id="7" w:name="_Toc401912925"/>
      <w:r>
        <w:lastRenderedPageBreak/>
        <w:t>Accreditation</w:t>
      </w:r>
      <w:bookmarkEnd w:id="7"/>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50E2C" w:rsidRPr="00E00AD6" w:rsidRDefault="00950E2C" w:rsidP="007957BE">
            <w:pPr>
              <w:pStyle w:val="TableBodyText"/>
              <w:jc w:val="both"/>
            </w:pPr>
            <w:r w:rsidRPr="003362FE">
              <w:t>Effectiveness — quality/safety</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vAlign w:val="bottom"/>
          </w:tcPr>
          <w:p w:rsidR="00950E2C" w:rsidRPr="003362FE" w:rsidRDefault="00950E2C" w:rsidP="007957BE">
            <w:pPr>
              <w:pStyle w:val="TableBodyText"/>
              <w:jc w:val="both"/>
            </w:pPr>
            <w:r w:rsidRPr="003362FE">
              <w:t>Accreditation</w:t>
            </w:r>
          </w:p>
        </w:tc>
      </w:tr>
      <w:tr w:rsidR="00950E2C" w:rsidRPr="003846CE" w:rsidTr="009F4002">
        <w:tc>
          <w:tcPr>
            <w:tcW w:w="1620" w:type="dxa"/>
          </w:tcPr>
          <w:p w:rsidR="00950E2C"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50E2C" w:rsidRPr="003846CE"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vAlign w:val="bottom"/>
          </w:tcPr>
          <w:p w:rsidR="00950E2C" w:rsidRDefault="00950E2C" w:rsidP="00F227D6">
            <w:pPr>
              <w:pStyle w:val="TableBodyText"/>
              <w:jc w:val="both"/>
            </w:pPr>
            <w:r w:rsidRPr="00161097">
              <w:t>Accreditation’ is defined as the number of beds in accredited hospitals as a percentage of total beds.</w:t>
            </w:r>
            <w:r>
              <w:t xml:space="preserve"> </w:t>
            </w:r>
          </w:p>
          <w:p w:rsidR="00950E2C" w:rsidRDefault="00950E2C" w:rsidP="00F227D6">
            <w:pPr>
              <w:pStyle w:val="TableBodyText"/>
              <w:jc w:val="both"/>
            </w:pPr>
            <w:r>
              <w:t>Accreditation is awarded to a hospital based on meeting a defined set of standards.</w:t>
            </w:r>
          </w:p>
          <w:p w:rsidR="00950E2C" w:rsidRPr="00E00AD6" w:rsidRDefault="00950E2C" w:rsidP="00F227D6">
            <w:pPr>
              <w:pStyle w:val="TableBodyText"/>
              <w:jc w:val="both"/>
            </w:pPr>
            <w:r w:rsidRPr="00B341D4">
              <w:t>Public hospitals can seek accreditation through a number of agencies. These agencies are accredited through the Joint Accreditation System of Australia and New Zealand or the International Society for Quality in Healthcare.</w:t>
            </w:r>
            <w:r w:rsidRPr="004B2F01">
              <w:t xml:space="preserve"> </w:t>
            </w:r>
            <w:r>
              <w:t>Jurisdictions apply specific criteria to determine which accreditation programs are suitable. Quality programs require hospitals to demonstrate continual adherence to quality improvement standards to gain and retain accreditation.</w:t>
            </w:r>
          </w:p>
        </w:tc>
      </w:tr>
      <w:tr w:rsidR="00950E2C" w:rsidRPr="003846CE" w:rsidTr="009F4002">
        <w:tc>
          <w:tcPr>
            <w:tcW w:w="1620" w:type="dxa"/>
          </w:tcPr>
          <w:p w:rsidR="00950E2C" w:rsidRPr="003846CE" w:rsidRDefault="00950E2C"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950E2C" w:rsidRPr="00184B37" w:rsidRDefault="00950E2C" w:rsidP="007957BE">
            <w:pPr>
              <w:pStyle w:val="TableBodyText"/>
              <w:ind w:right="0"/>
              <w:jc w:val="both"/>
              <w:rPr>
                <w:color w:val="000000"/>
              </w:rPr>
            </w:pPr>
            <w:r w:rsidRPr="00E008FF">
              <w:t>This indicator is calculated using data from the NPHED. The NPHED contains information on public hospital expenditure and estimates of the proportion of recurrent expenditure attributed to admitted patient care. The NPHED is based on the National Minimum Data Set (NMDS) for Public hospital establishments</w:t>
            </w:r>
            <w:r>
              <w:t xml:space="preserve">. </w:t>
            </w:r>
          </w:p>
        </w:tc>
      </w:tr>
      <w:tr w:rsidR="00950E2C" w:rsidRPr="003846CE" w:rsidTr="009F4002">
        <w:tc>
          <w:tcPr>
            <w:tcW w:w="8789" w:type="dxa"/>
            <w:gridSpan w:val="2"/>
            <w:vAlign w:val="bottom"/>
          </w:tcPr>
          <w:p w:rsidR="00950E2C" w:rsidRDefault="00950E2C" w:rsidP="00905501">
            <w:pPr>
              <w:widowControl w:val="0"/>
              <w:spacing w:after="40" w:line="200" w:lineRule="atLeast"/>
              <w:ind w:left="6" w:right="113"/>
              <w:jc w:val="both"/>
              <w:rPr>
                <w:rFonts w:ascii="Arial" w:hAnsi="Arial"/>
                <w:b/>
                <w:color w:val="000000"/>
                <w:sz w:val="18"/>
                <w:szCs w:val="20"/>
              </w:rPr>
            </w:pPr>
          </w:p>
          <w:p w:rsidR="00950E2C" w:rsidRPr="003846CE" w:rsidRDefault="00950E2C"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Default="00950E2C" w:rsidP="00B04C80">
            <w:pPr>
              <w:pStyle w:val="TableBodyText"/>
              <w:keepNext w:val="0"/>
              <w:keepLines w:val="0"/>
              <w:widowControl w:val="0"/>
              <w:jc w:val="both"/>
            </w:pPr>
            <w: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950E2C" w:rsidRDefault="00950E2C" w:rsidP="00B04C80">
            <w:pPr>
              <w:pStyle w:val="TableBodyText"/>
              <w:keepNext w:val="0"/>
              <w:keepLines w:val="0"/>
              <w:widowControl w:val="0"/>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950E2C" w:rsidRDefault="00950E2C" w:rsidP="00B04C80">
            <w:pPr>
              <w:pStyle w:val="TableBodyText"/>
              <w:keepNext w:val="0"/>
              <w:keepLines w:val="0"/>
              <w:widowControl w:val="0"/>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950E2C" w:rsidRDefault="00950E2C" w:rsidP="00B04C80">
            <w:pPr>
              <w:pStyle w:val="TableBodyText"/>
              <w:keepNext w:val="0"/>
              <w:keepLines w:val="0"/>
              <w:widowControl w:val="0"/>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950E2C" w:rsidRDefault="00950E2C" w:rsidP="00B04C80">
            <w:pPr>
              <w:pStyle w:val="TableBodyText"/>
              <w:keepNext w:val="0"/>
              <w:keepLines w:val="0"/>
              <w:widowControl w:val="0"/>
              <w:jc w:val="both"/>
            </w:pPr>
            <w:r>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950E2C" w:rsidRDefault="00950E2C" w:rsidP="00B04C80">
            <w:pPr>
              <w:pStyle w:val="TableBodyText"/>
              <w:keepNext w:val="0"/>
              <w:keepLines w:val="0"/>
              <w:widowControl w:val="0"/>
              <w:jc w:val="both"/>
            </w:pPr>
            <w:r>
              <w:t xml:space="preserve">For further information see the AIHW website www.aihw.gov.au </w:t>
            </w:r>
          </w:p>
          <w:p w:rsidR="00950E2C" w:rsidRDefault="00950E2C" w:rsidP="00B04C80">
            <w:pPr>
              <w:pStyle w:val="TableBodyText"/>
              <w:keepNext w:val="0"/>
              <w:keepLines w:val="0"/>
              <w:widowControl w:val="0"/>
              <w:jc w:val="both"/>
            </w:pPr>
            <w:r>
              <w:t xml:space="preserve">Data for the NESWTDC were supplied to the AIHW by state and territory health authorities under the terms of the National Health Information Agreement (see the following links): </w:t>
            </w:r>
          </w:p>
          <w:p w:rsidR="00950E2C" w:rsidRDefault="00950E2C" w:rsidP="00B04C80">
            <w:pPr>
              <w:pStyle w:val="TableBodyText"/>
              <w:keepNext w:val="0"/>
              <w:keepLines w:val="0"/>
              <w:widowControl w:val="0"/>
              <w:jc w:val="both"/>
            </w:pPr>
            <w:r>
              <w:t xml:space="preserve">http://www.aihw.gov.au/nhissc/ </w:t>
            </w:r>
          </w:p>
          <w:p w:rsidR="00950E2C" w:rsidRDefault="00950E2C" w:rsidP="00B04C80">
            <w:pPr>
              <w:pStyle w:val="TableBodyText"/>
              <w:keepNext w:val="0"/>
              <w:keepLines w:val="0"/>
              <w:widowControl w:val="0"/>
              <w:jc w:val="both"/>
            </w:pPr>
            <w:r>
              <w:t xml:space="preserve">http://meteor.aihw.gov.au/content/index.phtml/itemId/182135 </w:t>
            </w:r>
          </w:p>
          <w:p w:rsidR="00950E2C" w:rsidRPr="00032C83" w:rsidRDefault="00950E2C" w:rsidP="00B04C80">
            <w:pPr>
              <w:pStyle w:val="TableBodyText"/>
              <w:keepNext w:val="0"/>
              <w:keepLines w:val="0"/>
              <w:widowControl w:val="0"/>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lastRenderedPageBreak/>
              <w:t>Relevance</w:t>
            </w:r>
          </w:p>
        </w:tc>
        <w:tc>
          <w:tcPr>
            <w:tcW w:w="7169" w:type="dxa"/>
            <w:shd w:val="clear" w:color="auto" w:fill="auto"/>
          </w:tcPr>
          <w:p w:rsidR="00950E2C" w:rsidRPr="00E00AD6" w:rsidRDefault="00950E2C" w:rsidP="00F227D6">
            <w:pPr>
              <w:pStyle w:val="TableBodyText"/>
              <w:keepNext w:val="0"/>
              <w:keepLines w:val="0"/>
              <w:widowControl w:val="0"/>
              <w:jc w:val="both"/>
            </w:pPr>
            <w:r w:rsidRPr="00E008FF">
              <w:t>The purpose of the NMDS for Public hospital establishments is to collect information on the characteristics of public hospitals and summary information on non-admitted services provided by them</w:t>
            </w:r>
            <w:r>
              <w:t xml:space="preserve">. </w:t>
            </w:r>
            <w:r w:rsidRPr="00E008FF">
              <w:t xml:space="preserve">The scope </w:t>
            </w:r>
            <w:r>
              <w:t xml:space="preserve">is public hospitals in Australia, including public acute and psychiatric hospitals, including hospitals operated for or by the Department of Veterans Affairs, and drug and alcohol treatment centres. Hospitals specialising in dental, ophthalmic aids and other specialised acute medical or surgical care are included. </w:t>
            </w:r>
            <w:r w:rsidRPr="00E008FF">
              <w:t xml:space="preserve">The collection covers hospitals within the jurisdiction of the State and Territory health authorities. Hence, public hospitals not administered by the State and Territory health authorities (hospitals operated by correctional authorities </w:t>
            </w:r>
            <w:r>
              <w:t xml:space="preserve">or the Australian Defence Force </w:t>
            </w:r>
            <w:r w:rsidRPr="00E008FF">
              <w:t xml:space="preserve">for example, and hospitals located in offshore territories) are not included. The collection does not include data for private hospitals. </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950E2C" w:rsidRPr="00E00AD6" w:rsidRDefault="00950E2C" w:rsidP="00FE2943">
            <w:pPr>
              <w:pStyle w:val="TableBodyText"/>
              <w:keepNext w:val="0"/>
              <w:keepLines w:val="0"/>
              <w:widowControl w:val="0"/>
              <w:jc w:val="both"/>
            </w:pPr>
            <w:r w:rsidRPr="00E00AD6">
              <w:t>The reference period for this data set is 20</w:t>
            </w:r>
            <w:r>
              <w:t>1</w:t>
            </w:r>
            <w:r w:rsidR="00FE2943">
              <w:t>2</w:t>
            </w:r>
            <w:r w:rsidRPr="00E00AD6">
              <w:t>-1</w:t>
            </w:r>
            <w:r w:rsidR="00FE2943">
              <w:t>3</w:t>
            </w:r>
            <w:r w:rsidRPr="00E00AD6">
              <w:t>.</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E008FF" w:rsidRDefault="00950E2C" w:rsidP="00F227D6">
            <w:pPr>
              <w:pStyle w:val="TableBodyText"/>
              <w:keepNext w:val="0"/>
              <w:keepLines w:val="0"/>
              <w:widowControl w:val="0"/>
              <w:ind w:right="0"/>
              <w:jc w:val="both"/>
            </w:pPr>
            <w:r w:rsidRPr="00E008FF">
              <w:t xml:space="preserve">For </w:t>
            </w:r>
            <w:r>
              <w:t>201</w:t>
            </w:r>
            <w:r w:rsidR="00FE2943">
              <w:t>2</w:t>
            </w:r>
            <w:r w:rsidR="00FE2943">
              <w:noBreakHyphen/>
              <w:t>13</w:t>
            </w:r>
            <w:r w:rsidRPr="00E008FF">
              <w:t xml:space="preserve">, coverage of the NPHED was essentially complete. </w:t>
            </w:r>
          </w:p>
          <w:p w:rsidR="00950E2C" w:rsidRPr="00E008FF" w:rsidRDefault="00950E2C" w:rsidP="00F227D6">
            <w:pPr>
              <w:pStyle w:val="TableBodyText"/>
              <w:keepNext w:val="0"/>
              <w:keepLines w:val="0"/>
              <w:widowControl w:val="0"/>
              <w:ind w:right="0"/>
              <w:jc w:val="both"/>
            </w:pPr>
            <w:r w:rsidRPr="00E008FF">
              <w:t>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950E2C" w:rsidRPr="0077312D" w:rsidRDefault="00950E2C" w:rsidP="00F227D6">
            <w:pPr>
              <w:pStyle w:val="TableBodyText"/>
              <w:keepNext w:val="0"/>
              <w:keepLines w:val="0"/>
              <w:widowControl w:val="0"/>
              <w:ind w:right="0"/>
              <w:jc w:val="both"/>
            </w:pPr>
            <w:r w:rsidRPr="0077312D">
              <w:t>Although there are national standard</w:t>
            </w:r>
            <w:r>
              <w:t>s</w:t>
            </w:r>
            <w:r w:rsidRPr="0077312D">
              <w:t xml:space="preserve"> for public hospital establishments data, differences in financial accounting, counting and classification practices across jurisdictions may affect the comparability of these data. </w:t>
            </w:r>
          </w:p>
          <w:p w:rsidR="00950E2C" w:rsidRPr="0077312D" w:rsidRDefault="00950E2C" w:rsidP="00F227D6">
            <w:pPr>
              <w:pStyle w:val="TableBodyText"/>
              <w:keepNext w:val="0"/>
              <w:keepLines w:val="0"/>
              <w:widowControl w:val="0"/>
              <w:ind w:right="0"/>
              <w:jc w:val="both"/>
            </w:pPr>
            <w:r w:rsidRPr="0077312D">
              <w:t xml:space="preserve">The number of hospitals reported can be affected by administrative and/or reporting arrangements and is not necessarily a measure of the number of physical hospital buildings or campuses. </w:t>
            </w:r>
          </w:p>
          <w:p w:rsidR="00950E2C" w:rsidRPr="0077312D" w:rsidRDefault="00950E2C" w:rsidP="00F227D6">
            <w:pPr>
              <w:pStyle w:val="TableBodyText"/>
              <w:keepNext w:val="0"/>
              <w:keepLines w:val="0"/>
              <w:widowControl w:val="0"/>
              <w:ind w:right="0"/>
              <w:jc w:val="both"/>
            </w:pPr>
            <w:r w:rsidRPr="0077312D">
              <w:t xml:space="preserve">There was variation between states and territories in the reporting of expenditure, depreciation, available beds, staffing categories and outpatient occasions of service. </w:t>
            </w:r>
          </w:p>
          <w:p w:rsidR="00950E2C" w:rsidRPr="0077312D" w:rsidRDefault="00950E2C" w:rsidP="00F227D6">
            <w:pPr>
              <w:pStyle w:val="TableBodyText"/>
              <w:keepNext w:val="0"/>
              <w:keepLines w:val="0"/>
              <w:widowControl w:val="0"/>
              <w:ind w:right="0"/>
              <w:jc w:val="both"/>
            </w:pPr>
            <w:r w:rsidRPr="0077312D">
              <w:t xml:space="preserve">Comparability of bed numbers can be affected by the range and types of patients treated by a hospital (casemix), with, for example, different proportions of beds being available for special and more general purposes. </w:t>
            </w:r>
          </w:p>
          <w:p w:rsidR="00950E2C" w:rsidRPr="0077312D" w:rsidRDefault="00950E2C" w:rsidP="00F227D6">
            <w:pPr>
              <w:pStyle w:val="TableBodyText"/>
              <w:keepNext w:val="0"/>
              <w:keepLines w:val="0"/>
              <w:widowControl w:val="0"/>
              <w:ind w:right="0"/>
              <w:jc w:val="both"/>
            </w:pPr>
            <w:r w:rsidRPr="0077312D">
              <w:t xml:space="preserve">States and territories may differ in the extent to which non-admitted services are provided in non-hospital settings that are beyond the scope of the NPHED. </w:t>
            </w:r>
          </w:p>
          <w:p w:rsidR="00950E2C" w:rsidRPr="00E00AD6" w:rsidRDefault="00950E2C" w:rsidP="00F227D6">
            <w:pPr>
              <w:pStyle w:val="TableBodyText"/>
              <w:keepNext w:val="0"/>
              <w:keepLines w:val="0"/>
              <w:widowControl w:val="0"/>
              <w:ind w:right="0"/>
              <w:jc w:val="both"/>
            </w:pPr>
            <w:r w:rsidRPr="003362FE">
              <w:t>The comparability of accreditation data among states and territories is limited because of the voluntary nature of participation in award schemes for hospitals in some jurisdictions. As accreditation for public hospitals was counted as at 30 June 2011, hospitals that were accredited for the majority of the financial year, but had their accreditation status lapse shortly before this date, would have been counted as non-accredited.</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950E2C" w:rsidRPr="00474E36" w:rsidRDefault="00950E2C" w:rsidP="00B04C80">
            <w:pPr>
              <w:pStyle w:val="TableBodyText"/>
              <w:keepNext w:val="0"/>
              <w:keepLines w:val="0"/>
              <w:widowControl w:val="0"/>
              <w:ind w:right="0"/>
              <w:jc w:val="both"/>
            </w:pPr>
            <w:r w:rsidRPr="00474E36">
              <w:t>The NPHED includes data for each year from 1993–94 to 201</w:t>
            </w:r>
            <w:r w:rsidR="00FE2943">
              <w:t>2</w:t>
            </w:r>
            <w:r w:rsidRPr="00474E36">
              <w:t>–1</w:t>
            </w:r>
            <w:r w:rsidR="00FE2943">
              <w:t>3</w:t>
            </w:r>
            <w:r w:rsidRPr="00474E36">
              <w:t xml:space="preserve">. </w:t>
            </w:r>
          </w:p>
          <w:p w:rsidR="00950E2C" w:rsidRPr="00474E36" w:rsidRDefault="00950E2C" w:rsidP="00B04C80">
            <w:pPr>
              <w:pStyle w:val="TableBodyText"/>
              <w:keepNext w:val="0"/>
              <w:keepLines w:val="0"/>
              <w:widowControl w:val="0"/>
              <w:ind w:right="0"/>
              <w:jc w:val="both"/>
            </w:pPr>
            <w:r w:rsidRPr="00474E36">
              <w:t>The data reported for 201</w:t>
            </w:r>
            <w:r>
              <w:t>1</w:t>
            </w:r>
            <w:r w:rsidRPr="00474E36">
              <w:t>–1</w:t>
            </w:r>
            <w:r>
              <w:t>2</w:t>
            </w:r>
            <w:r w:rsidRPr="00474E36">
              <w:t xml:space="preserve"> are consistent with data reported for the NPHED for previous years for individual hospitals. </w:t>
            </w:r>
          </w:p>
          <w:p w:rsidR="00950E2C" w:rsidRPr="00474E36" w:rsidRDefault="00950E2C" w:rsidP="00B04C80">
            <w:pPr>
              <w:pStyle w:val="TableBodyText"/>
              <w:keepNext w:val="0"/>
              <w:keepLines w:val="0"/>
              <w:widowControl w:val="0"/>
              <w:ind w:right="0"/>
              <w:jc w:val="both"/>
            </w:pPr>
            <w:r w:rsidRPr="00474E36">
              <w:t xml:space="preserve">Time series presentations may be affected by changes in the number of hospitals reported to the collection and changes in admission practices. </w:t>
            </w:r>
          </w:p>
          <w:p w:rsidR="00950E2C" w:rsidRPr="00E00AD6" w:rsidRDefault="00950E2C" w:rsidP="00B04C80">
            <w:pPr>
              <w:pStyle w:val="TableBodyText"/>
              <w:keepNext w:val="0"/>
              <w:keepLines w:val="0"/>
              <w:widowControl w:val="0"/>
              <w:ind w:right="0"/>
              <w:jc w:val="both"/>
            </w:pPr>
            <w:r w:rsidRPr="00474E36">
              <w:t>Changes in administrative and/or reporting practices for hospitals, changes in accounting practices for financial data, and changes in counting practices can affect comparisons over time.</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950E2C" w:rsidRDefault="00950E2C" w:rsidP="00B04C80">
            <w:pPr>
              <w:pStyle w:val="TableBodyText"/>
              <w:keepNext w:val="0"/>
              <w:keepLines w:val="0"/>
              <w:widowControl w:val="0"/>
              <w:jc w:val="both"/>
            </w:pPr>
            <w:r>
              <w:t>The AIHW provides a variety of products that draw upon the NHMD and the NPHED. Published products available on the AIHW website include:</w:t>
            </w:r>
          </w:p>
          <w:p w:rsidR="00950E2C" w:rsidRDefault="00950E2C" w:rsidP="00CE22FE">
            <w:pPr>
              <w:pStyle w:val="TableBullet"/>
            </w:pPr>
            <w:r w:rsidRPr="002B0257">
              <w:t>Australian hospital statistics with associated Excel tables</w:t>
            </w:r>
          </w:p>
          <w:p w:rsidR="00950E2C" w:rsidRPr="002B0257" w:rsidRDefault="00950E2C" w:rsidP="00CE22FE">
            <w:pPr>
              <w:pStyle w:val="TableBullet"/>
            </w:pPr>
            <w:r w:rsidRPr="002B0257">
              <w:t>Interactive data cubes for Public hospital establishments.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950E2C" w:rsidRPr="00184B37" w:rsidRDefault="00950E2C" w:rsidP="00B04C80">
            <w:pPr>
              <w:pStyle w:val="TableBodyText"/>
              <w:keepNext w:val="0"/>
              <w:keepLines w:val="0"/>
              <w:widowControl w:val="0"/>
              <w:jc w:val="both"/>
              <w:rPr>
                <w:color w:val="000000"/>
              </w:rPr>
            </w:pPr>
            <w:r w:rsidRPr="00E008FF">
              <w:t xml:space="preserve">Supporting information on the quality and use of the NPHED are published annually in </w:t>
            </w:r>
            <w:r w:rsidRPr="00E008FF">
              <w:rPr>
                <w:i/>
              </w:rPr>
              <w:t>Australian hospital statistics</w:t>
            </w:r>
            <w:r w:rsidRPr="00E008FF">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NMDS for Public hospital establishments and Admitted patient care are published in the AIHW’s online metadata repository — METeOR, and the National health data dictionary.</w:t>
            </w:r>
          </w:p>
        </w:tc>
      </w:tr>
      <w:tr w:rsidR="00950E2C" w:rsidRPr="003846CE" w:rsidTr="009F4002">
        <w:tc>
          <w:tcPr>
            <w:tcW w:w="8789" w:type="dxa"/>
            <w:gridSpan w:val="2"/>
            <w:vAlign w:val="bottom"/>
          </w:tcPr>
          <w:p w:rsidR="00950E2C" w:rsidRDefault="00950E2C" w:rsidP="00B04C80">
            <w:pPr>
              <w:widowControl w:val="0"/>
              <w:spacing w:after="40" w:line="200" w:lineRule="atLeast"/>
              <w:ind w:left="6" w:right="113"/>
              <w:jc w:val="both"/>
              <w:rPr>
                <w:rFonts w:ascii="Arial" w:hAnsi="Arial"/>
                <w:b/>
                <w:color w:val="000000"/>
                <w:sz w:val="18"/>
                <w:szCs w:val="20"/>
              </w:rPr>
            </w:pPr>
          </w:p>
          <w:p w:rsidR="00950E2C" w:rsidRPr="003846CE" w:rsidRDefault="00950E2C" w:rsidP="00B04C80">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lastRenderedPageBreak/>
              <w:t>Data Gaps/Issues Analysis</w:t>
            </w:r>
          </w:p>
        </w:tc>
      </w:tr>
      <w:tr w:rsidR="00950E2C" w:rsidRPr="003846CE" w:rsidTr="009F4002">
        <w:tc>
          <w:tcPr>
            <w:tcW w:w="1620" w:type="dxa"/>
          </w:tcPr>
          <w:p w:rsidR="00950E2C" w:rsidRPr="003846CE" w:rsidRDefault="00950E2C" w:rsidP="00B04C80">
            <w:pPr>
              <w:widowControl w:val="0"/>
              <w:spacing w:after="40" w:line="200" w:lineRule="atLeast"/>
              <w:ind w:left="6" w:right="113"/>
              <w:rPr>
                <w:rFonts w:ascii="Arial" w:hAnsi="Arial"/>
                <w:b/>
                <w:sz w:val="18"/>
                <w:szCs w:val="20"/>
              </w:rPr>
            </w:pPr>
            <w:r w:rsidRPr="007D0D79">
              <w:rPr>
                <w:rFonts w:ascii="Arial" w:hAnsi="Arial"/>
                <w:b/>
                <w:sz w:val="18"/>
                <w:szCs w:val="20"/>
              </w:rPr>
              <w:lastRenderedPageBreak/>
              <w:t>Key data gaps/issues</w:t>
            </w:r>
          </w:p>
        </w:tc>
        <w:tc>
          <w:tcPr>
            <w:tcW w:w="7169" w:type="dxa"/>
          </w:tcPr>
          <w:p w:rsidR="00950E2C" w:rsidRPr="00E00AD6" w:rsidRDefault="00950E2C" w:rsidP="00B04C80">
            <w:pPr>
              <w:pStyle w:val="TableBodyText"/>
              <w:keepNext w:val="0"/>
              <w:keepLines w:val="0"/>
              <w:widowControl w:val="0"/>
              <w:jc w:val="both"/>
            </w:pPr>
            <w:r w:rsidRPr="00E00AD6">
              <w:t>The Steering Committee notes the following key data gaps/issues:</w:t>
            </w:r>
          </w:p>
          <w:p w:rsidR="00950E2C" w:rsidRDefault="00950E2C" w:rsidP="00B04C80">
            <w:pPr>
              <w:pStyle w:val="TableBodyText"/>
              <w:keepNext w:val="0"/>
              <w:keepLines w:val="0"/>
              <w:widowControl w:val="0"/>
              <w:ind w:right="0"/>
              <w:jc w:val="both"/>
            </w:pPr>
            <w:r w:rsidRPr="003362FE">
              <w:t>The comparability of accreditation data among states and territories is limited because of the voluntary nature of participation in award schemes for hospitals in some jurisdictions. As accreditation for public hospitals was counted as at 30 June 2011, hospitals that were accredited for the majority of the financial year, but had their accreditation status lapse shortly before this date, would have been counted as non-accredited.</w:t>
            </w:r>
          </w:p>
          <w:p w:rsidR="00950E2C" w:rsidRPr="00E00AD6" w:rsidRDefault="00950E2C" w:rsidP="00265281">
            <w:pPr>
              <w:pStyle w:val="TableBodyText"/>
              <w:keepNext w:val="0"/>
              <w:keepLines w:val="0"/>
              <w:widowControl w:val="0"/>
              <w:ind w:right="0"/>
              <w:jc w:val="both"/>
            </w:pPr>
            <w:r>
              <w:t>It is not possible to draw conclusions about the quality of care in those hospitals that do not have ‘accreditation’</w:t>
            </w:r>
            <w:r w:rsidRPr="00924367">
              <w:t xml:space="preserve">. </w:t>
            </w:r>
            <w:r w:rsidR="00265281" w:rsidRPr="00924367">
              <w:t>Until 1 January 2013 public hospital accreditation was voluntary in all jurisdictions except Victoria and Queensland, where it was mandatory for all public hospitals (excluding those in Victoria that provide only dental or mothercraft services and those in Queensland that do not routinely admit patients).</w:t>
            </w:r>
          </w:p>
        </w:tc>
      </w:tr>
    </w:tbl>
    <w:p w:rsidR="0090363E" w:rsidRDefault="00B33A69" w:rsidP="0090363E">
      <w:pPr>
        <w:pStyle w:val="Heading3"/>
      </w:pPr>
      <w:bookmarkStart w:id="8" w:name="_Toc401912926"/>
      <w:r>
        <w:t>Adverse events in public hospitals</w:t>
      </w:r>
      <w:bookmarkEnd w:id="8"/>
    </w:p>
    <w:p w:rsidR="0090363E" w:rsidRDefault="00253741" w:rsidP="0090363E">
      <w:pPr>
        <w:pStyle w:val="BodyText"/>
      </w:pPr>
      <w:r w:rsidRPr="00253741">
        <w:t>Data quality information for this indicator has been sourced from the AIHW with additional Steering Committee comments.</w:t>
      </w:r>
    </w:p>
    <w:p w:rsidR="00B33A69" w:rsidRDefault="00B33A69" w:rsidP="00B33A69">
      <w:pPr>
        <w:pStyle w:val="Heading4"/>
      </w:pPr>
      <w:r>
        <w:t>Healthcare-associated infections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7D0D79" w:rsidRPr="00925743" w:rsidRDefault="007D0D79" w:rsidP="00DB1A3A">
            <w:pPr>
              <w:widowControl w:val="0"/>
              <w:spacing w:after="40" w:line="200" w:lineRule="atLeast"/>
              <w:ind w:left="6" w:right="113"/>
              <w:jc w:val="both"/>
              <w:rPr>
                <w:rFonts w:asciiTheme="minorHAnsi" w:hAnsiTheme="minorHAnsi" w:cstheme="minorHAnsi"/>
                <w:b/>
                <w:sz w:val="18"/>
                <w:szCs w:val="18"/>
              </w:rPr>
            </w:pPr>
          </w:p>
          <w:p w:rsidR="007D0D79" w:rsidRPr="00925743" w:rsidRDefault="007D0D79" w:rsidP="00DB1A3A">
            <w:pPr>
              <w:widowControl w:val="0"/>
              <w:spacing w:after="40" w:line="200" w:lineRule="atLeast"/>
              <w:ind w:left="6" w:right="113"/>
              <w:jc w:val="both"/>
              <w:rPr>
                <w:rFonts w:asciiTheme="minorHAnsi" w:hAnsiTheme="minorHAnsi" w:cstheme="minorHAnsi"/>
                <w:b/>
                <w:sz w:val="18"/>
                <w:szCs w:val="18"/>
                <w:u w:val="single"/>
              </w:rPr>
            </w:pPr>
            <w:r w:rsidRPr="00925743">
              <w:rPr>
                <w:rFonts w:asciiTheme="minorHAnsi" w:hAnsiTheme="minorHAnsi" w:cstheme="minorHAnsi"/>
                <w:b/>
                <w:sz w:val="18"/>
                <w:szCs w:val="18"/>
                <w:u w:val="single"/>
              </w:rPr>
              <w:t>Indicator definition and description</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Element</w:t>
            </w:r>
          </w:p>
        </w:tc>
        <w:tc>
          <w:tcPr>
            <w:tcW w:w="7169" w:type="dxa"/>
          </w:tcPr>
          <w:p w:rsidR="00950E2C" w:rsidRPr="00925743" w:rsidRDefault="00950E2C"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Effectiveness — quality/safety </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Indicator</w:t>
            </w:r>
          </w:p>
        </w:tc>
        <w:tc>
          <w:tcPr>
            <w:tcW w:w="7169" w:type="dxa"/>
          </w:tcPr>
          <w:p w:rsidR="00950E2C" w:rsidRPr="00925743" w:rsidRDefault="00614760"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Adverse events in public hospitals — </w:t>
            </w:r>
            <w:r w:rsidR="00950E2C" w:rsidRPr="00925743">
              <w:rPr>
                <w:rFonts w:asciiTheme="minorHAnsi" w:hAnsiTheme="minorHAnsi" w:cstheme="minorHAnsi"/>
                <w:szCs w:val="18"/>
              </w:rPr>
              <w:t xml:space="preserve">Healthcare-associated </w:t>
            </w:r>
            <w:r w:rsidR="00950E2C" w:rsidRPr="00925743">
              <w:rPr>
                <w:rFonts w:asciiTheme="minorHAnsi" w:hAnsiTheme="minorHAnsi" w:cstheme="minorHAnsi"/>
                <w:i/>
                <w:szCs w:val="18"/>
              </w:rPr>
              <w:t>infections</w:t>
            </w:r>
            <w:r w:rsidR="00950E2C" w:rsidRPr="00925743">
              <w:rPr>
                <w:rFonts w:asciiTheme="minorHAnsi" w:hAnsiTheme="minorHAnsi" w:cstheme="minorHAnsi"/>
                <w:szCs w:val="18"/>
              </w:rPr>
              <w:t>.</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Measure</w:t>
            </w:r>
          </w:p>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(computation</w:t>
            </w:r>
          </w:p>
        </w:tc>
        <w:tc>
          <w:tcPr>
            <w:tcW w:w="7169" w:type="dxa"/>
          </w:tcPr>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SAB patient episodes (as defined below) associated with acute care public hospitals. </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Patient episodes associated with care provided by private hospitals and non-hospital healthcare are excluded.</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The definition of an acute public hospital is ‘all public hospitals including those hospitals defined as public psychiatric hospitals in the Public Hospital Establishments NMDS’. </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All types of public hospitals are included, both those focusing on acute care, and those focusing on non-acute or sub-acute care, including psychiatric, rehabilitation and palliative care.</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Unqualified newborns are included in the indicator.  Hospital boarders and posthumous organ procurement are excluded from the indicator.</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A patient episode of SAB is defined as a positive blood culture for </w:t>
            </w:r>
            <w:r w:rsidRPr="00925743">
              <w:rPr>
                <w:rFonts w:asciiTheme="minorHAnsi" w:hAnsiTheme="minorHAnsi" w:cstheme="minorHAnsi"/>
                <w:i/>
                <w:szCs w:val="18"/>
              </w:rPr>
              <w:t>Staphylococcus aureus</w:t>
            </w:r>
            <w:r w:rsidRPr="00925743">
              <w:rPr>
                <w:rFonts w:asciiTheme="minorHAnsi" w:hAnsiTheme="minorHAnsi" w:cstheme="minorHAnsi"/>
                <w:szCs w:val="18"/>
              </w:rPr>
              <w:t xml:space="preserve">. For surveillance purposes, only the first isolate per patient is counted, unless at least 14 days has passed without a positive blood culture, after which an additional episode is recorded. </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A </w:t>
            </w:r>
            <w:r w:rsidRPr="00925743">
              <w:rPr>
                <w:rFonts w:asciiTheme="minorHAnsi" w:hAnsiTheme="minorHAnsi" w:cstheme="minorHAnsi"/>
                <w:i/>
                <w:szCs w:val="18"/>
              </w:rPr>
              <w:t>Staphylococcus aureus</w:t>
            </w:r>
            <w:r w:rsidRPr="00925743">
              <w:rPr>
                <w:rFonts w:asciiTheme="minorHAnsi" w:hAnsiTheme="minorHAnsi" w:cstheme="minorHAnsi"/>
                <w:szCs w:val="18"/>
              </w:rPr>
              <w:t xml:space="preserve"> bacteraemia will be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patient-episode of SAB:</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1. SAB is a complication of the presence of an indwelling medical device (e.g. intravascular line, haemodialysis vascular access, CSF shunt, urinary catheter)</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2. SAB occurs within 30 days of a surgical procedure where the SAB is related to the surgical site</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3. An invasive instrumentation or incision related to the SAB was performed within 48 hours</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4. SAB is associated with neutropenia (&lt;1 x 10</w:t>
            </w:r>
            <w:r w:rsidRPr="00925743">
              <w:rPr>
                <w:rFonts w:asciiTheme="minorHAnsi" w:hAnsiTheme="minorHAnsi" w:cstheme="minorHAnsi"/>
                <w:szCs w:val="18"/>
                <w:vertAlign w:val="superscript"/>
              </w:rPr>
              <w:t>9</w:t>
            </w:r>
            <w:r w:rsidRPr="00925743">
              <w:rPr>
                <w:rFonts w:asciiTheme="minorHAnsi" w:hAnsiTheme="minorHAnsi" w:cstheme="minorHAnsi"/>
                <w:szCs w:val="18"/>
              </w:rPr>
              <w:t>) contributed to by cytotoxic therapy</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This definition of a patient episode of SAB was agreed by all states and territories and used by all states and territories for reporting for 2010-11 and subsequent years.</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The </w:t>
            </w:r>
            <w:r w:rsidRPr="00925743">
              <w:rPr>
                <w:rFonts w:asciiTheme="minorHAnsi" w:hAnsiTheme="minorHAnsi" w:cstheme="minorHAnsi"/>
                <w:i/>
                <w:szCs w:val="18"/>
              </w:rPr>
              <w:t>denominator</w:t>
            </w:r>
            <w:r w:rsidRPr="00925743">
              <w:rPr>
                <w:rFonts w:asciiTheme="minorHAnsi" w:hAnsiTheme="minorHAnsi" w:cstheme="minorHAnsi"/>
                <w:szCs w:val="18"/>
              </w:rPr>
              <w:t xml:space="preserve"> is number of patient days for public acute care hospitals (only for hospitals included in the surveillance arrangements).</w:t>
            </w:r>
          </w:p>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i/>
                <w:szCs w:val="18"/>
              </w:rPr>
              <w:t>Calculation</w:t>
            </w:r>
            <w:r w:rsidRPr="00925743">
              <w:rPr>
                <w:rFonts w:asciiTheme="minorHAnsi" w:hAnsiTheme="minorHAnsi" w:cstheme="minorHAnsi"/>
                <w:szCs w:val="18"/>
              </w:rPr>
              <w:t xml:space="preserve"> is 10 000 × (Numerator ÷ Denominator), presented as a number per </w:t>
            </w:r>
            <w:r w:rsidRPr="00925743">
              <w:rPr>
                <w:rFonts w:asciiTheme="minorHAnsi" w:hAnsiTheme="minorHAnsi" w:cstheme="minorHAnsi"/>
                <w:szCs w:val="18"/>
              </w:rPr>
              <w:lastRenderedPageBreak/>
              <w:t>10 000 and number only.</w:t>
            </w:r>
          </w:p>
          <w:p w:rsidR="00950E2C"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i/>
                <w:szCs w:val="18"/>
              </w:rPr>
              <w:t>Coverage</w:t>
            </w:r>
            <w:r w:rsidRPr="00925743">
              <w:rPr>
                <w:rFonts w:asciiTheme="minorHAnsi" w:hAnsiTheme="minorHAnsi" w:cstheme="minorHAnsi"/>
                <w:szCs w:val="18"/>
              </w:rPr>
              <w:t>: Denominator ÷ Number of patient days for all public hospitals in the State or Territory.</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lastRenderedPageBreak/>
              <w:t>Data source/s</w:t>
            </w:r>
          </w:p>
        </w:tc>
        <w:tc>
          <w:tcPr>
            <w:tcW w:w="7169" w:type="dxa"/>
          </w:tcPr>
          <w:p w:rsidR="00925743"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i/>
                <w:szCs w:val="18"/>
              </w:rPr>
              <w:t>Numerator</w:t>
            </w:r>
            <w:r w:rsidRPr="00925743">
              <w:rPr>
                <w:rFonts w:asciiTheme="minorHAnsi" w:hAnsiTheme="minorHAnsi" w:cstheme="minorHAnsi"/>
                <w:szCs w:val="18"/>
              </w:rPr>
              <w:t>: State and Territory healthcare-associated infection surveillance data.</w:t>
            </w:r>
          </w:p>
          <w:p w:rsidR="00950E2C"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i/>
                <w:szCs w:val="18"/>
              </w:rPr>
              <w:t>Denominator</w:t>
            </w:r>
            <w:r w:rsidRPr="00925743">
              <w:rPr>
                <w:rFonts w:asciiTheme="minorHAnsi" w:hAnsiTheme="minorHAnsi" w:cstheme="minorHAnsi"/>
                <w:szCs w:val="18"/>
              </w:rPr>
              <w:t>: State and Territory admitted patient data.</w:t>
            </w:r>
          </w:p>
        </w:tc>
      </w:tr>
      <w:tr w:rsidR="003A7941" w:rsidRPr="003A7941" w:rsidTr="009F4002">
        <w:tc>
          <w:tcPr>
            <w:tcW w:w="8789" w:type="dxa"/>
            <w:gridSpan w:val="2"/>
            <w:vAlign w:val="bottom"/>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925743">
              <w:rPr>
                <w:rFonts w:asciiTheme="minorHAnsi" w:hAnsiTheme="minorHAnsi" w:cstheme="minorHAnsi"/>
                <w:b/>
                <w:sz w:val="18"/>
                <w:szCs w:val="18"/>
                <w:u w:val="single"/>
              </w:rPr>
              <w:t>Data Quality Framework Dimensions</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Institutional environment</w:t>
            </w:r>
          </w:p>
        </w:tc>
        <w:tc>
          <w:tcPr>
            <w:tcW w:w="7169" w:type="dxa"/>
            <w:shd w:val="clear" w:color="auto" w:fill="auto"/>
          </w:tcPr>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The Australian Institute of Health and Welfare (AIHW) calculated the indicator from data provided by states and territories. </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The AIHW is an independent statutory authority within the Health portfolio, which is accountable to the Parliament of Australia through the Minister. For further information see the AIHW website.</w:t>
            </w:r>
          </w:p>
          <w:p w:rsidR="00950E2C" w:rsidRPr="00925743" w:rsidRDefault="00925743" w:rsidP="00DB1A3A">
            <w:pPr>
              <w:pStyle w:val="TableBodyText"/>
              <w:jc w:val="both"/>
              <w:rPr>
                <w:rFonts w:asciiTheme="minorHAnsi" w:hAnsiTheme="minorHAnsi" w:cstheme="minorHAnsi"/>
                <w:szCs w:val="18"/>
              </w:rPr>
            </w:pPr>
            <w:r w:rsidRPr="00925743">
              <w:rPr>
                <w:rFonts w:asciiTheme="minorHAnsi" w:hAnsiTheme="minorHAnsi" w:cstheme="minorHAnsi"/>
                <w:szCs w:val="18"/>
              </w:rPr>
              <w:t>The data supplied by the states and territories were collected from hospitals through the healthcare associated infection surveillance programs run by the states and territories. The arrangements for the collection of data by hospitals and the reporting to State and Territory health authorities vary among the jurisdictions. </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Relevance</w:t>
            </w:r>
          </w:p>
        </w:tc>
        <w:tc>
          <w:tcPr>
            <w:tcW w:w="7169" w:type="dxa"/>
            <w:shd w:val="clear" w:color="auto" w:fill="auto"/>
          </w:tcPr>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This indicator is for patient episodes of SAB acquired, diagnosed and treated in public acute care hospitals. The definition of a public acute care hospital is ‘all public hospitals including those hospitals defined as public psychiatric hospitals in the Public Hospital Establishments NMDS’. All types of public hospitals are included, both those focusing on acute care, and those focusing on non-acute or sub-acute care, including psychiatric, rehabilitation and palliative care. The provision of ‘acute’ services varies among jurisdictions, so it is not possible to exclude ‘non-acute’ hospitals from the indicator in a way that would be uniform among the states and territories. Therefore all public hospitals have been included in the scope of the indicator so that the same approach is taken for each State and Territory. </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The SAB patient episodes reported were associated with both admitted patient care and with non-admitted patient care (including emergency departments and outpatient clinics). No denominator is available to describe the total admitted and non-admitted patient activity of public hospitals. However, the number of patient days for admitted patient activity is used as the denominator to take into account the large differences between the sizes of the public hospital sectors among the jurisdictions. The accuracy and comparability of the SAB rates among jurisdictions and over time is limited because the count of patient days reflects the amount of admitted patient activity, but does not reflect the amount of non-admitted patient activity. The amount of hospital activity that patient days reflect varies among jurisdictions and over time because of variation in admission practices.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In 2012, the scope of the indicator was revised to include unqualified newborns. Data reported for 2010-11 and subsequent years include unqualified newborns.  It is not possible to backcast the data for earlier years.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Only patient episodes associated with public acute care hospitals in each jurisdiction are counted. If a case is associated with care provided in another jurisdiction then it may be reported (where known) by the jurisdiction where the care associated with the SAB occurred.</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Almost all patient episodes of SAB will be diagnosed when the patient is an admitted patient. However, the intention is that patient episodes are reported whether they were determined to be associated with admitted patient care or non-admitted patient care in public acute care hospitals.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The data presented have not been adjusted for any differences in case-mix between the states and territories.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Analysis by state/territory is based on the location of the hospital.</w:t>
            </w:r>
          </w:p>
          <w:p w:rsidR="00950E2C" w:rsidRPr="00925743" w:rsidRDefault="00925743" w:rsidP="00DB1A3A">
            <w:pPr>
              <w:pStyle w:val="TableBodyText"/>
              <w:keepNext w:val="0"/>
              <w:keepLines w:val="0"/>
              <w:widowControl w:val="0"/>
              <w:jc w:val="both"/>
              <w:rPr>
                <w:rFonts w:asciiTheme="minorHAnsi" w:hAnsiTheme="minorHAnsi" w:cstheme="minorHAnsi"/>
                <w:szCs w:val="18"/>
              </w:rPr>
            </w:pPr>
            <w:r w:rsidRPr="00925743">
              <w:rPr>
                <w:rFonts w:asciiTheme="minorHAnsi" w:hAnsiTheme="minorHAnsi" w:cstheme="minorHAnsi"/>
                <w:szCs w:val="18"/>
              </w:rPr>
              <w:t>No denominator is available to describe the total admitted and non-admitted patient activity of public hospitals.  However, the number of patient days for admitted patient activity is used as the denominator to take into account the large differences between the sizes of the public hospital sectors among the jurisdictions.  Patient days are used rather than occupied bed days because occupied bed day data were not available for all states and territories and there is no nationally agreed definition for occupied bed days.</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Timeliness</w:t>
            </w:r>
          </w:p>
        </w:tc>
        <w:tc>
          <w:tcPr>
            <w:tcW w:w="7169" w:type="dxa"/>
          </w:tcPr>
          <w:p w:rsidR="00950E2C" w:rsidRPr="00925743" w:rsidRDefault="00925743" w:rsidP="00DB1A3A">
            <w:pPr>
              <w:pStyle w:val="TableBodyText"/>
              <w:keepNext w:val="0"/>
              <w:keepLines w:val="0"/>
              <w:widowControl w:val="0"/>
              <w:jc w:val="both"/>
              <w:rPr>
                <w:rFonts w:asciiTheme="minorHAnsi" w:hAnsiTheme="minorHAnsi" w:cstheme="minorHAnsi"/>
                <w:szCs w:val="18"/>
              </w:rPr>
            </w:pPr>
            <w:r w:rsidRPr="00925743">
              <w:rPr>
                <w:rFonts w:asciiTheme="minorHAnsi" w:hAnsiTheme="minorHAnsi" w:cstheme="minorHAnsi"/>
                <w:szCs w:val="18"/>
              </w:rPr>
              <w:t>The reference period for this data is 2013-14, with revised data provided for 2012-13, 2011-12 and 2010-11.</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Accuracy</w:t>
            </w:r>
          </w:p>
        </w:tc>
        <w:tc>
          <w:tcPr>
            <w:tcW w:w="7169" w:type="dxa"/>
          </w:tcPr>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For some states and territories there is less than 100 percent coverage of public hospitals. For those jurisdictions with incomplete coverage of public hospitals (in the numerator), only patient days for those hospitals (or parts of hospitals) that contribute </w:t>
            </w:r>
            <w:r w:rsidRPr="00925743">
              <w:rPr>
                <w:rFonts w:asciiTheme="minorHAnsi" w:hAnsiTheme="minorHAnsi" w:cstheme="minorHAnsi"/>
                <w:sz w:val="18"/>
                <w:szCs w:val="18"/>
              </w:rPr>
              <w:lastRenderedPageBreak/>
              <w:t>data are included (in the denominator). Differences in the types of hospitals not included may impact on the accuracy and comparability of rates.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For 2010-11 and previous years, data for Queensland include only patients aged 14 years and over. </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Sometimes it is difficult to determine if a case of SAB is associated with care provided by a particular hospital. Counts therefore may not be precise where cases are incorrectly included or excluded. However, it is likely that the number of cases incorrectly included or excluded would be small.</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It is possible that there will be less risk of SAB in hospitals not included in the SAB surveillance arrangements, especially if such hospitals undertake fewer invasive procedures than those hospitals which are included. </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There may be imprecise exclusion of private hospital and non-hospital patient episodes due to the inherent difficulties in determining the origins of SAB episodes.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For 2010-11 and subsequent years, all states and territories used the definition of SAB patient episodes associated with acute care public hospitals as defined above.  </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The patient day data may be preliminary for some hospitals/jurisdictions.</w:t>
            </w:r>
          </w:p>
          <w:p w:rsidR="00925743" w:rsidRPr="00925743" w:rsidRDefault="00E8429E" w:rsidP="00DB1A3A">
            <w:pPr>
              <w:pStyle w:val="AIHWbodytext"/>
              <w:jc w:val="both"/>
              <w:rPr>
                <w:rFonts w:asciiTheme="minorHAnsi" w:hAnsiTheme="minorHAnsi" w:cstheme="minorHAnsi"/>
                <w:sz w:val="18"/>
                <w:szCs w:val="18"/>
                <w:lang w:eastAsia="en-AU"/>
              </w:rPr>
            </w:pPr>
            <w:r>
              <w:rPr>
                <w:rFonts w:asciiTheme="minorHAnsi" w:hAnsiTheme="minorHAnsi" w:cstheme="minorHAnsi"/>
                <w:sz w:val="18"/>
                <w:szCs w:val="18"/>
                <w:lang w:eastAsia="en-AU"/>
              </w:rPr>
              <w:t xml:space="preserve">NSW </w:t>
            </w:r>
            <w:r w:rsidR="00925743" w:rsidRPr="00925743">
              <w:rPr>
                <w:rFonts w:asciiTheme="minorHAnsi" w:hAnsiTheme="minorHAnsi" w:cstheme="minorHAnsi"/>
                <w:sz w:val="18"/>
                <w:szCs w:val="18"/>
                <w:lang w:eastAsia="en-AU"/>
              </w:rPr>
              <w:t>does not provide patient day data, but rather occupied bed days.  There may be some difference between patient days and occupied bed days.</w:t>
            </w:r>
          </w:p>
          <w:p w:rsidR="00950E2C" w:rsidRPr="00925743" w:rsidRDefault="00925743" w:rsidP="00DB1A3A">
            <w:pPr>
              <w:pStyle w:val="TableBodyText"/>
              <w:keepNext w:val="0"/>
              <w:keepLines w:val="0"/>
              <w:widowControl w:val="0"/>
              <w:jc w:val="both"/>
              <w:rPr>
                <w:rFonts w:asciiTheme="minorHAnsi" w:hAnsiTheme="minorHAnsi" w:cstheme="minorHAnsi"/>
                <w:szCs w:val="18"/>
              </w:rPr>
            </w:pPr>
            <w:r w:rsidRPr="00925743">
              <w:rPr>
                <w:rFonts w:asciiTheme="minorHAnsi" w:hAnsiTheme="minorHAnsi" w:cstheme="minorHAnsi"/>
                <w:szCs w:val="18"/>
              </w:rPr>
              <w:t>Some states and territories have provided revised data for 2012-13, 2011-12 and 2010-11, thus revised tables for these years provided.</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lastRenderedPageBreak/>
              <w:t>Coherence</w:t>
            </w:r>
          </w:p>
        </w:tc>
        <w:tc>
          <w:tcPr>
            <w:tcW w:w="7169" w:type="dxa"/>
          </w:tcPr>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National data for this indicator were first presented in the 2010 COAG Reform Council report. Since that report further work has been undertaken on data development for this indicator, including the definition of an episode of SAB and a suitable denominator, as well as the coverage of public hospitals. The most recent work in 2012 was to revise the scope of the indicator to include unqualified newborns. Data reported for 2010-11 and subsequent years include unqualified newborns.  It is not possible to backcast the data for earlier years. Data for 2013-14, 2012-13, 2011-12 and 2010-11 are therefore not comparable with data for previous years.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Data for 2010-11 and 2011-12 are comparable, except for Queensland, where the 2010-11 data do not include patients aged 13 years and under, whereas the 2011-12 data include patients of all ages. </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Data for 2011-12, 2012-13 and 2013-14 are comparable. </w:t>
            </w:r>
          </w:p>
          <w:p w:rsidR="00925743" w:rsidRPr="00925743" w:rsidRDefault="00E8429E" w:rsidP="00DB1A3A">
            <w:pPr>
              <w:pStyle w:val="AIHWbodytext"/>
              <w:jc w:val="both"/>
              <w:rPr>
                <w:rFonts w:asciiTheme="minorHAnsi" w:hAnsiTheme="minorHAnsi" w:cstheme="minorHAnsi"/>
                <w:sz w:val="18"/>
                <w:szCs w:val="18"/>
                <w:lang w:eastAsia="en-AU"/>
              </w:rPr>
            </w:pPr>
            <w:r>
              <w:rPr>
                <w:rFonts w:asciiTheme="minorHAnsi" w:hAnsiTheme="minorHAnsi" w:cstheme="minorHAnsi"/>
                <w:sz w:val="18"/>
                <w:szCs w:val="18"/>
                <w:lang w:eastAsia="en-AU"/>
              </w:rPr>
              <w:t xml:space="preserve">NSW </w:t>
            </w:r>
            <w:r w:rsidR="00925743" w:rsidRPr="00925743">
              <w:rPr>
                <w:rFonts w:asciiTheme="minorHAnsi" w:hAnsiTheme="minorHAnsi" w:cstheme="minorHAnsi"/>
                <w:sz w:val="18"/>
                <w:szCs w:val="18"/>
                <w:lang w:eastAsia="en-AU"/>
              </w:rPr>
              <w:t xml:space="preserve">data for 2010-11, 2011-12, 2012-13 and 2013-14 are not comparable with data from other jurisdictions because </w:t>
            </w:r>
            <w:r>
              <w:rPr>
                <w:rFonts w:asciiTheme="minorHAnsi" w:hAnsiTheme="minorHAnsi" w:cstheme="minorHAnsi"/>
                <w:sz w:val="18"/>
                <w:szCs w:val="18"/>
                <w:lang w:eastAsia="en-AU"/>
              </w:rPr>
              <w:t xml:space="preserve">NSW </w:t>
            </w:r>
            <w:r w:rsidR="00925743" w:rsidRPr="00925743">
              <w:rPr>
                <w:rFonts w:asciiTheme="minorHAnsi" w:hAnsiTheme="minorHAnsi" w:cstheme="minorHAnsi"/>
                <w:sz w:val="18"/>
                <w:szCs w:val="18"/>
                <w:lang w:eastAsia="en-AU"/>
              </w:rPr>
              <w:t>uses occupied bed days, rather than patient days, for calculation of the denominator.</w:t>
            </w:r>
          </w:p>
          <w:p w:rsidR="00925743" w:rsidRPr="00925743" w:rsidRDefault="00E8429E" w:rsidP="00DB1A3A">
            <w:pPr>
              <w:pStyle w:val="AIHWbodytext"/>
              <w:jc w:val="both"/>
              <w:rPr>
                <w:rFonts w:asciiTheme="minorHAnsi" w:hAnsiTheme="minorHAnsi" w:cstheme="minorHAnsi"/>
                <w:sz w:val="18"/>
                <w:szCs w:val="18"/>
                <w:lang w:eastAsia="en-AU"/>
              </w:rPr>
            </w:pPr>
            <w:r>
              <w:rPr>
                <w:rFonts w:asciiTheme="minorHAnsi" w:hAnsiTheme="minorHAnsi" w:cstheme="minorHAnsi"/>
                <w:sz w:val="18"/>
                <w:szCs w:val="18"/>
                <w:lang w:eastAsia="en-AU"/>
              </w:rPr>
              <w:t xml:space="preserve">NSW </w:t>
            </w:r>
            <w:r w:rsidR="00925743" w:rsidRPr="00925743">
              <w:rPr>
                <w:rFonts w:asciiTheme="minorHAnsi" w:hAnsiTheme="minorHAnsi" w:cstheme="minorHAnsi"/>
                <w:sz w:val="18"/>
                <w:szCs w:val="18"/>
                <w:lang w:eastAsia="en-AU"/>
              </w:rPr>
              <w:t>data are included in Australian totals for 2010-11, 2011-12, 2012-13 and 2013-14 because it is expected that at the national level the use of occupied bed days, rather than patient days, for NSW is unlikely to create a marked difference in the Australian data.</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As 2008-09 data were provided prior to the development of agreed national definitions, by only five jurisdictions, and was limited to principal referral and large hospitals, these data are not comparable with 2009-10 data, except for Tasmania.</w:t>
            </w:r>
          </w:p>
          <w:p w:rsidR="00950E2C" w:rsidRPr="00925743" w:rsidRDefault="00925743" w:rsidP="00DB1A3A">
            <w:pPr>
              <w:pStyle w:val="TableBodyText"/>
              <w:keepNext w:val="0"/>
              <w:keepLines w:val="0"/>
              <w:widowControl w:val="0"/>
              <w:spacing w:before="80" w:line="240" w:lineRule="auto"/>
              <w:ind w:left="0" w:right="0"/>
              <w:jc w:val="both"/>
              <w:rPr>
                <w:rFonts w:asciiTheme="minorHAnsi" w:hAnsiTheme="minorHAnsi" w:cstheme="minorHAnsi"/>
                <w:szCs w:val="18"/>
              </w:rPr>
            </w:pPr>
            <w:r w:rsidRPr="00925743">
              <w:rPr>
                <w:rFonts w:asciiTheme="minorHAnsi" w:hAnsiTheme="minorHAnsi" w:cstheme="minorHAnsi"/>
                <w:szCs w:val="18"/>
              </w:rPr>
              <w:t>Some jurisdictions have previously published related data (see Accessibility above).</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Accessibility</w:t>
            </w:r>
          </w:p>
        </w:tc>
        <w:tc>
          <w:tcPr>
            <w:tcW w:w="7169" w:type="dxa"/>
          </w:tcPr>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The following states and territories publish data relating to healthcare-associated SAB in various report formats on their websites:</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New South Wales: </w:t>
            </w:r>
            <w:r w:rsidRPr="00925743">
              <w:rPr>
                <w:rFonts w:asciiTheme="minorHAnsi" w:hAnsiTheme="minorHAnsi" w:cstheme="minorHAnsi"/>
                <w:i/>
                <w:sz w:val="18"/>
                <w:szCs w:val="18"/>
              </w:rPr>
              <w:t>Your Health Service</w:t>
            </w:r>
            <w:r w:rsidRPr="00925743">
              <w:rPr>
                <w:rFonts w:asciiTheme="minorHAnsi" w:hAnsiTheme="minorHAnsi" w:cstheme="minorHAnsi"/>
                <w:sz w:val="18"/>
                <w:szCs w:val="18"/>
              </w:rPr>
              <w:t xml:space="preserve"> public website reports SAB by individual hospital.</w:t>
            </w:r>
          </w:p>
          <w:p w:rsidR="00925743" w:rsidRPr="00925743" w:rsidRDefault="00925743" w:rsidP="00DB1A3A">
            <w:pPr>
              <w:jc w:val="both"/>
              <w:rPr>
                <w:rFonts w:asciiTheme="minorHAnsi" w:hAnsiTheme="minorHAnsi" w:cstheme="minorHAnsi"/>
                <w:sz w:val="18"/>
                <w:szCs w:val="18"/>
              </w:rPr>
            </w:pPr>
            <w:r w:rsidRPr="001E5CC7">
              <w:rPr>
                <w:rFonts w:asciiTheme="minorHAnsi" w:hAnsiTheme="minorHAnsi" w:cstheme="minorHAnsi"/>
                <w:sz w:val="18"/>
                <w:szCs w:val="18"/>
              </w:rPr>
              <w:t>http://www.health.nsw.gov.au/hospitals/search.asp</w:t>
            </w:r>
            <w:r w:rsidRPr="00925743">
              <w:rPr>
                <w:rFonts w:asciiTheme="minorHAnsi" w:hAnsiTheme="minorHAnsi" w:cstheme="minorHAnsi"/>
                <w:sz w:val="18"/>
                <w:szCs w:val="18"/>
              </w:rPr>
              <w:t xml:space="preserve">  </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 xml:space="preserve">New South Wales: </w:t>
            </w:r>
            <w:r w:rsidRPr="00925743">
              <w:rPr>
                <w:rFonts w:asciiTheme="minorHAnsi" w:hAnsiTheme="minorHAnsi" w:cstheme="minorHAnsi"/>
                <w:i/>
                <w:sz w:val="18"/>
                <w:szCs w:val="18"/>
              </w:rPr>
              <w:t>Healthcare associated infections reporting</w:t>
            </w:r>
            <w:r w:rsidRPr="00925743">
              <w:rPr>
                <w:rFonts w:asciiTheme="minorHAnsi" w:hAnsiTheme="minorHAnsi" w:cstheme="minorHAnsi"/>
                <w:sz w:val="18"/>
                <w:szCs w:val="18"/>
              </w:rPr>
              <w:t xml:space="preserve"> for 8 infection indicators by state.</w:t>
            </w:r>
          </w:p>
          <w:p w:rsidR="00925743" w:rsidRPr="00925743" w:rsidRDefault="00925743" w:rsidP="00DB1A3A">
            <w:pPr>
              <w:jc w:val="both"/>
              <w:rPr>
                <w:rFonts w:asciiTheme="minorHAnsi" w:hAnsiTheme="minorHAnsi" w:cstheme="minorHAnsi"/>
                <w:sz w:val="18"/>
                <w:szCs w:val="18"/>
              </w:rPr>
            </w:pPr>
            <w:r w:rsidRPr="001E5CC7">
              <w:rPr>
                <w:rFonts w:asciiTheme="minorHAnsi" w:hAnsiTheme="minorHAnsi" w:cstheme="minorHAnsi"/>
                <w:sz w:val="18"/>
                <w:szCs w:val="18"/>
              </w:rPr>
              <w:t>http://www.health.nsw.gov.au/professionals/hai/Documents/HAI-data-collection-report-2014.pdf</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Queensland: Queensland Health Hospital Performance website:</w:t>
            </w:r>
          </w:p>
          <w:p w:rsidR="00925743" w:rsidRPr="00925743" w:rsidRDefault="00925743" w:rsidP="00DB1A3A">
            <w:pPr>
              <w:jc w:val="both"/>
              <w:rPr>
                <w:rFonts w:asciiTheme="minorHAnsi" w:hAnsiTheme="minorHAnsi" w:cstheme="minorHAnsi"/>
                <w:sz w:val="18"/>
                <w:szCs w:val="18"/>
              </w:rPr>
            </w:pPr>
            <w:r w:rsidRPr="001E5CC7">
              <w:rPr>
                <w:rFonts w:asciiTheme="minorHAnsi" w:hAnsiTheme="minorHAnsi" w:cstheme="minorHAnsi"/>
                <w:sz w:val="18"/>
                <w:szCs w:val="18"/>
              </w:rPr>
              <w:t>http://www.health.qld.gov.au/performance/default.asp</w:t>
            </w:r>
          </w:p>
          <w:p w:rsidR="00925743" w:rsidRPr="00925743" w:rsidRDefault="00E8429E" w:rsidP="00DB1A3A">
            <w:pPr>
              <w:jc w:val="both"/>
              <w:rPr>
                <w:rFonts w:asciiTheme="minorHAnsi" w:hAnsiTheme="minorHAnsi" w:cstheme="minorHAnsi"/>
                <w:sz w:val="18"/>
                <w:szCs w:val="18"/>
              </w:rPr>
            </w:pPr>
            <w:r>
              <w:rPr>
                <w:rFonts w:asciiTheme="minorHAnsi" w:hAnsiTheme="minorHAnsi" w:cstheme="minorHAnsi"/>
                <w:sz w:val="18"/>
                <w:szCs w:val="18"/>
              </w:rPr>
              <w:t>WA</w:t>
            </w:r>
            <w:r w:rsidR="00925743" w:rsidRPr="00925743">
              <w:rPr>
                <w:rFonts w:asciiTheme="minorHAnsi" w:hAnsiTheme="minorHAnsi" w:cstheme="minorHAnsi"/>
                <w:sz w:val="18"/>
                <w:szCs w:val="18"/>
              </w:rPr>
              <w:t xml:space="preserve">: </w:t>
            </w:r>
            <w:r w:rsidR="00925743" w:rsidRPr="00925743">
              <w:rPr>
                <w:rFonts w:asciiTheme="minorHAnsi" w:hAnsiTheme="minorHAnsi" w:cstheme="minorHAnsi"/>
                <w:i/>
                <w:sz w:val="18"/>
                <w:szCs w:val="18"/>
              </w:rPr>
              <w:t>Healthcare Associated Infection Unit - Annual Report and aggregate reports</w:t>
            </w:r>
            <w:r w:rsidR="00925743" w:rsidRPr="00925743">
              <w:rPr>
                <w:rFonts w:asciiTheme="minorHAnsi" w:hAnsiTheme="minorHAnsi" w:cstheme="minorHAnsi"/>
                <w:sz w:val="18"/>
                <w:szCs w:val="18"/>
              </w:rPr>
              <w:t>.</w:t>
            </w:r>
          </w:p>
          <w:p w:rsidR="00925743" w:rsidRPr="00925743" w:rsidRDefault="00925743" w:rsidP="00DB1A3A">
            <w:pPr>
              <w:jc w:val="both"/>
              <w:rPr>
                <w:rFonts w:asciiTheme="minorHAnsi" w:hAnsiTheme="minorHAnsi" w:cstheme="minorHAnsi"/>
                <w:sz w:val="18"/>
                <w:szCs w:val="18"/>
              </w:rPr>
            </w:pPr>
            <w:r w:rsidRPr="001E5CC7">
              <w:rPr>
                <w:rFonts w:asciiTheme="minorHAnsi" w:hAnsiTheme="minorHAnsi" w:cstheme="minorHAnsi"/>
                <w:sz w:val="18"/>
                <w:szCs w:val="18"/>
              </w:rPr>
              <w:t>http://www.public.health.wa.gov.au/3/455/3/reports__healthcare_associated_infection_unit.pm</w:t>
            </w:r>
            <w:r w:rsidRPr="00925743">
              <w:rPr>
                <w:rFonts w:asciiTheme="minorHAnsi" w:hAnsiTheme="minorHAnsi" w:cstheme="minorHAnsi"/>
                <w:sz w:val="18"/>
                <w:szCs w:val="18"/>
              </w:rPr>
              <w:t xml:space="preserve">   </w:t>
            </w:r>
          </w:p>
          <w:p w:rsidR="00925743" w:rsidRPr="00925743" w:rsidRDefault="00E8429E" w:rsidP="00DB1A3A">
            <w:pPr>
              <w:jc w:val="both"/>
              <w:rPr>
                <w:rFonts w:asciiTheme="minorHAnsi" w:hAnsiTheme="minorHAnsi" w:cstheme="minorHAnsi"/>
                <w:sz w:val="18"/>
                <w:szCs w:val="18"/>
              </w:rPr>
            </w:pPr>
            <w:r>
              <w:rPr>
                <w:rFonts w:asciiTheme="minorHAnsi" w:hAnsiTheme="minorHAnsi" w:cstheme="minorHAnsi"/>
                <w:sz w:val="18"/>
                <w:szCs w:val="18"/>
              </w:rPr>
              <w:t>SA</w:t>
            </w:r>
            <w:r w:rsidR="00925743" w:rsidRPr="00925743">
              <w:rPr>
                <w:rFonts w:asciiTheme="minorHAnsi" w:hAnsiTheme="minorHAnsi" w:cstheme="minorHAnsi"/>
                <w:sz w:val="18"/>
                <w:szCs w:val="18"/>
              </w:rPr>
              <w:t xml:space="preserve">: </w:t>
            </w:r>
            <w:r w:rsidR="00925743" w:rsidRPr="00925743">
              <w:rPr>
                <w:rFonts w:asciiTheme="minorHAnsi" w:hAnsiTheme="minorHAnsi" w:cstheme="minorHAnsi"/>
                <w:i/>
                <w:sz w:val="18"/>
                <w:szCs w:val="18"/>
              </w:rPr>
              <w:t>Healthcare Associated Bloodstream Infection Report</w:t>
            </w:r>
            <w:r w:rsidR="00925743" w:rsidRPr="00925743">
              <w:rPr>
                <w:rFonts w:asciiTheme="minorHAnsi" w:hAnsiTheme="minorHAnsi" w:cstheme="minorHAnsi"/>
                <w:sz w:val="18"/>
                <w:szCs w:val="18"/>
              </w:rPr>
              <w:t>.</w:t>
            </w:r>
          </w:p>
          <w:p w:rsidR="00925743" w:rsidRPr="00925743" w:rsidRDefault="00925743" w:rsidP="00DB1A3A">
            <w:pPr>
              <w:jc w:val="both"/>
              <w:rPr>
                <w:rFonts w:asciiTheme="minorHAnsi" w:hAnsiTheme="minorHAnsi" w:cstheme="minorHAnsi"/>
                <w:sz w:val="18"/>
                <w:szCs w:val="18"/>
              </w:rPr>
            </w:pPr>
            <w:r w:rsidRPr="001E5CC7">
              <w:rPr>
                <w:rFonts w:asciiTheme="minorHAnsi" w:hAnsiTheme="minorHAnsi" w:cstheme="minorHAnsi"/>
                <w:sz w:val="18"/>
                <w:szCs w:val="18"/>
              </w:rPr>
              <w:t>http://www.sahealth.sa.gov.au/wps/wcm/connect/public+content/sa+health+internet/abo</w:t>
            </w:r>
            <w:r w:rsidRPr="001E5CC7">
              <w:rPr>
                <w:rFonts w:asciiTheme="minorHAnsi" w:hAnsiTheme="minorHAnsi" w:cstheme="minorHAnsi"/>
                <w:sz w:val="18"/>
                <w:szCs w:val="18"/>
              </w:rPr>
              <w:lastRenderedPageBreak/>
              <w:t>ut+us/health+statistics/healthcare+infection+statistics/healthcare+infection+statistics?contentIDR=bef94b0042d707bfa38ca3693c255719&amp;useDefaultText=0&amp;useDefaultDesc=1</w:t>
            </w:r>
          </w:p>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Tasmania: Acute public hospitals healthcare associated infection surveillance report.</w:t>
            </w:r>
          </w:p>
          <w:p w:rsidR="00950E2C" w:rsidRPr="00925743" w:rsidRDefault="00925743" w:rsidP="00DB1A3A">
            <w:pPr>
              <w:pStyle w:val="TableBodyText"/>
              <w:keepNext w:val="0"/>
              <w:keepLines w:val="0"/>
              <w:widowControl w:val="0"/>
              <w:jc w:val="both"/>
              <w:rPr>
                <w:rFonts w:asciiTheme="minorHAnsi" w:hAnsiTheme="minorHAnsi" w:cstheme="minorHAnsi"/>
                <w:szCs w:val="18"/>
              </w:rPr>
            </w:pPr>
            <w:r w:rsidRPr="001E5CC7">
              <w:rPr>
                <w:rFonts w:asciiTheme="minorHAnsi" w:hAnsiTheme="minorHAnsi" w:cstheme="minorHAnsi"/>
                <w:szCs w:val="18"/>
              </w:rPr>
              <w:t>http://www.dhhs.tas.gov.au/peh/tasmanian_infection_prevention_and_control_unit/publications_and_guidelines</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lastRenderedPageBreak/>
              <w:t>Interpretability</w:t>
            </w:r>
          </w:p>
        </w:tc>
        <w:tc>
          <w:tcPr>
            <w:tcW w:w="7169" w:type="dxa"/>
          </w:tcPr>
          <w:p w:rsidR="00925743" w:rsidRPr="00925743" w:rsidRDefault="00925743" w:rsidP="00DB1A3A">
            <w:pPr>
              <w:jc w:val="both"/>
              <w:rPr>
                <w:rFonts w:asciiTheme="minorHAnsi" w:hAnsiTheme="minorHAnsi" w:cstheme="minorHAnsi"/>
                <w:sz w:val="18"/>
                <w:szCs w:val="18"/>
              </w:rPr>
            </w:pPr>
            <w:r w:rsidRPr="00925743">
              <w:rPr>
                <w:rFonts w:asciiTheme="minorHAnsi" w:hAnsiTheme="minorHAnsi" w:cstheme="minorHAnsi"/>
                <w:sz w:val="18"/>
                <w:szCs w:val="18"/>
              </w:rPr>
              <w:t>Jurisdictional manuals should be referred to for full details of the definitions used in healthcare-associated infection surveillance.</w:t>
            </w:r>
          </w:p>
          <w:p w:rsidR="00950E2C" w:rsidRPr="00925743" w:rsidRDefault="00925743" w:rsidP="00DB1A3A">
            <w:pPr>
              <w:pStyle w:val="TableBodyText"/>
              <w:keepNext w:val="0"/>
              <w:keepLines w:val="0"/>
              <w:widowControl w:val="0"/>
              <w:jc w:val="both"/>
              <w:rPr>
                <w:rFonts w:asciiTheme="minorHAnsi" w:hAnsiTheme="minorHAnsi" w:cstheme="minorHAnsi"/>
                <w:szCs w:val="18"/>
              </w:rPr>
            </w:pPr>
            <w:r w:rsidRPr="00925743">
              <w:rPr>
                <w:rFonts w:asciiTheme="minorHAnsi" w:hAnsiTheme="minorHAnsi" w:cstheme="minorHAnsi"/>
                <w:szCs w:val="18"/>
              </w:rPr>
              <w:t>Definitions for this indicator are published in the performance indicator specifications.</w:t>
            </w:r>
          </w:p>
        </w:tc>
      </w:tr>
      <w:tr w:rsidR="003A7941" w:rsidRPr="003A7941" w:rsidTr="009F4002">
        <w:tc>
          <w:tcPr>
            <w:tcW w:w="8789" w:type="dxa"/>
            <w:gridSpan w:val="2"/>
            <w:vAlign w:val="bottom"/>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925743">
              <w:rPr>
                <w:rFonts w:asciiTheme="minorHAnsi" w:hAnsiTheme="minorHAnsi" w:cstheme="minorHAnsi"/>
                <w:b/>
                <w:sz w:val="18"/>
                <w:szCs w:val="18"/>
                <w:u w:val="single"/>
              </w:rPr>
              <w:t>Data Gaps/Issues Analysis</w:t>
            </w:r>
          </w:p>
        </w:tc>
      </w:tr>
      <w:tr w:rsidR="003A7941" w:rsidRPr="003A7941" w:rsidTr="009F4002">
        <w:tc>
          <w:tcPr>
            <w:tcW w:w="1620" w:type="dxa"/>
          </w:tcPr>
          <w:p w:rsidR="00950E2C" w:rsidRPr="00925743" w:rsidRDefault="00950E2C" w:rsidP="008B71EE">
            <w:pPr>
              <w:widowControl w:val="0"/>
              <w:spacing w:after="40" w:line="200" w:lineRule="atLeast"/>
              <w:ind w:left="6" w:right="113"/>
              <w:rPr>
                <w:rFonts w:asciiTheme="minorHAnsi" w:hAnsiTheme="minorHAnsi" w:cstheme="minorHAnsi"/>
                <w:b/>
                <w:sz w:val="18"/>
                <w:szCs w:val="18"/>
              </w:rPr>
            </w:pPr>
            <w:r w:rsidRPr="00925743">
              <w:rPr>
                <w:rFonts w:asciiTheme="minorHAnsi" w:hAnsiTheme="minorHAnsi" w:cstheme="minorHAnsi"/>
                <w:b/>
                <w:sz w:val="18"/>
                <w:szCs w:val="18"/>
              </w:rPr>
              <w:t>Key data gaps/issues</w:t>
            </w:r>
          </w:p>
        </w:tc>
        <w:tc>
          <w:tcPr>
            <w:tcW w:w="7169" w:type="dxa"/>
          </w:tcPr>
          <w:p w:rsidR="00950E2C" w:rsidRPr="00925743" w:rsidRDefault="00950E2C" w:rsidP="00DB1A3A">
            <w:pPr>
              <w:pStyle w:val="TableBodyText"/>
              <w:keepNext w:val="0"/>
              <w:keepLines w:val="0"/>
              <w:widowControl w:val="0"/>
              <w:jc w:val="both"/>
              <w:rPr>
                <w:rFonts w:asciiTheme="minorHAnsi" w:hAnsiTheme="minorHAnsi" w:cstheme="minorHAnsi"/>
                <w:szCs w:val="18"/>
              </w:rPr>
            </w:pPr>
            <w:r w:rsidRPr="00925743">
              <w:rPr>
                <w:rFonts w:asciiTheme="minorHAnsi" w:hAnsiTheme="minorHAnsi" w:cstheme="minorHAnsi"/>
                <w:szCs w:val="18"/>
              </w:rPr>
              <w:t>The Steering Committee notes the following issues:</w:t>
            </w:r>
          </w:p>
          <w:p w:rsidR="00925743" w:rsidRPr="00925743" w:rsidRDefault="00925743" w:rsidP="00DB1A3A">
            <w:pPr>
              <w:numPr>
                <w:ilvl w:val="0"/>
                <w:numId w:val="24"/>
              </w:numPr>
              <w:spacing w:before="40" w:after="40"/>
              <w:jc w:val="both"/>
              <w:rPr>
                <w:rFonts w:asciiTheme="minorHAnsi" w:hAnsiTheme="minorHAnsi" w:cstheme="minorHAnsi"/>
                <w:sz w:val="18"/>
                <w:szCs w:val="18"/>
              </w:rPr>
            </w:pPr>
            <w:r w:rsidRPr="00925743">
              <w:rPr>
                <w:rFonts w:asciiTheme="minorHAnsi" w:hAnsiTheme="minorHAnsi" w:cstheme="minorHAnsi"/>
                <w:sz w:val="18"/>
                <w:szCs w:val="18"/>
              </w:rPr>
              <w:t xml:space="preserve">There may be imprecise exclusion of private hospital and non-hospital patient episodes due to the inherent difficulties in determining the origins of SAB episodes. </w:t>
            </w:r>
          </w:p>
          <w:p w:rsidR="00925743" w:rsidRPr="00925743" w:rsidRDefault="00925743" w:rsidP="00DB1A3A">
            <w:pPr>
              <w:numPr>
                <w:ilvl w:val="0"/>
                <w:numId w:val="24"/>
              </w:numPr>
              <w:spacing w:before="40" w:after="40"/>
              <w:jc w:val="both"/>
              <w:rPr>
                <w:rFonts w:asciiTheme="minorHAnsi" w:hAnsiTheme="minorHAnsi" w:cstheme="minorHAnsi"/>
                <w:sz w:val="18"/>
                <w:szCs w:val="18"/>
              </w:rPr>
            </w:pPr>
            <w:r w:rsidRPr="00925743">
              <w:rPr>
                <w:rFonts w:asciiTheme="minorHAnsi" w:hAnsiTheme="minorHAnsi" w:cstheme="minorHAnsi"/>
                <w:sz w:val="18"/>
                <w:szCs w:val="18"/>
              </w:rPr>
              <w:t xml:space="preserve">For some states and territories there is less than 100 per cent coverage of public hospitals. For those jurisdictions with incomplete coverage of public hospitals (in the numerator), only patient days for those hospitals that contribute data are included (in the denominator). Differences in the types of hospitals not included may impact on the accuracy and comparability of rates. </w:t>
            </w:r>
          </w:p>
          <w:p w:rsidR="00925743" w:rsidRPr="00925743" w:rsidRDefault="00925743" w:rsidP="00DB1A3A">
            <w:pPr>
              <w:numPr>
                <w:ilvl w:val="0"/>
                <w:numId w:val="24"/>
              </w:numPr>
              <w:spacing w:before="40" w:after="40"/>
              <w:jc w:val="both"/>
              <w:rPr>
                <w:rFonts w:asciiTheme="minorHAnsi" w:hAnsiTheme="minorHAnsi" w:cstheme="minorHAnsi"/>
                <w:sz w:val="18"/>
                <w:szCs w:val="18"/>
              </w:rPr>
            </w:pPr>
            <w:r w:rsidRPr="00925743">
              <w:rPr>
                <w:rFonts w:asciiTheme="minorHAnsi" w:hAnsiTheme="minorHAnsi" w:cstheme="minorHAnsi"/>
                <w:sz w:val="18"/>
                <w:szCs w:val="18"/>
              </w:rPr>
              <w:t xml:space="preserve">The accuracy and comparability of the rates of SAB among jurisdictions and over time is also limited because the count of patient days (denominator) reflects the amount of admitted patient activity, but does not reflect the amount of non-admitted patient activity. </w:t>
            </w:r>
          </w:p>
          <w:p w:rsidR="00925743" w:rsidRPr="00925743" w:rsidRDefault="00925743" w:rsidP="00DB1A3A">
            <w:pPr>
              <w:numPr>
                <w:ilvl w:val="0"/>
                <w:numId w:val="24"/>
              </w:numPr>
              <w:spacing w:before="40" w:after="40"/>
              <w:jc w:val="both"/>
              <w:rPr>
                <w:rFonts w:asciiTheme="minorHAnsi" w:hAnsiTheme="minorHAnsi" w:cstheme="minorHAnsi"/>
                <w:sz w:val="18"/>
                <w:szCs w:val="18"/>
              </w:rPr>
            </w:pPr>
            <w:r w:rsidRPr="00925743">
              <w:rPr>
                <w:rFonts w:asciiTheme="minorHAnsi" w:hAnsiTheme="minorHAnsi" w:cstheme="minorHAnsi"/>
                <w:sz w:val="18"/>
                <w:szCs w:val="18"/>
              </w:rPr>
              <w:t>The data for 2013-14, 2012-13 and 2011-12 are comparable.</w:t>
            </w:r>
          </w:p>
          <w:p w:rsidR="00925743" w:rsidRPr="00925743" w:rsidRDefault="00925743" w:rsidP="00DB1A3A">
            <w:pPr>
              <w:numPr>
                <w:ilvl w:val="0"/>
                <w:numId w:val="24"/>
              </w:numPr>
              <w:spacing w:before="40" w:after="40"/>
              <w:jc w:val="both"/>
              <w:rPr>
                <w:rFonts w:asciiTheme="minorHAnsi" w:hAnsiTheme="minorHAnsi" w:cstheme="minorHAnsi"/>
                <w:sz w:val="18"/>
                <w:szCs w:val="18"/>
              </w:rPr>
            </w:pPr>
            <w:r w:rsidRPr="00925743">
              <w:rPr>
                <w:rFonts w:asciiTheme="minorHAnsi" w:hAnsiTheme="minorHAnsi" w:cstheme="minorHAnsi"/>
                <w:sz w:val="18"/>
                <w:szCs w:val="18"/>
              </w:rPr>
              <w:t>The data for 2011-12 are comparable with those from 2010-11 except for Queensland. </w:t>
            </w:r>
          </w:p>
          <w:p w:rsidR="00925743" w:rsidRPr="00925743" w:rsidRDefault="008B71EE" w:rsidP="008B71EE">
            <w:pPr>
              <w:numPr>
                <w:ilvl w:val="0"/>
                <w:numId w:val="24"/>
              </w:numPr>
              <w:spacing w:before="40" w:after="40"/>
              <w:jc w:val="both"/>
              <w:rPr>
                <w:rFonts w:asciiTheme="minorHAnsi" w:hAnsiTheme="minorHAnsi" w:cstheme="minorHAnsi"/>
                <w:sz w:val="18"/>
                <w:szCs w:val="18"/>
              </w:rPr>
            </w:pPr>
            <w:r>
              <w:rPr>
                <w:rFonts w:asciiTheme="minorHAnsi" w:hAnsiTheme="minorHAnsi" w:cstheme="minorHAnsi"/>
                <w:sz w:val="18"/>
                <w:szCs w:val="18"/>
              </w:rPr>
              <w:t>NSW</w:t>
            </w:r>
            <w:r w:rsidR="00925743" w:rsidRPr="00925743">
              <w:rPr>
                <w:rFonts w:asciiTheme="minorHAnsi" w:hAnsiTheme="minorHAnsi" w:cstheme="minorHAnsi"/>
                <w:sz w:val="18"/>
                <w:szCs w:val="18"/>
              </w:rPr>
              <w:t xml:space="preserve"> data for 2010-11, 2011-12, 2012-13 and 2013-14 are not comparable with other jurisdictions.</w:t>
            </w:r>
          </w:p>
          <w:p w:rsidR="00925743" w:rsidRPr="00925743" w:rsidRDefault="00925743" w:rsidP="008B71EE">
            <w:pPr>
              <w:numPr>
                <w:ilvl w:val="0"/>
                <w:numId w:val="24"/>
              </w:numPr>
              <w:spacing w:before="40" w:after="40"/>
              <w:jc w:val="both"/>
              <w:rPr>
                <w:rStyle w:val="DraftingNote"/>
                <w:rFonts w:asciiTheme="minorHAnsi" w:hAnsiTheme="minorHAnsi" w:cstheme="minorHAnsi"/>
                <w:b w:val="0"/>
                <w:color w:val="auto"/>
                <w:sz w:val="18"/>
                <w:szCs w:val="18"/>
                <w:u w:val="none"/>
                <w:lang w:eastAsia="en-US"/>
              </w:rPr>
            </w:pPr>
            <w:r w:rsidRPr="00925743">
              <w:rPr>
                <w:rFonts w:asciiTheme="minorHAnsi" w:hAnsiTheme="minorHAnsi" w:cstheme="minorHAnsi"/>
                <w:sz w:val="18"/>
                <w:szCs w:val="18"/>
              </w:rPr>
              <w:t>The patient day data may be preliminary for some hospitals/jurisdictions.</w:t>
            </w:r>
          </w:p>
        </w:tc>
      </w:tr>
    </w:tbl>
    <w:p w:rsidR="00B33A69" w:rsidRDefault="00B33A69" w:rsidP="00B33A69">
      <w:pPr>
        <w:pStyle w:val="Heading4"/>
      </w:pPr>
      <w:r>
        <w:t>A</w:t>
      </w:r>
      <w:r w:rsidRPr="00B33A69">
        <w:t>dverse events treated in hospitals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469AE" w:rsidRPr="00D62805" w:rsidTr="00345271">
        <w:tc>
          <w:tcPr>
            <w:tcW w:w="8789" w:type="dxa"/>
            <w:gridSpan w:val="2"/>
            <w:vAlign w:val="bottom"/>
          </w:tcPr>
          <w:p w:rsidR="00B33A69" w:rsidRPr="00D62805" w:rsidRDefault="00B33A69" w:rsidP="00345271">
            <w:pPr>
              <w:widowControl w:val="0"/>
              <w:spacing w:after="40" w:line="200" w:lineRule="atLeast"/>
              <w:ind w:left="6" w:right="113"/>
              <w:jc w:val="both"/>
              <w:rPr>
                <w:rFonts w:ascii="Arial" w:hAnsi="Arial"/>
                <w:b/>
                <w:sz w:val="18"/>
                <w:szCs w:val="20"/>
              </w:rPr>
            </w:pPr>
          </w:p>
          <w:p w:rsidR="00B33A69" w:rsidRPr="00D62805" w:rsidRDefault="00B33A69" w:rsidP="00345271">
            <w:pPr>
              <w:widowControl w:val="0"/>
              <w:spacing w:after="40" w:line="200" w:lineRule="atLeast"/>
              <w:ind w:left="6" w:right="113"/>
              <w:jc w:val="both"/>
              <w:rPr>
                <w:rFonts w:ascii="Arial" w:hAnsi="Arial"/>
                <w:b/>
                <w:sz w:val="18"/>
                <w:szCs w:val="20"/>
                <w:u w:val="single"/>
              </w:rPr>
            </w:pPr>
            <w:r w:rsidRPr="00D62805">
              <w:rPr>
                <w:rFonts w:ascii="Arial" w:hAnsi="Arial"/>
                <w:b/>
                <w:sz w:val="18"/>
                <w:szCs w:val="20"/>
                <w:u w:val="single"/>
              </w:rPr>
              <w:t>Indicator definition and description</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Element</w:t>
            </w:r>
          </w:p>
        </w:tc>
        <w:tc>
          <w:tcPr>
            <w:tcW w:w="7169" w:type="dxa"/>
          </w:tcPr>
          <w:p w:rsidR="00B33A69" w:rsidRPr="00D62805" w:rsidRDefault="00614760" w:rsidP="00345271">
            <w:pPr>
              <w:widowControl w:val="0"/>
              <w:spacing w:after="40" w:line="200" w:lineRule="atLeast"/>
              <w:ind w:left="6" w:right="113"/>
              <w:jc w:val="both"/>
              <w:rPr>
                <w:rFonts w:ascii="Arial" w:hAnsi="Arial"/>
                <w:sz w:val="18"/>
                <w:szCs w:val="20"/>
              </w:rPr>
            </w:pPr>
            <w:r w:rsidRPr="00D62805">
              <w:rPr>
                <w:rFonts w:ascii="Arial" w:hAnsi="Arial"/>
                <w:sz w:val="18"/>
                <w:szCs w:val="20"/>
              </w:rPr>
              <w:t>Effectiveness — quality/safety</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Indicator</w:t>
            </w:r>
          </w:p>
        </w:tc>
        <w:tc>
          <w:tcPr>
            <w:tcW w:w="7169" w:type="dxa"/>
            <w:vAlign w:val="bottom"/>
          </w:tcPr>
          <w:p w:rsidR="00B33A69" w:rsidRPr="00D62805" w:rsidRDefault="00614760" w:rsidP="00345271">
            <w:pPr>
              <w:widowControl w:val="0"/>
              <w:spacing w:after="40" w:line="200" w:lineRule="atLeast"/>
              <w:ind w:left="6" w:right="113"/>
              <w:jc w:val="both"/>
              <w:rPr>
                <w:rFonts w:ascii="Arial" w:hAnsi="Arial"/>
                <w:sz w:val="18"/>
                <w:szCs w:val="20"/>
              </w:rPr>
            </w:pPr>
            <w:r w:rsidRPr="00D62805">
              <w:rPr>
                <w:rFonts w:ascii="Arial" w:hAnsi="Arial"/>
                <w:sz w:val="18"/>
                <w:szCs w:val="20"/>
              </w:rPr>
              <w:t>Adverse events in public hospitals —</w:t>
            </w:r>
            <w:r w:rsidRPr="00D62805">
              <w:t xml:space="preserve"> </w:t>
            </w:r>
            <w:r w:rsidRPr="00D62805">
              <w:rPr>
                <w:rFonts w:ascii="Arial" w:hAnsi="Arial"/>
                <w:sz w:val="18"/>
                <w:szCs w:val="20"/>
              </w:rPr>
              <w:t>Adverse events treated in hospitals</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Measure</w:t>
            </w:r>
          </w:p>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(computation</w:t>
            </w:r>
          </w:p>
        </w:tc>
        <w:tc>
          <w:tcPr>
            <w:tcW w:w="7169" w:type="dxa"/>
            <w:vAlign w:val="bottom"/>
          </w:tcPr>
          <w:p w:rsidR="00B33A69" w:rsidRPr="00D62805" w:rsidRDefault="004B2F01" w:rsidP="003469AE">
            <w:pPr>
              <w:widowControl w:val="0"/>
              <w:spacing w:after="40" w:line="200" w:lineRule="atLeast"/>
              <w:ind w:left="6" w:right="113"/>
              <w:jc w:val="both"/>
              <w:rPr>
                <w:rFonts w:ascii="Arial" w:hAnsi="Arial"/>
                <w:sz w:val="18"/>
                <w:szCs w:val="20"/>
              </w:rPr>
            </w:pPr>
            <w:r w:rsidRPr="00D62805">
              <w:rPr>
                <w:rFonts w:ascii="Arial" w:hAnsi="Arial"/>
                <w:sz w:val="18"/>
                <w:szCs w:val="20"/>
              </w:rPr>
              <w:t>Adverse events treated in hospitals are measured by separations that had an adverse event including infections, falls resulting in injuries and problems with medication and medical devices that occurred during a hospitalisation. Hospitalisation is identified by diagnoses, places of occurrence and external causes of injury and poisoning that can indicate that an adverse event was treated and/or occurred during the hospitalisation.</w:t>
            </w:r>
          </w:p>
        </w:tc>
      </w:tr>
      <w:tr w:rsidR="003469AE" w:rsidRPr="00D62805" w:rsidTr="00345271">
        <w:tc>
          <w:tcPr>
            <w:tcW w:w="1620" w:type="dxa"/>
          </w:tcPr>
          <w:p w:rsidR="00B33A69" w:rsidRPr="00D62805" w:rsidRDefault="00B33A69" w:rsidP="00345271">
            <w:pPr>
              <w:widowControl w:val="0"/>
              <w:spacing w:after="40" w:line="200" w:lineRule="atLeast"/>
              <w:ind w:left="6" w:right="113"/>
              <w:rPr>
                <w:rFonts w:ascii="Arial" w:hAnsi="Arial"/>
                <w:b/>
                <w:sz w:val="18"/>
                <w:szCs w:val="20"/>
              </w:rPr>
            </w:pPr>
            <w:r w:rsidRPr="00D62805">
              <w:rPr>
                <w:rFonts w:ascii="Arial" w:hAnsi="Arial"/>
                <w:b/>
                <w:sz w:val="18"/>
                <w:szCs w:val="20"/>
              </w:rPr>
              <w:t>Data source/s</w:t>
            </w:r>
          </w:p>
        </w:tc>
        <w:tc>
          <w:tcPr>
            <w:tcW w:w="7169" w:type="dxa"/>
          </w:tcPr>
          <w:p w:rsidR="00B33A69" w:rsidRPr="00D62805" w:rsidRDefault="003469AE" w:rsidP="00345271">
            <w:pPr>
              <w:widowControl w:val="0"/>
              <w:spacing w:after="40" w:line="200" w:lineRule="atLeast"/>
              <w:ind w:left="6" w:right="113"/>
              <w:jc w:val="both"/>
              <w:rPr>
                <w:rFonts w:ascii="Arial" w:hAnsi="Arial"/>
                <w:sz w:val="18"/>
                <w:szCs w:val="20"/>
              </w:rPr>
            </w:pPr>
            <w:r w:rsidRPr="003469AE">
              <w:rPr>
                <w:rFonts w:ascii="Arial" w:hAnsi="Arial"/>
                <w:sz w:val="18"/>
                <w:szCs w:val="20"/>
              </w:rPr>
              <w:t>This indicator is calculated using data from the National Hospital Morbidity Database (NHMD), based on the national minimum data set (NMDS) for Admitted patient care.</w:t>
            </w:r>
          </w:p>
        </w:tc>
      </w:tr>
      <w:tr w:rsidR="003469AE" w:rsidRPr="00D62805" w:rsidTr="00345271">
        <w:tc>
          <w:tcPr>
            <w:tcW w:w="8789" w:type="dxa"/>
            <w:gridSpan w:val="2"/>
            <w:vAlign w:val="bottom"/>
          </w:tcPr>
          <w:p w:rsidR="00B33A69" w:rsidRPr="00D62805" w:rsidRDefault="00B33A69" w:rsidP="00345271">
            <w:pPr>
              <w:widowControl w:val="0"/>
              <w:spacing w:after="40" w:line="200" w:lineRule="atLeast"/>
              <w:ind w:left="6" w:right="113"/>
              <w:jc w:val="both"/>
              <w:rPr>
                <w:rFonts w:ascii="Arial" w:hAnsi="Arial"/>
                <w:b/>
                <w:sz w:val="18"/>
                <w:szCs w:val="20"/>
              </w:rPr>
            </w:pPr>
          </w:p>
          <w:p w:rsidR="00B33A69" w:rsidRPr="00D62805" w:rsidRDefault="00B33A69" w:rsidP="00345271">
            <w:pPr>
              <w:widowControl w:val="0"/>
              <w:spacing w:after="40" w:line="200" w:lineRule="atLeast"/>
              <w:ind w:left="6" w:right="113"/>
              <w:jc w:val="both"/>
              <w:rPr>
                <w:rFonts w:ascii="Arial" w:hAnsi="Arial"/>
                <w:b/>
                <w:sz w:val="18"/>
                <w:szCs w:val="20"/>
                <w:u w:val="single"/>
              </w:rPr>
            </w:pPr>
            <w:r w:rsidRPr="00D62805">
              <w:rPr>
                <w:rFonts w:ascii="Arial" w:hAnsi="Arial"/>
                <w:b/>
                <w:sz w:val="18"/>
                <w:szCs w:val="20"/>
                <w:u w:val="single"/>
              </w:rPr>
              <w:t>Data Quality Framework Dimensions</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Institutional environment</w:t>
            </w:r>
          </w:p>
        </w:tc>
        <w:tc>
          <w:tcPr>
            <w:tcW w:w="7169" w:type="dxa"/>
            <w:shd w:val="clear" w:color="auto" w:fill="auto"/>
          </w:tcPr>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The Institute also plays a role in developing and maintaining national metadata standards. This work contributes to improving the quality and consistency of national health and welfare statistics. The Institute works closely with governments and non-</w:t>
            </w:r>
            <w:r w:rsidRPr="00D62805">
              <w:rPr>
                <w:rFonts w:ascii="Arial" w:hAnsi="Arial"/>
                <w:sz w:val="18"/>
                <w:szCs w:val="20"/>
              </w:rPr>
              <w:lastRenderedPageBreak/>
              <w:t xml:space="preserve">government organisations to achieve greater adherence to these standards in administrative data collections to promote national consistency and comparability of data and reporting.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For further information see the AIHW website www.aihw.gov.au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Data for the NESWTDC were supplied to the AIHW by state and territory health authorities under the terms of the National Health Information Agreement (see the following links):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http://www.aihw.gov.au/nhissc/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http://meteor.aihw.gov.au/content/index.phtml/itemId/182135 </w:t>
            </w:r>
          </w:p>
          <w:p w:rsidR="00B33A69"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B33A69" w:rsidRPr="00950E2C" w:rsidTr="00345271">
        <w:tc>
          <w:tcPr>
            <w:tcW w:w="1620" w:type="dxa"/>
          </w:tcPr>
          <w:p w:rsidR="00B33A69" w:rsidRPr="003469AE" w:rsidRDefault="00B33A69"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lastRenderedPageBreak/>
              <w:t>Relevance</w:t>
            </w:r>
          </w:p>
        </w:tc>
        <w:tc>
          <w:tcPr>
            <w:tcW w:w="7169" w:type="dxa"/>
            <w:shd w:val="clear" w:color="auto" w:fill="auto"/>
          </w:tcPr>
          <w:p w:rsidR="003469AE" w:rsidRPr="003469AE" w:rsidRDefault="003469AE" w:rsidP="003469AE">
            <w:pPr>
              <w:widowControl w:val="0"/>
              <w:spacing w:after="40" w:line="200" w:lineRule="atLeast"/>
              <w:ind w:left="6" w:right="113"/>
              <w:jc w:val="both"/>
              <w:rPr>
                <w:rFonts w:ascii="Arial" w:hAnsi="Arial"/>
                <w:sz w:val="18"/>
                <w:szCs w:val="20"/>
              </w:rPr>
            </w:pPr>
            <w:r w:rsidRPr="003469AE">
              <w:rPr>
                <w:rFonts w:ascii="Arial" w:hAnsi="Arial"/>
                <w:sz w:val="18"/>
                <w:szCs w:val="20"/>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B33A69" w:rsidRPr="003469AE" w:rsidRDefault="003469AE" w:rsidP="003469AE">
            <w:pPr>
              <w:widowControl w:val="0"/>
              <w:spacing w:after="40" w:line="200" w:lineRule="atLeast"/>
              <w:ind w:left="6" w:right="113"/>
              <w:jc w:val="both"/>
              <w:rPr>
                <w:rFonts w:ascii="Arial" w:hAnsi="Arial"/>
                <w:sz w:val="18"/>
                <w:szCs w:val="20"/>
              </w:rPr>
            </w:pPr>
            <w:r w:rsidRPr="003469AE">
              <w:rPr>
                <w:rFonts w:ascii="Arial" w:hAnsi="Arial"/>
                <w:sz w:val="18"/>
                <w:szCs w:val="20"/>
              </w:rPr>
              <w:t>The hospital separations data do not include episodes of non-admitted patient care provided in outpatient clinics or emergency departments.</w:t>
            </w:r>
          </w:p>
        </w:tc>
      </w:tr>
      <w:tr w:rsidR="00B33A69" w:rsidRPr="00950E2C" w:rsidTr="00345271">
        <w:tc>
          <w:tcPr>
            <w:tcW w:w="1620" w:type="dxa"/>
          </w:tcPr>
          <w:p w:rsidR="00B33A69" w:rsidRPr="003469AE" w:rsidRDefault="00B33A69"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t>Timeliness</w:t>
            </w:r>
          </w:p>
        </w:tc>
        <w:tc>
          <w:tcPr>
            <w:tcW w:w="7169" w:type="dxa"/>
          </w:tcPr>
          <w:p w:rsidR="00B33A69" w:rsidRPr="003469AE" w:rsidRDefault="004B2F01" w:rsidP="00345271">
            <w:pPr>
              <w:widowControl w:val="0"/>
              <w:spacing w:after="40" w:line="200" w:lineRule="atLeast"/>
              <w:ind w:left="6" w:right="113"/>
              <w:jc w:val="both"/>
              <w:rPr>
                <w:rFonts w:ascii="Arial" w:hAnsi="Arial"/>
                <w:sz w:val="18"/>
                <w:szCs w:val="20"/>
              </w:rPr>
            </w:pPr>
            <w:r w:rsidRPr="003469AE">
              <w:rPr>
                <w:rFonts w:ascii="Arial" w:hAnsi="Arial"/>
                <w:sz w:val="18"/>
                <w:szCs w:val="20"/>
              </w:rPr>
              <w:t>The reference period for this data set is 2012–13.</w:t>
            </w:r>
          </w:p>
        </w:tc>
      </w:tr>
      <w:tr w:rsidR="003469AE" w:rsidRPr="00950E2C" w:rsidTr="00345271">
        <w:tc>
          <w:tcPr>
            <w:tcW w:w="1620" w:type="dxa"/>
          </w:tcPr>
          <w:p w:rsidR="003469AE" w:rsidRPr="00AA3121" w:rsidRDefault="003469AE" w:rsidP="00345271">
            <w:pPr>
              <w:widowControl w:val="0"/>
              <w:spacing w:after="40" w:line="200" w:lineRule="atLeast"/>
              <w:ind w:left="6" w:right="113"/>
              <w:jc w:val="both"/>
              <w:rPr>
                <w:rFonts w:ascii="Arial" w:hAnsi="Arial"/>
                <w:b/>
                <w:sz w:val="18"/>
                <w:szCs w:val="20"/>
              </w:rPr>
            </w:pPr>
            <w:r w:rsidRPr="00AA3121">
              <w:rPr>
                <w:rFonts w:ascii="Arial" w:hAnsi="Arial"/>
                <w:b/>
                <w:sz w:val="18"/>
                <w:szCs w:val="20"/>
              </w:rPr>
              <w:t>Accuracy</w:t>
            </w:r>
          </w:p>
        </w:tc>
        <w:tc>
          <w:tcPr>
            <w:tcW w:w="7169" w:type="dxa"/>
          </w:tcPr>
          <w:p w:rsidR="003469AE" w:rsidRPr="00AA3121" w:rsidRDefault="003469AE" w:rsidP="007607C7">
            <w:pPr>
              <w:pStyle w:val="TableBodyText"/>
              <w:jc w:val="both"/>
            </w:pPr>
            <w:r w:rsidRPr="00AA3121">
              <w:t xml:space="preserve">For 2012–13, almost all public hospitals provided data for the NHMD. The exception was a mothercraft hospital in the </w:t>
            </w:r>
            <w:r w:rsidR="00FA5C46">
              <w:t>ACT</w:t>
            </w:r>
            <w:r w:rsidRPr="00AA3121">
              <w:t xml:space="preserve">. The great majority of private hospitals also provided data, the exceptions being the private free-standing day hospital facilities in the </w:t>
            </w:r>
            <w:r w:rsidR="00FA5C46">
              <w:t>ACT</w:t>
            </w:r>
            <w:r w:rsidRPr="00AA3121">
              <w:t xml:space="preserve">, the single private free-standing day hospital in the </w:t>
            </w:r>
            <w:r w:rsidR="00FA5C46">
              <w:t>NT</w:t>
            </w:r>
            <w:r w:rsidRPr="00AA3121">
              <w:t>, and a private free-standing day hospital in Victoria.</w:t>
            </w:r>
          </w:p>
          <w:p w:rsidR="003469AE" w:rsidRPr="00AA3121" w:rsidRDefault="003469AE" w:rsidP="007607C7">
            <w:pPr>
              <w:pStyle w:val="TableBodyText"/>
              <w:jc w:val="both"/>
            </w:pPr>
            <w:r w:rsidRPr="00AA3121">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w:t>
            </w:r>
          </w:p>
          <w:p w:rsidR="0090342F" w:rsidRPr="00AA3121" w:rsidRDefault="0090342F" w:rsidP="0090342F">
            <w:pPr>
              <w:pStyle w:val="TableBodyText"/>
              <w:jc w:val="both"/>
            </w:pPr>
            <w:r w:rsidRPr="00AA3121">
              <w:t xml:space="preserve">Hospital separations data include information on diagnoses, places of occurrence and external causes of injury and poisoning that can indicate that an adverse event was treated and/or occurred during the hospitalisation. However, other diagnosis codes may also suggest that an adverse event has occurred, and some adverse events are not identifiable using these codes. A separation may be recorded against more than </w:t>
            </w:r>
            <w:r w:rsidR="00974BDF" w:rsidRPr="00AA3121">
              <w:t>one</w:t>
            </w:r>
            <w:r w:rsidRPr="00AA3121">
              <w:t xml:space="preserve"> category as some adverse events are reported as diagnoses and others as external causes or places of occurrence (of the injury or poisoning).</w:t>
            </w:r>
          </w:p>
          <w:p w:rsidR="003469AE" w:rsidRPr="00AA3121" w:rsidRDefault="0090342F" w:rsidP="00974BDF">
            <w:pPr>
              <w:pStyle w:val="TableBodyText"/>
              <w:jc w:val="both"/>
            </w:pPr>
            <w:r w:rsidRPr="00AA3121">
              <w:t xml:space="preserve">The data can be interpreted as representing selected adverse events in health care that have resulted in, or have affected, hospital admissions, rather than all adverse events that occurred in hospitals. Some of the adverse events included in these tables may represent events that occurred before admission. Condition onset flag (COF) information (see </w:t>
            </w:r>
            <w:r w:rsidR="00934E2F" w:rsidRPr="00AA3121">
              <w:rPr>
                <w:i/>
              </w:rPr>
              <w:t>Australian hospital statistics 2012–13</w:t>
            </w:r>
            <w:r w:rsidR="00934E2F" w:rsidRPr="00AA3121">
              <w:t xml:space="preserve">, </w:t>
            </w:r>
            <w:r w:rsidRPr="00AA3121">
              <w:t>Chapter 6 and Appendix B) can be used to provide other information about adverse events occurring, and treated within, single episodes of care.</w:t>
            </w:r>
          </w:p>
        </w:tc>
      </w:tr>
      <w:tr w:rsidR="007B7074" w:rsidRPr="007B7074" w:rsidTr="00345271">
        <w:tc>
          <w:tcPr>
            <w:tcW w:w="1620" w:type="dxa"/>
          </w:tcPr>
          <w:p w:rsidR="003469AE" w:rsidRPr="007B7074" w:rsidRDefault="003469AE" w:rsidP="00345271">
            <w:pPr>
              <w:widowControl w:val="0"/>
              <w:spacing w:after="40" w:line="200" w:lineRule="atLeast"/>
              <w:ind w:left="6" w:right="113"/>
              <w:jc w:val="both"/>
              <w:rPr>
                <w:rFonts w:ascii="Arial" w:hAnsi="Arial"/>
                <w:b/>
                <w:sz w:val="18"/>
                <w:szCs w:val="20"/>
              </w:rPr>
            </w:pPr>
            <w:r w:rsidRPr="007B7074">
              <w:rPr>
                <w:rFonts w:ascii="Arial" w:hAnsi="Arial"/>
                <w:b/>
                <w:sz w:val="18"/>
                <w:szCs w:val="20"/>
              </w:rPr>
              <w:t>Coherence</w:t>
            </w:r>
          </w:p>
        </w:tc>
        <w:tc>
          <w:tcPr>
            <w:tcW w:w="7169" w:type="dxa"/>
          </w:tcPr>
          <w:p w:rsidR="003469AE" w:rsidRPr="007B7074" w:rsidRDefault="003469AE" w:rsidP="007607C7">
            <w:pPr>
              <w:pStyle w:val="TableBodyText"/>
              <w:keepNext w:val="0"/>
              <w:keepLines w:val="0"/>
              <w:widowControl w:val="0"/>
              <w:jc w:val="both"/>
            </w:pPr>
            <w:r w:rsidRPr="007B7074">
              <w:t xml:space="preserve">The information presented for this indicator is calculated using the same methodology as data published in </w:t>
            </w:r>
            <w:r w:rsidRPr="007B7074">
              <w:rPr>
                <w:i/>
              </w:rPr>
              <w:t>Australian hospital statistics 2012–13</w:t>
            </w:r>
            <w:r w:rsidRPr="007B7074">
              <w:t>.</w:t>
            </w:r>
          </w:p>
          <w:p w:rsidR="003469AE" w:rsidRPr="007B7074" w:rsidRDefault="003469AE" w:rsidP="007B7074">
            <w:pPr>
              <w:pStyle w:val="TableBodyText"/>
              <w:keepNext w:val="0"/>
              <w:keepLines w:val="0"/>
              <w:widowControl w:val="0"/>
              <w:jc w:val="both"/>
            </w:pPr>
            <w:r w:rsidRPr="007B7074">
              <w:t>The data can be meaningfully compared across reference periods for all jurisdictions.</w:t>
            </w:r>
          </w:p>
        </w:tc>
      </w:tr>
      <w:tr w:rsidR="003469AE" w:rsidRPr="003469AE" w:rsidTr="00345271">
        <w:tc>
          <w:tcPr>
            <w:tcW w:w="1620" w:type="dxa"/>
          </w:tcPr>
          <w:p w:rsidR="003469AE" w:rsidRPr="003469AE" w:rsidRDefault="003469AE"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lastRenderedPageBreak/>
              <w:t>Accessibility</w:t>
            </w:r>
          </w:p>
        </w:tc>
        <w:tc>
          <w:tcPr>
            <w:tcW w:w="7169" w:type="dxa"/>
          </w:tcPr>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The AIHW provides a variety of products that draw upon the NHMD. Published products available on the AIHW website are:</w:t>
            </w:r>
          </w:p>
          <w:p w:rsidR="003469AE" w:rsidRPr="003469AE" w:rsidRDefault="003469AE" w:rsidP="007607C7">
            <w:pPr>
              <w:widowControl w:val="0"/>
              <w:numPr>
                <w:ilvl w:val="0"/>
                <w:numId w:val="8"/>
              </w:numPr>
              <w:spacing w:after="40" w:line="220" w:lineRule="atLeast"/>
              <w:ind w:right="113"/>
              <w:rPr>
                <w:rFonts w:ascii="Arial" w:hAnsi="Arial"/>
                <w:sz w:val="18"/>
                <w:szCs w:val="18"/>
              </w:rPr>
            </w:pPr>
            <w:r w:rsidRPr="003469AE">
              <w:rPr>
                <w:rFonts w:ascii="Arial" w:hAnsi="Arial"/>
                <w:sz w:val="18"/>
                <w:szCs w:val="18"/>
              </w:rPr>
              <w:t xml:space="preserve">Australian hospital statistics with associated Excel tables </w:t>
            </w:r>
          </w:p>
          <w:p w:rsidR="003469AE" w:rsidRPr="003469AE" w:rsidRDefault="003469AE" w:rsidP="007607C7">
            <w:pPr>
              <w:widowControl w:val="0"/>
              <w:numPr>
                <w:ilvl w:val="0"/>
                <w:numId w:val="8"/>
              </w:numPr>
              <w:spacing w:after="40" w:line="220" w:lineRule="atLeast"/>
              <w:ind w:right="113"/>
              <w:rPr>
                <w:rFonts w:ascii="Arial" w:hAnsi="Arial"/>
                <w:sz w:val="18"/>
                <w:szCs w:val="18"/>
              </w:rPr>
            </w:pPr>
            <w:r w:rsidRPr="003469AE">
              <w:rPr>
                <w:rFonts w:ascii="Arial" w:hAnsi="Arial"/>
                <w:sz w:val="18"/>
                <w:szCs w:val="18"/>
              </w:rPr>
              <w:t>interactive data cubes for Admitted patient care (for Principal diagnoses, Procedures and Diagnosis Related Groups).</w:t>
            </w:r>
          </w:p>
          <w:p w:rsidR="003469AE" w:rsidRPr="003469AE" w:rsidRDefault="003469AE" w:rsidP="007607C7">
            <w:pPr>
              <w:pStyle w:val="TableBodyText"/>
              <w:jc w:val="both"/>
            </w:pPr>
            <w:r w:rsidRPr="003469AE">
              <w:rPr>
                <w:rFonts w:cs="Arial"/>
                <w:szCs w:val="18"/>
              </w:rPr>
              <w:t xml:space="preserve">These products may be accessed on the AIHW website at: </w:t>
            </w:r>
            <w:r w:rsidRPr="003469AE">
              <w:rPr>
                <w:rFonts w:cs="Arial"/>
                <w:szCs w:val="18"/>
                <w:u w:val="single"/>
              </w:rPr>
              <w:t>http://www.aihw.gov.au/hospitals/</w:t>
            </w:r>
          </w:p>
        </w:tc>
      </w:tr>
      <w:tr w:rsidR="003469AE" w:rsidRPr="003469AE" w:rsidTr="00345271">
        <w:tc>
          <w:tcPr>
            <w:tcW w:w="1620" w:type="dxa"/>
          </w:tcPr>
          <w:p w:rsidR="003469AE" w:rsidRPr="003469AE" w:rsidRDefault="003469AE"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t>Interpretability</w:t>
            </w:r>
          </w:p>
        </w:tc>
        <w:tc>
          <w:tcPr>
            <w:tcW w:w="7169" w:type="dxa"/>
          </w:tcPr>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rPr>
                <w:rFonts w:ascii="Arial" w:hAnsi="Arial"/>
                <w:sz w:val="18"/>
                <w:szCs w:val="18"/>
              </w:rPr>
              <w:t xml:space="preserve">Aboriginal and Torres Strait Islander </w:t>
            </w:r>
            <w:r w:rsidRPr="003469AE">
              <w:rPr>
                <w:rFonts w:ascii="Arial" w:hAnsi="Arial"/>
                <w:sz w:val="18"/>
                <w:szCs w:val="18"/>
              </w:rPr>
              <w:t>data, and changes in service delivery that might affect interpretation of the published data. Metadata information for the National Minimum Data Set (NMDS) for Admitted patient care is published in the AIHW’s online metadata repository, METeOR, and the National health data dictionary.</w:t>
            </w:r>
          </w:p>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The National health data dictionary can be accessed online at:</w:t>
            </w:r>
          </w:p>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u w:val="single"/>
              </w:rPr>
              <w:t>http://www.aihw.gov.au/publication-detail/?id=10737422826</w:t>
            </w:r>
            <w:r w:rsidRPr="003469AE">
              <w:rPr>
                <w:rFonts w:ascii="Arial" w:hAnsi="Arial"/>
                <w:sz w:val="18"/>
                <w:szCs w:val="18"/>
              </w:rPr>
              <w:t xml:space="preserve"> </w:t>
            </w:r>
          </w:p>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The Data Quality Statement for the National Hospital Morbidity Database can be accessed on the AIHW website at:</w:t>
            </w:r>
          </w:p>
          <w:p w:rsidR="003469AE" w:rsidRPr="003469AE" w:rsidRDefault="003469AE" w:rsidP="007607C7">
            <w:pPr>
              <w:pStyle w:val="TableBodyText"/>
              <w:jc w:val="both"/>
            </w:pPr>
            <w:r w:rsidRPr="003469AE">
              <w:rPr>
                <w:rFonts w:cs="Arial"/>
                <w:szCs w:val="18"/>
                <w:u w:val="single"/>
              </w:rPr>
              <w:t>http://meteor.aihw.gov.au/content/index.phtml/itemId/529483</w:t>
            </w:r>
          </w:p>
        </w:tc>
      </w:tr>
      <w:tr w:rsidR="00AA3121" w:rsidRPr="00AA3121" w:rsidTr="00345271">
        <w:tc>
          <w:tcPr>
            <w:tcW w:w="8789" w:type="dxa"/>
            <w:gridSpan w:val="2"/>
            <w:vAlign w:val="bottom"/>
          </w:tcPr>
          <w:p w:rsidR="003469AE" w:rsidRPr="00AA3121" w:rsidRDefault="003469AE" w:rsidP="00345271">
            <w:pPr>
              <w:widowControl w:val="0"/>
              <w:spacing w:after="40" w:line="200" w:lineRule="atLeast"/>
              <w:ind w:left="6" w:right="113"/>
              <w:jc w:val="both"/>
              <w:rPr>
                <w:rFonts w:ascii="Arial" w:hAnsi="Arial"/>
                <w:b/>
                <w:sz w:val="18"/>
                <w:szCs w:val="20"/>
              </w:rPr>
            </w:pPr>
          </w:p>
          <w:p w:rsidR="003469AE" w:rsidRPr="00AA3121" w:rsidRDefault="003469AE" w:rsidP="00345271">
            <w:pPr>
              <w:widowControl w:val="0"/>
              <w:spacing w:after="40" w:line="200" w:lineRule="atLeast"/>
              <w:ind w:left="6" w:right="113"/>
              <w:jc w:val="both"/>
              <w:rPr>
                <w:rFonts w:ascii="Arial" w:hAnsi="Arial"/>
                <w:b/>
                <w:sz w:val="18"/>
                <w:szCs w:val="20"/>
                <w:u w:val="single"/>
              </w:rPr>
            </w:pPr>
            <w:r w:rsidRPr="00AA3121">
              <w:rPr>
                <w:rFonts w:ascii="Arial" w:hAnsi="Arial"/>
                <w:b/>
                <w:sz w:val="18"/>
                <w:szCs w:val="20"/>
                <w:u w:val="single"/>
              </w:rPr>
              <w:t>Data Gaps/Issues Analysis</w:t>
            </w:r>
          </w:p>
        </w:tc>
      </w:tr>
      <w:tr w:rsidR="00AA3121" w:rsidRPr="00AA3121" w:rsidTr="00345271">
        <w:tc>
          <w:tcPr>
            <w:tcW w:w="1620" w:type="dxa"/>
          </w:tcPr>
          <w:p w:rsidR="003469AE" w:rsidRPr="00AA3121" w:rsidRDefault="003469AE" w:rsidP="00345271">
            <w:pPr>
              <w:widowControl w:val="0"/>
              <w:spacing w:after="40" w:line="200" w:lineRule="atLeast"/>
              <w:ind w:left="6" w:right="113"/>
              <w:rPr>
                <w:rFonts w:ascii="Arial" w:hAnsi="Arial"/>
                <w:b/>
                <w:sz w:val="18"/>
                <w:szCs w:val="20"/>
              </w:rPr>
            </w:pPr>
            <w:r w:rsidRPr="00AA3121">
              <w:rPr>
                <w:rFonts w:ascii="Arial" w:hAnsi="Arial"/>
                <w:b/>
                <w:sz w:val="18"/>
                <w:szCs w:val="20"/>
              </w:rPr>
              <w:t>Key data gaps/issues</w:t>
            </w:r>
          </w:p>
        </w:tc>
        <w:tc>
          <w:tcPr>
            <w:tcW w:w="7169" w:type="dxa"/>
          </w:tcPr>
          <w:p w:rsidR="003469AE" w:rsidRPr="00AA3121" w:rsidRDefault="003469AE" w:rsidP="00345271">
            <w:pPr>
              <w:widowControl w:val="0"/>
              <w:spacing w:after="40" w:line="200" w:lineRule="atLeast"/>
              <w:ind w:left="6" w:right="113"/>
              <w:jc w:val="both"/>
              <w:rPr>
                <w:rFonts w:ascii="Arial" w:hAnsi="Arial"/>
                <w:sz w:val="18"/>
                <w:szCs w:val="20"/>
              </w:rPr>
            </w:pPr>
            <w:r w:rsidRPr="00AA3121">
              <w:rPr>
                <w:rFonts w:ascii="Arial" w:hAnsi="Arial"/>
                <w:sz w:val="18"/>
                <w:szCs w:val="20"/>
              </w:rPr>
              <w:t>The Steering Committee notes the following issues:</w:t>
            </w:r>
          </w:p>
          <w:p w:rsidR="00AA3121" w:rsidRPr="00AA3121" w:rsidRDefault="00AA3121" w:rsidP="00AA3121">
            <w:pPr>
              <w:widowControl w:val="0"/>
              <w:spacing w:after="40" w:line="200" w:lineRule="atLeast"/>
              <w:ind w:left="6" w:right="113"/>
              <w:jc w:val="both"/>
              <w:rPr>
                <w:rFonts w:ascii="Arial" w:hAnsi="Arial"/>
                <w:sz w:val="18"/>
                <w:szCs w:val="20"/>
              </w:rPr>
            </w:pPr>
            <w:r w:rsidRPr="00AA3121">
              <w:rPr>
                <w:rFonts w:ascii="Arial" w:hAnsi="Arial"/>
                <w:sz w:val="18"/>
                <w:szCs w:val="20"/>
              </w:rPr>
              <w:t xml:space="preserve">A separation may be recorded against more than one category as some adverse events are reported as diagnoses and others as external causes or places of occurrence (of the injury or poisoning). </w:t>
            </w:r>
          </w:p>
          <w:p w:rsidR="00AA3121" w:rsidRPr="00AA3121" w:rsidRDefault="00AA3121" w:rsidP="00AA3121">
            <w:pPr>
              <w:widowControl w:val="0"/>
              <w:spacing w:after="40" w:line="200" w:lineRule="atLeast"/>
              <w:ind w:left="6" w:right="113"/>
              <w:jc w:val="both"/>
              <w:rPr>
                <w:rFonts w:ascii="Arial" w:hAnsi="Arial"/>
                <w:sz w:val="18"/>
                <w:szCs w:val="20"/>
              </w:rPr>
            </w:pPr>
            <w:r w:rsidRPr="00AA3121">
              <w:rPr>
                <w:rFonts w:ascii="Arial" w:hAnsi="Arial"/>
                <w:sz w:val="18"/>
                <w:szCs w:val="20"/>
              </w:rPr>
              <w:t>These data can be interpreted as representing selected adverse events in health care that have resulted in, or have affected, hospital admissions, rather than all adverse events that occurred in hospitals. Some of the adverse events included may represent events that occurred before admission.</w:t>
            </w:r>
          </w:p>
          <w:p w:rsidR="00AA3121" w:rsidRPr="00AA3121" w:rsidRDefault="00AA3121" w:rsidP="00AA3121">
            <w:pPr>
              <w:widowControl w:val="0"/>
              <w:spacing w:after="40" w:line="200" w:lineRule="atLeast"/>
              <w:ind w:left="6" w:right="113"/>
              <w:jc w:val="both"/>
              <w:rPr>
                <w:rFonts w:ascii="Arial" w:hAnsi="Arial"/>
                <w:sz w:val="18"/>
                <w:szCs w:val="20"/>
              </w:rPr>
            </w:pPr>
            <w:r w:rsidRPr="00AA3121">
              <w:rPr>
                <w:rFonts w:ascii="Arial" w:hAnsi="Arial"/>
                <w:sz w:val="18"/>
                <w:szCs w:val="20"/>
              </w:rPr>
              <w:t>Some adverse events are not identifiable using the codes for an adverse event or a place of occurrence of hospital. Some other diagnosis codes may suggest that an adverse event has occurred when it has not.</w:t>
            </w:r>
          </w:p>
        </w:tc>
      </w:tr>
    </w:tbl>
    <w:p w:rsidR="00B33A69" w:rsidRPr="00345271" w:rsidRDefault="00B33A69" w:rsidP="00B33A69">
      <w:pPr>
        <w:pStyle w:val="Heading4"/>
      </w:pPr>
      <w:r w:rsidRPr="00345271">
        <w:t>Falls resulting in patient harm in hospitals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45271" w:rsidRPr="00345271" w:rsidTr="00345271">
        <w:tc>
          <w:tcPr>
            <w:tcW w:w="8789" w:type="dxa"/>
            <w:gridSpan w:val="2"/>
            <w:vAlign w:val="bottom"/>
          </w:tcPr>
          <w:p w:rsidR="00B33A69" w:rsidRPr="00345271" w:rsidRDefault="00B33A69" w:rsidP="00345271">
            <w:pPr>
              <w:widowControl w:val="0"/>
              <w:spacing w:after="40" w:line="200" w:lineRule="atLeast"/>
              <w:ind w:left="6" w:right="113"/>
              <w:jc w:val="both"/>
              <w:rPr>
                <w:rFonts w:ascii="Arial" w:hAnsi="Arial"/>
                <w:b/>
                <w:sz w:val="18"/>
                <w:szCs w:val="20"/>
              </w:rPr>
            </w:pPr>
          </w:p>
          <w:p w:rsidR="00B33A69" w:rsidRPr="00345271" w:rsidRDefault="00B33A69" w:rsidP="00345271">
            <w:pPr>
              <w:widowControl w:val="0"/>
              <w:spacing w:after="40" w:line="200" w:lineRule="atLeast"/>
              <w:ind w:left="6" w:right="113"/>
              <w:jc w:val="both"/>
              <w:rPr>
                <w:rFonts w:ascii="Arial" w:hAnsi="Arial"/>
                <w:b/>
                <w:sz w:val="18"/>
                <w:szCs w:val="20"/>
                <w:u w:val="single"/>
              </w:rPr>
            </w:pPr>
            <w:r w:rsidRPr="00345271">
              <w:rPr>
                <w:rFonts w:ascii="Arial" w:hAnsi="Arial"/>
                <w:b/>
                <w:sz w:val="18"/>
                <w:szCs w:val="20"/>
                <w:u w:val="single"/>
              </w:rPr>
              <w:t>Indicator definition and description</w:t>
            </w:r>
          </w:p>
        </w:tc>
      </w:tr>
      <w:tr w:rsidR="00345271" w:rsidRPr="00345271" w:rsidTr="00345271">
        <w:tc>
          <w:tcPr>
            <w:tcW w:w="1620" w:type="dxa"/>
          </w:tcPr>
          <w:p w:rsidR="00B33A69" w:rsidRPr="00345271" w:rsidRDefault="00B33A69"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Element</w:t>
            </w:r>
          </w:p>
        </w:tc>
        <w:tc>
          <w:tcPr>
            <w:tcW w:w="7169" w:type="dxa"/>
          </w:tcPr>
          <w:p w:rsidR="00B33A69" w:rsidRPr="00345271" w:rsidRDefault="00614760" w:rsidP="00345271">
            <w:pPr>
              <w:widowControl w:val="0"/>
              <w:spacing w:after="40" w:line="200" w:lineRule="atLeast"/>
              <w:ind w:left="6" w:right="113"/>
              <w:jc w:val="both"/>
              <w:rPr>
                <w:rFonts w:ascii="Arial" w:hAnsi="Arial"/>
                <w:sz w:val="18"/>
                <w:szCs w:val="20"/>
              </w:rPr>
            </w:pPr>
            <w:r w:rsidRPr="00345271">
              <w:rPr>
                <w:rFonts w:ascii="Arial" w:hAnsi="Arial"/>
                <w:sz w:val="18"/>
                <w:szCs w:val="20"/>
              </w:rPr>
              <w:t>Effectiveness — quality/safety</w:t>
            </w:r>
          </w:p>
        </w:tc>
      </w:tr>
      <w:tr w:rsidR="00345271" w:rsidRPr="00345271" w:rsidTr="00345271">
        <w:tc>
          <w:tcPr>
            <w:tcW w:w="1620" w:type="dxa"/>
          </w:tcPr>
          <w:p w:rsidR="00B33A69" w:rsidRPr="00345271" w:rsidRDefault="00B33A69"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Indicator</w:t>
            </w:r>
          </w:p>
        </w:tc>
        <w:tc>
          <w:tcPr>
            <w:tcW w:w="7169" w:type="dxa"/>
            <w:vAlign w:val="bottom"/>
          </w:tcPr>
          <w:p w:rsidR="00B33A69" w:rsidRPr="00345271" w:rsidRDefault="00614760" w:rsidP="00614760">
            <w:pPr>
              <w:pStyle w:val="TableBodyText"/>
              <w:jc w:val="both"/>
            </w:pPr>
            <w:r w:rsidRPr="00345271">
              <w:t>Adverse events in public hospitals — Falls resulting in patient harm in hospitals</w:t>
            </w:r>
          </w:p>
        </w:tc>
      </w:tr>
      <w:tr w:rsidR="00345271" w:rsidRPr="00345271" w:rsidTr="00345271">
        <w:tc>
          <w:tcPr>
            <w:tcW w:w="1620" w:type="dxa"/>
          </w:tcPr>
          <w:p w:rsidR="00C74181" w:rsidRPr="00345271" w:rsidRDefault="00C74181"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Measure</w:t>
            </w:r>
          </w:p>
          <w:p w:rsidR="00C74181" w:rsidRPr="00345271" w:rsidRDefault="00C74181"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(computation</w:t>
            </w:r>
          </w:p>
        </w:tc>
        <w:tc>
          <w:tcPr>
            <w:tcW w:w="7169" w:type="dxa"/>
          </w:tcPr>
          <w:p w:rsidR="00C74181" w:rsidRPr="00345271" w:rsidRDefault="00C74181" w:rsidP="00345271">
            <w:pPr>
              <w:pStyle w:val="TableBodyText"/>
              <w:jc w:val="both"/>
            </w:pPr>
            <w:r w:rsidRPr="00345271">
              <w:rPr>
                <w:i/>
              </w:rPr>
              <w:t>Numerator</w:t>
            </w:r>
            <w:r w:rsidRPr="00345271">
              <w:t xml:space="preserve">: Number of hospital separations with an external cause code for a fall and a place of occurrence of </w:t>
            </w:r>
            <w:r w:rsidRPr="00345271">
              <w:rPr>
                <w:i/>
              </w:rPr>
              <w:t>health service area</w:t>
            </w:r>
            <w:r w:rsidRPr="00345271">
              <w:t>.</w:t>
            </w:r>
          </w:p>
          <w:p w:rsidR="00C74181" w:rsidRPr="00345271" w:rsidRDefault="00C74181" w:rsidP="00345271">
            <w:pPr>
              <w:pStyle w:val="TableBodyText"/>
              <w:jc w:val="both"/>
            </w:pPr>
            <w:r w:rsidRPr="00345271">
              <w:rPr>
                <w:i/>
              </w:rPr>
              <w:t>Denominator</w:t>
            </w:r>
            <w:r w:rsidRPr="00345271">
              <w:t xml:space="preserve">: Total number of hospital separations. </w:t>
            </w:r>
          </w:p>
          <w:p w:rsidR="00C74181" w:rsidRPr="00345271" w:rsidRDefault="00C74181" w:rsidP="00345271">
            <w:pPr>
              <w:pStyle w:val="TableBodyText"/>
              <w:jc w:val="both"/>
            </w:pPr>
            <w:r w:rsidRPr="00345271">
              <w:t xml:space="preserve">A fall is identified by ICD-10-AM external cause codes W00, W01, </w:t>
            </w:r>
            <w:r w:rsidRPr="00345271">
              <w:br/>
              <w:t>W03–W11, W13, W14, W16–W19. Excluded from the numerator are those separations where the ICD-10-AM code for the principal diagnosis is in the range of S00 to T14 (inclusive). Also excluded from the numerator are separations where the principal diagnosis has the ICD-10-AM code Z50.9 (</w:t>
            </w:r>
            <w:r w:rsidRPr="00345271">
              <w:rPr>
                <w:i/>
              </w:rPr>
              <w:t>Care involving use of rehabilitation procedure, unspecified</w:t>
            </w:r>
            <w:r w:rsidRPr="00345271">
              <w:t>) and the second diagnosis is in the range of S00 to T14 (inclusive).</w:t>
            </w:r>
          </w:p>
          <w:p w:rsidR="00C74181" w:rsidRPr="00345271" w:rsidRDefault="00C74181" w:rsidP="00345271">
            <w:pPr>
              <w:pStyle w:val="TableBodyText"/>
              <w:jc w:val="both"/>
            </w:pPr>
            <w:r w:rsidRPr="00345271">
              <w:t xml:space="preserve">A separation is an episode of care for an admitted patient, which can be a total hospital stay (from admission to discharge, transfer or death) or a portion of a hospital stay beginning or ending in a change of type of care (for example, from acute care to rehabilitation). </w:t>
            </w:r>
          </w:p>
          <w:p w:rsidR="00C74181" w:rsidRPr="00345271" w:rsidRDefault="00C74181" w:rsidP="00345271">
            <w:pPr>
              <w:pStyle w:val="TableBodyText"/>
              <w:jc w:val="both"/>
            </w:pPr>
            <w:r w:rsidRPr="00345271">
              <w:rPr>
                <w:i/>
              </w:rPr>
              <w:t>Calculation</w:t>
            </w:r>
            <w:r w:rsidRPr="00345271">
              <w:t xml:space="preserve">: Numerator only; and 1000 </w:t>
            </w:r>
            <w:r w:rsidRPr="00345271">
              <w:rPr>
                <w:rFonts w:cs="Arial"/>
              </w:rPr>
              <w:t>× (numerator ÷ denomi</w:t>
            </w:r>
            <w:r w:rsidRPr="00345271">
              <w:t>nator)</w:t>
            </w:r>
          </w:p>
        </w:tc>
      </w:tr>
      <w:tr w:rsidR="00345271" w:rsidRPr="00345271" w:rsidTr="00345271">
        <w:tc>
          <w:tcPr>
            <w:tcW w:w="1620" w:type="dxa"/>
          </w:tcPr>
          <w:p w:rsidR="00C74181" w:rsidRPr="00345271" w:rsidRDefault="00C74181" w:rsidP="00345271">
            <w:pPr>
              <w:widowControl w:val="0"/>
              <w:spacing w:after="40" w:line="200" w:lineRule="atLeast"/>
              <w:ind w:left="6" w:right="113"/>
              <w:rPr>
                <w:rFonts w:ascii="Arial" w:hAnsi="Arial"/>
                <w:b/>
                <w:sz w:val="18"/>
                <w:szCs w:val="20"/>
              </w:rPr>
            </w:pPr>
            <w:r w:rsidRPr="00345271">
              <w:rPr>
                <w:rFonts w:ascii="Arial" w:hAnsi="Arial"/>
                <w:b/>
                <w:sz w:val="18"/>
                <w:szCs w:val="20"/>
              </w:rPr>
              <w:t>Data source/s</w:t>
            </w:r>
          </w:p>
        </w:tc>
        <w:tc>
          <w:tcPr>
            <w:tcW w:w="7169" w:type="dxa"/>
          </w:tcPr>
          <w:p w:rsidR="00C74181" w:rsidRPr="00345271" w:rsidRDefault="00C74181" w:rsidP="00345271">
            <w:pPr>
              <w:pStyle w:val="TableBodyText"/>
              <w:jc w:val="both"/>
            </w:pPr>
            <w:r w:rsidRPr="00345271">
              <w:t>This indicator is calculated using data from the National Hospital Morbidity Database (NHMD), based on the national minimum data set (NMDS) for Admitted patient care.</w:t>
            </w:r>
          </w:p>
          <w:p w:rsidR="0080196A" w:rsidRDefault="0080196A" w:rsidP="0080196A">
            <w:pPr>
              <w:pStyle w:val="TableBodyText"/>
              <w:jc w:val="both"/>
            </w:pPr>
            <w:r w:rsidRPr="00685E76">
              <w:rPr>
                <w:u w:val="single"/>
              </w:rPr>
              <w:lastRenderedPageBreak/>
              <w:t>For data by socioeconomic status:</w:t>
            </w:r>
            <w:r>
              <w:t xml:space="preserve"> calculated by AIHW using the Australian Bureau of Statistics (ABS) Socio-Economic Indexes For Areas (SEIFA), Index of Relative Socio-Economic Disadvantage (IRSD) 2011 and Estimated Resident Population (ERP) by Statistical Local Area (SLA) as at 30 June 2011. Each SLA in Australia is ranked and divided into quintiles and deciles in a population-based manner, such that each quintile has approximately 20 per cent of the population and each decile has approximately 10 per cent of the population.</w:t>
            </w:r>
          </w:p>
          <w:p w:rsidR="00C74181" w:rsidRPr="00345271" w:rsidRDefault="0080196A" w:rsidP="0080196A">
            <w:pPr>
              <w:pStyle w:val="TableBodyText"/>
              <w:jc w:val="both"/>
            </w:pPr>
            <w:r w:rsidRPr="00685E76">
              <w:rPr>
                <w:u w:val="single"/>
              </w:rPr>
              <w:t>For data by remoteness:</w:t>
            </w:r>
            <w:r>
              <w:t xml:space="preserve"> each separation is allocated an ABS remoteness area, as specified in the Australian Standard Geographical Classification, based on the SLA of usual residence of the patient.</w:t>
            </w:r>
          </w:p>
        </w:tc>
      </w:tr>
      <w:tr w:rsidR="003810BC" w:rsidRPr="003810BC" w:rsidTr="00345271">
        <w:tc>
          <w:tcPr>
            <w:tcW w:w="8789" w:type="dxa"/>
            <w:gridSpan w:val="2"/>
            <w:vAlign w:val="bottom"/>
          </w:tcPr>
          <w:p w:rsidR="00C74181" w:rsidRPr="002A22FB" w:rsidRDefault="00C74181" w:rsidP="00345271">
            <w:pPr>
              <w:widowControl w:val="0"/>
              <w:spacing w:after="40" w:line="200" w:lineRule="atLeast"/>
              <w:ind w:left="6" w:right="113"/>
              <w:jc w:val="both"/>
              <w:rPr>
                <w:rFonts w:ascii="Arial" w:hAnsi="Arial"/>
                <w:b/>
                <w:sz w:val="18"/>
                <w:szCs w:val="20"/>
              </w:rPr>
            </w:pPr>
          </w:p>
          <w:p w:rsidR="00C74181" w:rsidRPr="002A22FB" w:rsidRDefault="00C74181" w:rsidP="00345271">
            <w:pPr>
              <w:widowControl w:val="0"/>
              <w:spacing w:after="40" w:line="200" w:lineRule="atLeast"/>
              <w:ind w:left="6" w:right="113"/>
              <w:jc w:val="both"/>
              <w:rPr>
                <w:rFonts w:ascii="Arial" w:hAnsi="Arial"/>
                <w:b/>
                <w:sz w:val="18"/>
                <w:szCs w:val="20"/>
                <w:u w:val="single"/>
              </w:rPr>
            </w:pPr>
            <w:r w:rsidRPr="002A22FB">
              <w:rPr>
                <w:rFonts w:ascii="Arial" w:hAnsi="Arial"/>
                <w:b/>
                <w:sz w:val="18"/>
                <w:szCs w:val="20"/>
                <w:u w:val="single"/>
              </w:rPr>
              <w:t>Data Quality Framework Dimensions</w:t>
            </w:r>
          </w:p>
        </w:tc>
      </w:tr>
      <w:tr w:rsidR="002A22FB" w:rsidRPr="003810BC" w:rsidTr="00345271">
        <w:tc>
          <w:tcPr>
            <w:tcW w:w="1620" w:type="dxa"/>
          </w:tcPr>
          <w:p w:rsidR="002A22FB" w:rsidRPr="002A22FB" w:rsidRDefault="002A22FB"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t>Institutional environment</w:t>
            </w:r>
          </w:p>
        </w:tc>
        <w:tc>
          <w:tcPr>
            <w:tcW w:w="7169" w:type="dxa"/>
            <w:shd w:val="clear" w:color="auto" w:fill="auto"/>
          </w:tcPr>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For further information see the AIHW website www.aihw.gov.au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Data for the NESWTDC were supplied to the AIHW by state and territory health authorities under the terms of the National Health Information Agreement (see the following links):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http://www.aihw.gov.au/nhissc/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http://meteor.aihw.gov.au/content/index.phtml/itemId/182135 </w:t>
            </w:r>
          </w:p>
          <w:p w:rsidR="002A22FB" w:rsidRPr="002A22FB" w:rsidRDefault="002A22FB" w:rsidP="004B2F01">
            <w:pPr>
              <w:pStyle w:val="TableBodyText"/>
              <w:jc w:val="both"/>
              <w:rPr>
                <w:rFonts w:cs="Arial"/>
              </w:rPr>
            </w:pPr>
            <w:r w:rsidRPr="002A22FB">
              <w:rPr>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2A22FB" w:rsidRPr="002A22FB" w:rsidTr="00345271">
        <w:tc>
          <w:tcPr>
            <w:tcW w:w="1620" w:type="dxa"/>
          </w:tcPr>
          <w:p w:rsidR="00C74181" w:rsidRPr="002A22FB" w:rsidRDefault="00C74181"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t>Relevance</w:t>
            </w:r>
          </w:p>
        </w:tc>
        <w:tc>
          <w:tcPr>
            <w:tcW w:w="7169" w:type="dxa"/>
            <w:shd w:val="clear" w:color="auto" w:fill="auto"/>
          </w:tcPr>
          <w:p w:rsidR="002A22FB" w:rsidRPr="002A22FB" w:rsidRDefault="002A22FB" w:rsidP="002A22FB">
            <w:pPr>
              <w:pStyle w:val="TableBodyText"/>
              <w:jc w:val="both"/>
            </w:pPr>
            <w:r w:rsidRPr="002A22FB">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2A22FB" w:rsidRPr="002A22FB" w:rsidRDefault="002A22FB" w:rsidP="002A22FB">
            <w:pPr>
              <w:pStyle w:val="TableBodyText"/>
              <w:jc w:val="both"/>
            </w:pPr>
            <w:r w:rsidRPr="002A22FB">
              <w:t>The hospital separations data do not include episodes of non-admitted patient care provided in outpatient clinics or emergency departments.</w:t>
            </w:r>
          </w:p>
          <w:p w:rsidR="002A22FB" w:rsidRPr="002A22FB" w:rsidRDefault="002A22FB" w:rsidP="002A22FB">
            <w:pPr>
              <w:pStyle w:val="TableBodyText"/>
              <w:jc w:val="both"/>
            </w:pPr>
            <w:r w:rsidRPr="002A22FB">
              <w:t xml:space="preserve">The analyses by remoteness and socioeconomic status are based on the Statistical Local Area (SLA) of usual residence of the patient. The Socio-Economic Indexes for </w:t>
            </w:r>
            <w:r w:rsidRPr="002A22FB">
              <w:lastRenderedPageBreak/>
              <w:t xml:space="preserve">Areas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SLA are derived from 2011 Census data and represent the attributes of the population in that SLA in 2011. </w:t>
            </w:r>
          </w:p>
          <w:p w:rsidR="002A22FB" w:rsidRPr="002A22FB" w:rsidRDefault="002A22FB" w:rsidP="002A22FB">
            <w:pPr>
              <w:pStyle w:val="TableBodyText"/>
              <w:jc w:val="both"/>
            </w:pPr>
            <w:r w:rsidRPr="002A22FB">
              <w:t>Separations are reported by jurisdiction of hospitalisation, regardless of the jurisdiction of usual residence. Hence, rates represent the number of separations for patients living in each remoteness area or SEIFA population group (regardless of their jurisdiction of residence) divided by the total number of separations for people living in that remoteness area or SEIFA population group and hospitalised in the reporting jurisdiction. This is relevant if significant numbers of one jurisdiction’s residents are treated in another jurisdiction.</w:t>
            </w:r>
          </w:p>
          <w:p w:rsidR="00C74181" w:rsidRPr="002A22FB" w:rsidRDefault="00C74181" w:rsidP="002A22FB">
            <w:pPr>
              <w:pStyle w:val="TableBodyText"/>
              <w:jc w:val="both"/>
            </w:pPr>
            <w:r w:rsidRPr="002A22FB">
              <w:t>Other Australians includes separations for non</w:t>
            </w:r>
            <w:r w:rsidRPr="002A22FB">
              <w:noBreakHyphen/>
              <w:t xml:space="preserve">Indigenous people and those for whom Indigenous status was not stated. </w:t>
            </w:r>
          </w:p>
        </w:tc>
      </w:tr>
      <w:tr w:rsidR="002A22FB" w:rsidRPr="002A22FB" w:rsidTr="00345271">
        <w:tc>
          <w:tcPr>
            <w:tcW w:w="1620" w:type="dxa"/>
          </w:tcPr>
          <w:p w:rsidR="00C74181" w:rsidRPr="002A22FB" w:rsidRDefault="00C74181"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lastRenderedPageBreak/>
              <w:t>Timeliness</w:t>
            </w:r>
          </w:p>
        </w:tc>
        <w:tc>
          <w:tcPr>
            <w:tcW w:w="7169" w:type="dxa"/>
          </w:tcPr>
          <w:p w:rsidR="00C74181" w:rsidRPr="002A22FB" w:rsidRDefault="00C74181" w:rsidP="002A22FB">
            <w:pPr>
              <w:pStyle w:val="TableBodyText"/>
              <w:jc w:val="both"/>
            </w:pPr>
            <w:r w:rsidRPr="002A22FB">
              <w:t>The reference period for this data set is 20</w:t>
            </w:r>
            <w:r w:rsidR="002A22FB" w:rsidRPr="002A22FB">
              <w:t>12</w:t>
            </w:r>
            <w:r w:rsidRPr="002A22FB">
              <w:t>–1</w:t>
            </w:r>
            <w:r w:rsidR="002A22FB" w:rsidRPr="002A22FB">
              <w:t>3</w:t>
            </w:r>
            <w:r w:rsidRPr="002A22FB">
              <w:t>.</w:t>
            </w:r>
          </w:p>
        </w:tc>
      </w:tr>
      <w:tr w:rsidR="003810BC" w:rsidRPr="003810BC" w:rsidTr="00345271">
        <w:tc>
          <w:tcPr>
            <w:tcW w:w="1620" w:type="dxa"/>
          </w:tcPr>
          <w:p w:rsidR="00C74181" w:rsidRPr="002A22FB" w:rsidRDefault="00C74181"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t>Accuracy</w:t>
            </w:r>
          </w:p>
        </w:tc>
        <w:tc>
          <w:tcPr>
            <w:tcW w:w="7169" w:type="dxa"/>
          </w:tcPr>
          <w:p w:rsidR="002A22FB" w:rsidRPr="002A22FB" w:rsidRDefault="002A22FB" w:rsidP="002A22FB">
            <w:pPr>
              <w:pStyle w:val="TableBodyText"/>
              <w:jc w:val="both"/>
            </w:pPr>
            <w:r w:rsidRPr="002A22FB">
              <w:t xml:space="preserve">For 2012–13, almost all public hospitals provided data for the NHMD. The exception was a mothercraft hospital in the </w:t>
            </w:r>
            <w:r w:rsidR="00FA5C46">
              <w:t>ACT</w:t>
            </w:r>
            <w:r w:rsidRPr="002A22FB">
              <w:t xml:space="preserve">. The great majority of private hospitals also provided data, the exceptions being the private free-standing day hospital facilities in the </w:t>
            </w:r>
            <w:r w:rsidR="00FA5C46">
              <w:t>ACT</w:t>
            </w:r>
            <w:r w:rsidRPr="002A22FB">
              <w:t xml:space="preserve">, the single private free-standing day hospital in the </w:t>
            </w:r>
            <w:r w:rsidR="00FA5C46">
              <w:t>NT</w:t>
            </w:r>
            <w:r w:rsidRPr="002A22FB">
              <w:t>, and a private free-standing day hospital in Victoria.</w:t>
            </w:r>
          </w:p>
          <w:p w:rsidR="00C74181" w:rsidRPr="002A22FB" w:rsidRDefault="00C74181" w:rsidP="002A22FB">
            <w:pPr>
              <w:pStyle w:val="TableBodyText"/>
              <w:jc w:val="both"/>
            </w:pPr>
            <w:r w:rsidRPr="002A22FB">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w:t>
            </w:r>
          </w:p>
          <w:p w:rsidR="002A22FB" w:rsidRPr="002A22FB" w:rsidRDefault="002A22FB" w:rsidP="00345271">
            <w:pPr>
              <w:pStyle w:val="TableBodyText"/>
              <w:jc w:val="both"/>
            </w:pPr>
            <w:r w:rsidRPr="002A22FB">
              <w:t xml:space="preserve">The AIHW report Indigenous identification in hospital separations data: quality report (AIHW 2013) found that nationally, about 88 per cent of </w:t>
            </w:r>
            <w:r w:rsidR="00E8429E">
              <w:t>Aboriginal and Torres Strait Islander</w:t>
            </w:r>
            <w:r w:rsidRPr="002A22FB">
              <w:t xml:space="preserve"> Australians were identified correctly in hospital admissions data in the 2011–12 study period, and the ‘true’ number of separations for </w:t>
            </w:r>
            <w:r w:rsidR="00E8429E">
              <w:t>Aboriginal and Torres Strait Islander</w:t>
            </w:r>
            <w:r w:rsidRPr="002A22FB">
              <w:t xml:space="preserve"> Australians was about 9 per cent higher than reported. The report recommended that the data for all jurisdictions are used in analysis of </w:t>
            </w:r>
            <w:r w:rsidR="006B0096">
              <w:t>Aboriginal and Torres Strait Islander</w:t>
            </w:r>
            <w:r w:rsidR="006B0096" w:rsidRPr="002A22FB">
              <w:t xml:space="preserve"> </w:t>
            </w:r>
            <w:r w:rsidRPr="002A22FB">
              <w:t xml:space="preserve">hospitalisation rates, for hospitalisations in total in national analyses of </w:t>
            </w:r>
            <w:r w:rsidR="006B0096">
              <w:t>Aboriginal and Torres Strait Islander</w:t>
            </w:r>
            <w:r w:rsidR="006B0096" w:rsidRPr="002A22FB">
              <w:t xml:space="preserve"> </w:t>
            </w:r>
            <w:r w:rsidRPr="002A22FB">
              <w:t xml:space="preserve">admitted patient care. However, these data should be interpreted with caution as there is variation among jurisdictions in the quality of the Indigenous status data. </w:t>
            </w:r>
          </w:p>
          <w:p w:rsidR="00C74181" w:rsidRPr="002A22FB" w:rsidRDefault="00C74181" w:rsidP="00345271">
            <w:pPr>
              <w:pStyle w:val="TableBodyText"/>
              <w:jc w:val="both"/>
            </w:pPr>
            <w:r w:rsidRPr="002A22FB">
              <w:t xml:space="preserve">The specification for the indicator defines a fall in hospital as being one for which the place of occurrence is coded as </w:t>
            </w:r>
            <w:r w:rsidRPr="002A22FB">
              <w:rPr>
                <w:i/>
              </w:rPr>
              <w:t>Health service area</w:t>
            </w:r>
            <w:r w:rsidRPr="002A22FB">
              <w:t xml:space="preserve">. The </w:t>
            </w:r>
            <w:r w:rsidRPr="002A22FB">
              <w:rPr>
                <w:i/>
              </w:rPr>
              <w:t>Health service area</w:t>
            </w:r>
            <w:r w:rsidRPr="002A22FB">
              <w:t xml:space="preserve"> as a place of occurrence is broader in scope than hospitals—it includes other health service settings such as day surgery centres and hospices. Hence the numbers presented could be an overestimate as they include falls in health care settings other than hospitals.</w:t>
            </w:r>
          </w:p>
          <w:p w:rsidR="00C74181" w:rsidRPr="002A22FB" w:rsidRDefault="00C74181" w:rsidP="00345271">
            <w:pPr>
              <w:pStyle w:val="TableBodyText"/>
              <w:jc w:val="both"/>
            </w:pPr>
            <w:r w:rsidRPr="002A22FB">
              <w:t>Around 2</w:t>
            </w:r>
            <w:r w:rsidR="00CF54FE" w:rsidRPr="002A22FB">
              <w:t>6</w:t>
            </w:r>
            <w:r w:rsidRPr="002A22FB">
              <w:t> per cent of the records of separations involving falls did not have a code assigned for the place of occurrence. Consequently, the recorded number of falls occurring in hospitals may be an underestimate.</w:t>
            </w:r>
          </w:p>
          <w:p w:rsidR="00C74181" w:rsidRPr="002A22FB" w:rsidRDefault="00C74181" w:rsidP="00345271">
            <w:pPr>
              <w:pStyle w:val="TableBodyText"/>
              <w:jc w:val="both"/>
            </w:pPr>
            <w:r w:rsidRPr="002A22FB">
              <w:t>For separations having multiple external causes, it is not possible to establish (from the NHMD) whether the nominated place of occurrence is associated with the fall or with some other external cause. As a consequence, the count of separations may also be overestimated.</w:t>
            </w:r>
          </w:p>
          <w:p w:rsidR="00C74181" w:rsidRPr="002A22FB" w:rsidRDefault="00C74181" w:rsidP="00345271">
            <w:pPr>
              <w:pStyle w:val="TableBodyText"/>
              <w:jc w:val="both"/>
            </w:pPr>
            <w:r w:rsidRPr="002A22FB">
              <w:t>To minimise the chance of overestimation, separations where a person was admitted to hospital with a principal diagnosis of an injury were excluded on the basis that if the injury was the principal diagnosis it was associated with an external cause relating to an event occurring prior to admission. However, these exclusions may result in an underestimation of the indicator as the indicator does not count separations where a person is injured and admitted to hospital and then subsequently experiences a fall in hospital.</w:t>
            </w:r>
          </w:p>
          <w:p w:rsidR="00C74181" w:rsidRPr="002A22FB" w:rsidRDefault="00C74181" w:rsidP="00345271">
            <w:pPr>
              <w:pStyle w:val="TableBodyText"/>
              <w:jc w:val="both"/>
            </w:pPr>
            <w:r w:rsidRPr="002A22FB">
              <w:t>Data on falls are recorded uniformly using the ICD-10-AM.</w:t>
            </w:r>
          </w:p>
          <w:p w:rsidR="00C74181" w:rsidRPr="002A22FB" w:rsidRDefault="00C74181" w:rsidP="00345271">
            <w:pPr>
              <w:pStyle w:val="TableBodyText"/>
              <w:jc w:val="both"/>
            </w:pPr>
            <w:r w:rsidRPr="002A22FB">
              <w:t xml:space="preserve">The indicator provides a count of separations involving one or more falls. It does not provide a count of falls. </w:t>
            </w:r>
          </w:p>
          <w:p w:rsidR="00C74181" w:rsidRPr="002A22FB" w:rsidRDefault="00C74181" w:rsidP="00345271">
            <w:pPr>
              <w:pStyle w:val="TableBodyText"/>
              <w:jc w:val="both"/>
            </w:pPr>
            <w:r w:rsidRPr="002A22FB">
              <w:t xml:space="preserve">Comparability is affected by data not being adjusted for differences in casemix (for </w:t>
            </w:r>
            <w:r w:rsidRPr="002A22FB">
              <w:lastRenderedPageBreak/>
              <w:t>example, patient age).</w:t>
            </w:r>
          </w:p>
          <w:p w:rsidR="00C74181" w:rsidRPr="002A22FB" w:rsidRDefault="00C74181" w:rsidP="00345271">
            <w:pPr>
              <w:pStyle w:val="TableBodyText"/>
              <w:jc w:val="both"/>
            </w:pPr>
            <w:r w:rsidRPr="002A22FB">
              <w:t>Cells have been suppressed to protect confidentiality where the presentation could identify a patient or a service provider or where rates are likely to be highly volatile, for example, where the denominator is very small. The following rules were applied:</w:t>
            </w:r>
          </w:p>
          <w:p w:rsidR="00C74181" w:rsidRPr="002A22FB" w:rsidRDefault="00C74181" w:rsidP="00C74181">
            <w:pPr>
              <w:pStyle w:val="TableBodyText"/>
              <w:numPr>
                <w:ilvl w:val="0"/>
                <w:numId w:val="23"/>
              </w:numPr>
              <w:spacing w:line="220" w:lineRule="atLeast"/>
              <w:jc w:val="both"/>
            </w:pPr>
            <w:r w:rsidRPr="002A22FB">
              <w:t>Rates were suppressed where the numerator was less than 5.</w:t>
            </w:r>
          </w:p>
          <w:p w:rsidR="00C74181" w:rsidRPr="002A22FB" w:rsidRDefault="00C74181" w:rsidP="00E8429E">
            <w:pPr>
              <w:pStyle w:val="TableBodyText"/>
              <w:numPr>
                <w:ilvl w:val="0"/>
                <w:numId w:val="23"/>
              </w:numPr>
              <w:spacing w:line="220" w:lineRule="atLeast"/>
              <w:jc w:val="both"/>
            </w:pPr>
            <w:r w:rsidRPr="002A22FB">
              <w:t xml:space="preserve">Data for private hospitals in </w:t>
            </w:r>
            <w:smartTag w:uri="urn:schemas-microsoft-com:office:smarttags" w:element="State">
              <w:r w:rsidRPr="002A22FB">
                <w:t>Tasmania</w:t>
              </w:r>
            </w:smartTag>
            <w:r w:rsidRPr="002A22FB">
              <w:t xml:space="preserve">, </w:t>
            </w:r>
            <w:r w:rsidR="00E8429E">
              <w:t xml:space="preserve">ACT </w:t>
            </w:r>
            <w:r w:rsidRPr="002A22FB">
              <w:t xml:space="preserve">and the </w:t>
            </w:r>
            <w:r w:rsidR="00E8429E">
              <w:t xml:space="preserve">NT </w:t>
            </w:r>
            <w:r w:rsidRPr="002A22FB">
              <w:t xml:space="preserve">were suppressed. </w:t>
            </w:r>
          </w:p>
        </w:tc>
      </w:tr>
      <w:tr w:rsidR="003810BC" w:rsidRPr="003810BC" w:rsidTr="00345271">
        <w:tc>
          <w:tcPr>
            <w:tcW w:w="1620" w:type="dxa"/>
          </w:tcPr>
          <w:p w:rsidR="00C74181" w:rsidRPr="000F1E69" w:rsidRDefault="00C74181" w:rsidP="00345271">
            <w:pPr>
              <w:widowControl w:val="0"/>
              <w:spacing w:after="40" w:line="200" w:lineRule="atLeast"/>
              <w:ind w:left="6" w:right="113"/>
              <w:jc w:val="both"/>
              <w:rPr>
                <w:rFonts w:ascii="Arial" w:hAnsi="Arial"/>
                <w:b/>
                <w:sz w:val="18"/>
                <w:szCs w:val="20"/>
              </w:rPr>
            </w:pPr>
            <w:r w:rsidRPr="000F1E69">
              <w:rPr>
                <w:rFonts w:ascii="Arial" w:hAnsi="Arial"/>
                <w:b/>
                <w:sz w:val="18"/>
                <w:szCs w:val="20"/>
              </w:rPr>
              <w:lastRenderedPageBreak/>
              <w:t>Coherence</w:t>
            </w:r>
          </w:p>
        </w:tc>
        <w:tc>
          <w:tcPr>
            <w:tcW w:w="7169" w:type="dxa"/>
          </w:tcPr>
          <w:p w:rsidR="00BF76F7" w:rsidRDefault="00BF76F7" w:rsidP="00BF76F7">
            <w:pPr>
              <w:pStyle w:val="TableBodyText"/>
              <w:keepNext w:val="0"/>
              <w:keepLines w:val="0"/>
              <w:widowControl w:val="0"/>
              <w:jc w:val="both"/>
            </w:pPr>
            <w:r>
              <w:t xml:space="preserve">The information presented for this indicator is calculated using the same methodology as data published in </w:t>
            </w:r>
            <w:r w:rsidRPr="00EC4163">
              <w:rPr>
                <w:i/>
              </w:rPr>
              <w:t>Australian hospital statistics 201</w:t>
            </w:r>
            <w:r w:rsidR="00EC4163">
              <w:rPr>
                <w:i/>
              </w:rPr>
              <w:t>2</w:t>
            </w:r>
            <w:r w:rsidRPr="00EC4163">
              <w:rPr>
                <w:i/>
              </w:rPr>
              <w:t>–1</w:t>
            </w:r>
            <w:r w:rsidR="00EC4163">
              <w:rPr>
                <w:i/>
              </w:rPr>
              <w:t>3</w:t>
            </w:r>
            <w:r>
              <w:t>.</w:t>
            </w:r>
          </w:p>
          <w:p w:rsidR="00785911" w:rsidRPr="00785911" w:rsidRDefault="00785911" w:rsidP="00785911">
            <w:pPr>
              <w:pStyle w:val="TableBodyText"/>
              <w:keepNext w:val="0"/>
              <w:keepLines w:val="0"/>
              <w:widowControl w:val="0"/>
              <w:jc w:val="both"/>
            </w:pPr>
            <w:r w:rsidRPr="00785911">
              <w:t xml:space="preserve">The data can be meaningfully compared across reference periods for all jurisdictions except </w:t>
            </w:r>
            <w:smartTag w:uri="urn:schemas-microsoft-com:office:smarttags" w:element="place">
              <w:smartTag w:uri="urn:schemas-microsoft-com:office:smarttags" w:element="State">
                <w:r w:rsidRPr="00785911">
                  <w:t>Tasmania</w:t>
                </w:r>
              </w:smartTag>
            </w:smartTag>
            <w:r w:rsidRPr="00785911">
              <w:t xml:space="preserve">. 2008–09 data for </w:t>
            </w:r>
            <w:smartTag w:uri="urn:schemas-microsoft-com:office:smarttags" w:element="place">
              <w:smartTag w:uri="urn:schemas-microsoft-com:office:smarttags" w:element="State">
                <w:r w:rsidRPr="00785911">
                  <w:t>Tasmania</w:t>
                </w:r>
              </w:smartTag>
            </w:smartTag>
            <w:r w:rsidRPr="00785911">
              <w:t xml:space="preserve"> does not include two private hospitals that were included in 2007–08 and 2009–10 data reported in the National Healthcare Agreement performance reports.</w:t>
            </w:r>
          </w:p>
          <w:p w:rsidR="00BF76F7" w:rsidRDefault="00FE2943" w:rsidP="00BF76F7">
            <w:pPr>
              <w:pStyle w:val="TableBodyText"/>
              <w:keepNext w:val="0"/>
              <w:keepLines w:val="0"/>
              <w:widowControl w:val="0"/>
              <w:jc w:val="both"/>
            </w:pPr>
            <w:r>
              <w:t>C</w:t>
            </w:r>
            <w:r w:rsidR="00BF76F7">
              <w:t>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BF76F7" w:rsidRDefault="00BF76F7" w:rsidP="00BF76F7">
            <w:pPr>
              <w:pStyle w:val="TableBodyText"/>
              <w:keepNext w:val="0"/>
              <w:keepLines w:val="0"/>
              <w:widowControl w:val="0"/>
              <w:jc w:val="both"/>
            </w:pPr>
            <w:r>
              <w:t xml:space="preserve">National level data disaggregated by Indigenous status for 2007–08 included data from NSW, Queensland, WA, SA and NT. National level data disaggregated by Indigenous status for 2008–09, 2009–10 and 2010–11 included data from NSW, Victoria, Queensland,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C74181" w:rsidRPr="003810BC" w:rsidRDefault="00BF76F7" w:rsidP="00BF76F7">
            <w:pPr>
              <w:pStyle w:val="TableBodyText"/>
              <w:jc w:val="both"/>
              <w:rPr>
                <w:color w:val="FF0000"/>
              </w:rPr>
            </w:pPr>
            <w:r>
              <w:t>In 2011, the ABS updated the Socio-Economic Indices for Areas (SEIFA), based on the 2011 ABS Census of Population and Housing.  The new SEIFA will be referred to as SEIFA 2011, and the previous SEIFA as SEIFA 2006.  Data for 2007-08 through to 2010-11 reported for SEIFA quintiles are reported using SEIFA 2006 at the Statistical Local Area (SLA) level.  Data for 2011-12 are reported using SEIFA 2011 at the SLA level.  The AIHW consider the change from SEIFA 2006 to SEIFA 2011 to be a series break when applied to data supplied for this indicator, therefore SEIFA data for 2011-12 are not directly comparable with SEIFA data from previous reporting cycles.</w:t>
            </w:r>
          </w:p>
        </w:tc>
      </w:tr>
      <w:tr w:rsidR="003810BC" w:rsidRPr="003810BC" w:rsidTr="00345271">
        <w:tc>
          <w:tcPr>
            <w:tcW w:w="1620" w:type="dxa"/>
          </w:tcPr>
          <w:p w:rsidR="00C74181" w:rsidRPr="00CF54FE" w:rsidRDefault="00C74181" w:rsidP="00345271">
            <w:pPr>
              <w:widowControl w:val="0"/>
              <w:spacing w:after="40" w:line="200" w:lineRule="atLeast"/>
              <w:ind w:left="6" w:right="113"/>
              <w:jc w:val="both"/>
              <w:rPr>
                <w:rFonts w:ascii="Arial" w:hAnsi="Arial"/>
                <w:b/>
                <w:sz w:val="18"/>
                <w:szCs w:val="20"/>
              </w:rPr>
            </w:pPr>
            <w:r w:rsidRPr="00CF54FE">
              <w:rPr>
                <w:rFonts w:ascii="Arial" w:hAnsi="Arial"/>
                <w:b/>
                <w:sz w:val="18"/>
                <w:szCs w:val="20"/>
              </w:rPr>
              <w:t>Accessibility</w:t>
            </w:r>
          </w:p>
        </w:tc>
        <w:tc>
          <w:tcPr>
            <w:tcW w:w="7169" w:type="dxa"/>
          </w:tcPr>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The AIHW provides a variety of products that draw upon the NHMD. Published products available on the AIHW website are:</w:t>
            </w:r>
          </w:p>
          <w:p w:rsidR="00DB154A" w:rsidRPr="00C947FF" w:rsidRDefault="00DB154A" w:rsidP="00DB154A">
            <w:pPr>
              <w:widowControl w:val="0"/>
              <w:numPr>
                <w:ilvl w:val="0"/>
                <w:numId w:val="8"/>
              </w:numPr>
              <w:spacing w:after="40" w:line="220" w:lineRule="atLeast"/>
              <w:ind w:right="113"/>
              <w:rPr>
                <w:rFonts w:ascii="Arial" w:hAnsi="Arial"/>
                <w:sz w:val="18"/>
                <w:szCs w:val="18"/>
              </w:rPr>
            </w:pPr>
            <w:r w:rsidRPr="00C947FF">
              <w:rPr>
                <w:rFonts w:ascii="Arial" w:hAnsi="Arial"/>
                <w:sz w:val="18"/>
                <w:szCs w:val="18"/>
              </w:rPr>
              <w:t xml:space="preserve">Australian hospital statistics with associated Excel tables </w:t>
            </w:r>
          </w:p>
          <w:p w:rsidR="00DB154A" w:rsidRPr="00C947FF" w:rsidRDefault="00DB154A" w:rsidP="00DB154A">
            <w:pPr>
              <w:widowControl w:val="0"/>
              <w:numPr>
                <w:ilvl w:val="0"/>
                <w:numId w:val="8"/>
              </w:numPr>
              <w:spacing w:after="40" w:line="220" w:lineRule="atLeast"/>
              <w:ind w:right="113"/>
              <w:rPr>
                <w:rFonts w:ascii="Arial" w:hAnsi="Arial"/>
                <w:sz w:val="18"/>
                <w:szCs w:val="18"/>
              </w:rPr>
            </w:pPr>
            <w:r w:rsidRPr="00C947FF">
              <w:rPr>
                <w:rFonts w:ascii="Arial" w:hAnsi="Arial"/>
                <w:sz w:val="18"/>
                <w:szCs w:val="18"/>
              </w:rPr>
              <w:t>interactive data cubes for Admitted patient care (for Principal diagnoses, Procedures and Diagnosis Related Groups).</w:t>
            </w:r>
          </w:p>
          <w:p w:rsidR="00C74181" w:rsidRPr="00CF54FE" w:rsidRDefault="00DB154A" w:rsidP="00DB154A">
            <w:pPr>
              <w:pStyle w:val="TableBodyText"/>
              <w:jc w:val="both"/>
            </w:pPr>
            <w:r w:rsidRPr="00C947FF">
              <w:rPr>
                <w:rFonts w:cs="Arial"/>
                <w:szCs w:val="18"/>
              </w:rPr>
              <w:t xml:space="preserve">These products may be accessed on the AIHW website at: </w:t>
            </w:r>
            <w:r w:rsidRPr="00C947FF">
              <w:rPr>
                <w:rFonts w:cs="Arial"/>
                <w:color w:val="78A22F" w:themeColor="hyperlink"/>
                <w:szCs w:val="18"/>
                <w:u w:val="single"/>
              </w:rPr>
              <w:t>http://www.aihw.gov.au/hospitals/</w:t>
            </w:r>
          </w:p>
        </w:tc>
      </w:tr>
      <w:tr w:rsidR="003810BC" w:rsidRPr="003810BC" w:rsidTr="00345271">
        <w:tc>
          <w:tcPr>
            <w:tcW w:w="1620" w:type="dxa"/>
          </w:tcPr>
          <w:p w:rsidR="00C74181" w:rsidRPr="00CF54FE" w:rsidRDefault="00C74181" w:rsidP="00345271">
            <w:pPr>
              <w:widowControl w:val="0"/>
              <w:spacing w:after="40" w:line="200" w:lineRule="atLeast"/>
              <w:ind w:left="6" w:right="113"/>
              <w:jc w:val="both"/>
              <w:rPr>
                <w:rFonts w:ascii="Arial" w:hAnsi="Arial"/>
                <w:b/>
                <w:sz w:val="18"/>
                <w:szCs w:val="20"/>
              </w:rPr>
            </w:pPr>
            <w:r w:rsidRPr="00CF54FE">
              <w:rPr>
                <w:rFonts w:ascii="Arial" w:hAnsi="Arial"/>
                <w:b/>
                <w:sz w:val="18"/>
                <w:szCs w:val="20"/>
              </w:rPr>
              <w:t>Interpretability</w:t>
            </w:r>
          </w:p>
        </w:tc>
        <w:tc>
          <w:tcPr>
            <w:tcW w:w="7169" w:type="dxa"/>
          </w:tcPr>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rPr>
                <w:rFonts w:ascii="Arial" w:hAnsi="Arial"/>
                <w:sz w:val="18"/>
                <w:szCs w:val="18"/>
              </w:rPr>
              <w:t xml:space="preserve">Aboriginal and Torres Strait Islander </w:t>
            </w:r>
            <w:r w:rsidRPr="00C947FF">
              <w:rPr>
                <w:rFonts w:ascii="Arial" w:hAnsi="Arial"/>
                <w:sz w:val="18"/>
                <w:szCs w:val="18"/>
              </w:rPr>
              <w:t>data, and changes in service delivery that might affect interpretation of the published data. Metadata information for the National Minimum Data Set (NMDS) for Admitted patient care is published in the AIHW’s online metadata repository, METeOR, and the National health data dictionary.</w:t>
            </w:r>
          </w:p>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The National health data dictionary can be accessed online at:</w:t>
            </w:r>
          </w:p>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color w:val="78A22F" w:themeColor="hyperlink"/>
                <w:sz w:val="18"/>
                <w:szCs w:val="18"/>
                <w:u w:val="single"/>
              </w:rPr>
              <w:t>http://www.aihw.gov.au/publication-detail/?id=10737422826</w:t>
            </w:r>
            <w:r w:rsidRPr="00C947FF">
              <w:rPr>
                <w:rFonts w:ascii="Arial" w:hAnsi="Arial"/>
                <w:sz w:val="18"/>
                <w:szCs w:val="18"/>
              </w:rPr>
              <w:t xml:space="preserve"> </w:t>
            </w:r>
          </w:p>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The Data Quality Statement for the National Hospital Morbidity Database can be accessed on the AIHW website at:</w:t>
            </w:r>
          </w:p>
          <w:p w:rsidR="00C74181" w:rsidRPr="00CF54FE" w:rsidRDefault="00DB154A" w:rsidP="00DB154A">
            <w:pPr>
              <w:pStyle w:val="TableBodyText"/>
              <w:jc w:val="both"/>
            </w:pPr>
            <w:r w:rsidRPr="00C947FF">
              <w:rPr>
                <w:rFonts w:cs="Arial"/>
                <w:color w:val="78A22F" w:themeColor="hyperlink"/>
                <w:szCs w:val="18"/>
                <w:u w:val="single"/>
              </w:rPr>
              <w:t>http://meteor.aihw.gov.au/content/index.phtml/itemId/529483</w:t>
            </w:r>
          </w:p>
        </w:tc>
      </w:tr>
      <w:tr w:rsidR="00C74181" w:rsidRPr="005F4F33" w:rsidTr="00345271">
        <w:tc>
          <w:tcPr>
            <w:tcW w:w="8789" w:type="dxa"/>
            <w:gridSpan w:val="2"/>
            <w:vAlign w:val="bottom"/>
          </w:tcPr>
          <w:p w:rsidR="00C74181" w:rsidRPr="004A4173" w:rsidRDefault="00C74181" w:rsidP="00345271">
            <w:pPr>
              <w:widowControl w:val="0"/>
              <w:spacing w:after="40" w:line="200" w:lineRule="atLeast"/>
              <w:ind w:left="6" w:right="113"/>
              <w:jc w:val="both"/>
              <w:rPr>
                <w:rFonts w:ascii="Arial" w:hAnsi="Arial"/>
                <w:b/>
                <w:sz w:val="18"/>
                <w:szCs w:val="20"/>
              </w:rPr>
            </w:pPr>
          </w:p>
          <w:p w:rsidR="00C74181" w:rsidRPr="004A4173" w:rsidRDefault="00C74181" w:rsidP="00345271">
            <w:pPr>
              <w:widowControl w:val="0"/>
              <w:spacing w:after="40" w:line="200" w:lineRule="atLeast"/>
              <w:ind w:left="6" w:right="113"/>
              <w:jc w:val="both"/>
              <w:rPr>
                <w:rFonts w:ascii="Arial" w:hAnsi="Arial"/>
                <w:b/>
                <w:sz w:val="18"/>
                <w:szCs w:val="20"/>
                <w:u w:val="single"/>
              </w:rPr>
            </w:pPr>
            <w:r w:rsidRPr="004A4173">
              <w:rPr>
                <w:rFonts w:ascii="Arial" w:hAnsi="Arial"/>
                <w:b/>
                <w:sz w:val="18"/>
                <w:szCs w:val="20"/>
                <w:u w:val="single"/>
              </w:rPr>
              <w:t>Data Gaps/Issues Analysis</w:t>
            </w:r>
          </w:p>
        </w:tc>
      </w:tr>
      <w:tr w:rsidR="00C74181" w:rsidRPr="005F4F33" w:rsidTr="00345271">
        <w:tc>
          <w:tcPr>
            <w:tcW w:w="1620" w:type="dxa"/>
          </w:tcPr>
          <w:p w:rsidR="00C74181" w:rsidRPr="004A4173" w:rsidRDefault="00C74181" w:rsidP="00345271">
            <w:pPr>
              <w:widowControl w:val="0"/>
              <w:spacing w:after="40" w:line="200" w:lineRule="atLeast"/>
              <w:ind w:left="6" w:right="113"/>
              <w:rPr>
                <w:rFonts w:ascii="Arial" w:hAnsi="Arial"/>
                <w:b/>
                <w:sz w:val="18"/>
                <w:szCs w:val="20"/>
              </w:rPr>
            </w:pPr>
            <w:r w:rsidRPr="004A4173">
              <w:rPr>
                <w:rFonts w:ascii="Arial" w:hAnsi="Arial"/>
                <w:b/>
                <w:sz w:val="18"/>
                <w:szCs w:val="20"/>
              </w:rPr>
              <w:t>Key data gaps/issues</w:t>
            </w:r>
          </w:p>
        </w:tc>
        <w:tc>
          <w:tcPr>
            <w:tcW w:w="7169" w:type="dxa"/>
          </w:tcPr>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The Steering Committee notes the following issues:</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 xml:space="preserve">The recorded number of falls occurring in hospitals may be an underestimate as </w:t>
            </w:r>
            <w:r w:rsidRPr="004A4173">
              <w:rPr>
                <w:rFonts w:ascii="Arial" w:hAnsi="Arial"/>
                <w:sz w:val="18"/>
                <w:szCs w:val="20"/>
              </w:rPr>
              <w:lastRenderedPageBreak/>
              <w:t>around 2</w:t>
            </w:r>
            <w:r w:rsidR="00BF76F7">
              <w:rPr>
                <w:rFonts w:ascii="Arial" w:hAnsi="Arial"/>
                <w:sz w:val="18"/>
                <w:szCs w:val="20"/>
              </w:rPr>
              <w:t>6</w:t>
            </w:r>
            <w:r w:rsidRPr="004A4173">
              <w:rPr>
                <w:rFonts w:ascii="Arial" w:hAnsi="Arial"/>
                <w:sz w:val="18"/>
                <w:szCs w:val="20"/>
              </w:rPr>
              <w:t xml:space="preserve"> per cent of the records of separations involving falls did not have a code assigned for the place of occurrence.</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Underestimation and overestimation may also have occurred due to other limitations of the data.</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The indicator provides a count of separations involving one or more falls. It does not provide a count of falls.</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Comparability is affected by data not being adjusted for differences in casemix (for example, patient age).</w:t>
            </w:r>
          </w:p>
          <w:p w:rsidR="00C74181"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Data on Indigenous status reported for Tasmania and the ACT should be interpreted with caution until an assessment of Indigenous identification is completed.</w:t>
            </w:r>
          </w:p>
        </w:tc>
      </w:tr>
    </w:tbl>
    <w:p w:rsidR="0090363E" w:rsidRDefault="0090363E" w:rsidP="0090363E">
      <w:pPr>
        <w:pStyle w:val="Heading3"/>
      </w:pPr>
      <w:bookmarkStart w:id="9" w:name="_Toc401912927"/>
      <w:r>
        <w:lastRenderedPageBreak/>
        <w:t>Workforce sustainability</w:t>
      </w:r>
      <w:bookmarkEnd w:id="9"/>
      <w:r>
        <w:t xml:space="preserve"> </w:t>
      </w:r>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Pr="00F911AD" w:rsidRDefault="007D0D79" w:rsidP="00DB1A3A">
            <w:pPr>
              <w:widowControl w:val="0"/>
              <w:spacing w:after="40" w:line="200" w:lineRule="atLeast"/>
              <w:ind w:left="6" w:right="113"/>
              <w:jc w:val="both"/>
              <w:rPr>
                <w:rFonts w:asciiTheme="minorHAnsi" w:hAnsiTheme="minorHAnsi" w:cstheme="minorHAnsi"/>
                <w:b/>
                <w:sz w:val="18"/>
                <w:szCs w:val="18"/>
              </w:rPr>
            </w:pPr>
          </w:p>
          <w:p w:rsidR="007D0D79" w:rsidRPr="00F911AD" w:rsidRDefault="007D0D79" w:rsidP="00DB1A3A">
            <w:pPr>
              <w:widowControl w:val="0"/>
              <w:spacing w:after="40" w:line="200" w:lineRule="atLeast"/>
              <w:ind w:left="6" w:right="113"/>
              <w:jc w:val="both"/>
              <w:rPr>
                <w:rFonts w:asciiTheme="minorHAnsi" w:hAnsiTheme="minorHAnsi" w:cstheme="minorHAnsi"/>
                <w:b/>
                <w:sz w:val="18"/>
                <w:szCs w:val="18"/>
                <w:u w:val="single"/>
              </w:rPr>
            </w:pPr>
            <w:r w:rsidRPr="00F911AD">
              <w:rPr>
                <w:rFonts w:asciiTheme="minorHAnsi" w:hAnsiTheme="minorHAnsi" w:cstheme="minorHAnsi"/>
                <w:b/>
                <w:sz w:val="18"/>
                <w:szCs w:val="18"/>
                <w:u w:val="single"/>
              </w:rPr>
              <w:t>Indicator definition and description</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Element</w:t>
            </w:r>
          </w:p>
        </w:tc>
        <w:tc>
          <w:tcPr>
            <w:tcW w:w="7169" w:type="dxa"/>
          </w:tcPr>
          <w:p w:rsidR="00950E2C" w:rsidRPr="00F911AD" w:rsidRDefault="00950E2C" w:rsidP="00DB1A3A">
            <w:pPr>
              <w:pStyle w:val="TableBodyText"/>
              <w:keepNext w:val="0"/>
              <w:keepLines w:val="0"/>
              <w:widowControl w:val="0"/>
              <w:jc w:val="both"/>
              <w:rPr>
                <w:rFonts w:asciiTheme="minorHAnsi" w:hAnsiTheme="minorHAnsi" w:cstheme="minorHAnsi"/>
                <w:szCs w:val="18"/>
              </w:rPr>
            </w:pPr>
            <w:r w:rsidRPr="00F911AD">
              <w:rPr>
                <w:rFonts w:asciiTheme="minorHAnsi" w:hAnsiTheme="minorHAnsi" w:cstheme="minorHAnsi"/>
                <w:szCs w:val="18"/>
              </w:rPr>
              <w:t>Efficiency — sustainability</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Indicator</w:t>
            </w:r>
          </w:p>
        </w:tc>
        <w:tc>
          <w:tcPr>
            <w:tcW w:w="7169" w:type="dxa"/>
          </w:tcPr>
          <w:p w:rsidR="00950E2C" w:rsidRPr="00F911AD" w:rsidRDefault="00950E2C" w:rsidP="00DB1A3A">
            <w:pPr>
              <w:pStyle w:val="TableBodyText"/>
              <w:keepNext w:val="0"/>
              <w:keepLines w:val="0"/>
              <w:widowControl w:val="0"/>
              <w:jc w:val="both"/>
              <w:rPr>
                <w:rFonts w:asciiTheme="minorHAnsi" w:hAnsiTheme="minorHAnsi" w:cstheme="minorHAnsi"/>
                <w:szCs w:val="18"/>
              </w:rPr>
            </w:pPr>
            <w:r w:rsidRPr="00F911AD">
              <w:rPr>
                <w:rFonts w:asciiTheme="minorHAnsi" w:hAnsiTheme="minorHAnsi" w:cstheme="minorHAnsi"/>
                <w:szCs w:val="18"/>
              </w:rPr>
              <w:t>Workforce sustainability</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Measure</w:t>
            </w:r>
          </w:p>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(computation</w:t>
            </w:r>
          </w:p>
        </w:tc>
        <w:tc>
          <w:tcPr>
            <w:tcW w:w="7169" w:type="dxa"/>
          </w:tcPr>
          <w:p w:rsidR="00950E2C" w:rsidRPr="00F911AD" w:rsidRDefault="00E068D8" w:rsidP="00DB1A3A">
            <w:pPr>
              <w:pStyle w:val="TableBodyText"/>
              <w:keepNext w:val="0"/>
              <w:keepLines w:val="0"/>
              <w:widowControl w:val="0"/>
              <w:jc w:val="both"/>
              <w:rPr>
                <w:rFonts w:asciiTheme="minorHAnsi" w:hAnsiTheme="minorHAnsi" w:cstheme="minorHAnsi"/>
                <w:szCs w:val="18"/>
                <w:u w:val="single"/>
              </w:rPr>
            </w:pPr>
            <w:r w:rsidRPr="00F911AD">
              <w:rPr>
                <w:rFonts w:asciiTheme="minorHAnsi" w:hAnsiTheme="minorHAnsi" w:cstheme="minorHAnsi"/>
                <w:szCs w:val="18"/>
              </w:rPr>
              <w:t>Workforce sustainability reports age profiles for nurse and midwife, medical practitioner, dental practitioner and allied health practitioner workforces. It shows the numbers of each of these registered professions in ten year age brackets, both by jurisdiction and by region.</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Data source/s</w:t>
            </w:r>
          </w:p>
        </w:tc>
        <w:tc>
          <w:tcPr>
            <w:tcW w:w="7169" w:type="dxa"/>
          </w:tcPr>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National Health Workforce Data Set: medical practitioners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National Health Workforce Data Set: nurses and midwives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National Health Workforce Data Set: dental practitioners 2013</w:t>
            </w:r>
          </w:p>
          <w:p w:rsidR="00950E2C" w:rsidRPr="00F911AD" w:rsidRDefault="00E068D8" w:rsidP="00DB1A3A">
            <w:pPr>
              <w:pStyle w:val="TableBodyText"/>
              <w:keepNext w:val="0"/>
              <w:keepLines w:val="0"/>
              <w:widowControl w:val="0"/>
              <w:jc w:val="both"/>
              <w:rPr>
                <w:rFonts w:asciiTheme="minorHAnsi" w:hAnsiTheme="minorHAnsi" w:cstheme="minorHAnsi"/>
                <w:szCs w:val="18"/>
                <w:u w:val="single"/>
              </w:rPr>
            </w:pPr>
            <w:r w:rsidRPr="00F911AD">
              <w:rPr>
                <w:rFonts w:asciiTheme="minorHAnsi" w:hAnsiTheme="minorHAnsi" w:cstheme="minorHAnsi"/>
                <w:szCs w:val="18"/>
              </w:rPr>
              <w:t>National Health Workforce Data Set: allied health practitioners 2013</w:t>
            </w:r>
          </w:p>
        </w:tc>
      </w:tr>
      <w:tr w:rsidR="00950E2C" w:rsidRPr="003846CE" w:rsidTr="009F4002">
        <w:tc>
          <w:tcPr>
            <w:tcW w:w="8789" w:type="dxa"/>
            <w:gridSpan w:val="2"/>
            <w:vAlign w:val="bottom"/>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F911AD">
              <w:rPr>
                <w:rFonts w:asciiTheme="minorHAnsi" w:hAnsiTheme="minorHAnsi" w:cstheme="minorHAnsi"/>
                <w:b/>
                <w:sz w:val="18"/>
                <w:szCs w:val="18"/>
                <w:u w:val="single"/>
              </w:rPr>
              <w:t>Data Quality Framework Dimensions</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Institutional environment</w:t>
            </w:r>
          </w:p>
        </w:tc>
        <w:tc>
          <w:tcPr>
            <w:tcW w:w="7169" w:type="dxa"/>
            <w:shd w:val="clear" w:color="auto" w:fill="auto"/>
          </w:tcPr>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Australian Institute of Health and Welfare (AIHW) has calculated this indicator using estimates derived from the National Health Workforce Data Set (NHWDS). The NHWDS is developed through the collaboration of three agencies. </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Australian Health Practitioner Regulation Agency (AHPRA) is the organisation responsible for the implementation of the National Registration and Accreditation Scheme (NRAS) across Australia, including collecting registration data and administering the workforce surveys. </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Health Workforce Australia was responsible for the development of the health workforce surveys until its closure by the Australian Government on 6 August 2014.</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AIHW receives registration and survey data from the AHPRA. The registration and workforce survey data are combined, cleansed and adjusted for non-response to form NHWDS, and the findings reported by profession. AIHW is the data custodian of the NHWDS. These data are used for workforce planning, monitoring and reporting.</w:t>
            </w:r>
          </w:p>
          <w:p w:rsidR="00950E2C" w:rsidRPr="00F911AD" w:rsidRDefault="00E068D8" w:rsidP="00DB1A3A">
            <w:pPr>
              <w:pStyle w:val="TableBodyText"/>
              <w:jc w:val="both"/>
              <w:rPr>
                <w:rFonts w:asciiTheme="minorHAnsi" w:hAnsiTheme="minorHAnsi" w:cstheme="minorHAnsi"/>
                <w:szCs w:val="18"/>
                <w:u w:val="single"/>
              </w:rPr>
            </w:pPr>
            <w:r w:rsidRPr="00F911AD">
              <w:rPr>
                <w:rFonts w:asciiTheme="minorHAnsi" w:hAnsiTheme="minorHAnsi" w:cstheme="minorHAnsi"/>
                <w:szCs w:val="18"/>
              </w:rPr>
              <w:t>The AIHW is an independent statutory authority within the Health portfolio, which is accountable to the Parliament of Australia through the Minister. For further information, see the AIHW website.</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Relevance</w:t>
            </w:r>
          </w:p>
        </w:tc>
        <w:tc>
          <w:tcPr>
            <w:tcW w:w="7169" w:type="dxa"/>
            <w:shd w:val="clear" w:color="auto" w:fill="auto"/>
          </w:tcPr>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Medical practitioners, dental practitioners, nurses/midwives and allied health practitioners are required by law to be registered with their relevant national board to practise in Australia. All medical practitioners, dental practitioners, nurses/midwives and nominated allied health practitioners must complete the formal registration renewal form(s) to practise in Australia. This is the compulsory component of the renewal process. The exception is Aboriginal and Torres Strait Islander health practitioners in the allied health workforce; where those who are not required by their employer to use the title 'Aboriginal and Torres Strait Islander health practitioner', 'Aboriginal health practitioner' or 'Torres Strait Islander health practitioner' are not required to be registered, and can continue to work using their current titles (e.g. 'Aboriginal health worker', 'drug and alcohol worker' and 'mental health worker').</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health workforce surveys for each of these professions is voluntary and only practitioners who renew their registration receive a questionnaire for completion. New registrants will not receive a survey form until they renew their registration the following </w:t>
            </w:r>
            <w:r w:rsidRPr="00F911AD">
              <w:rPr>
                <w:rFonts w:asciiTheme="minorHAnsi" w:hAnsiTheme="minorHAnsi" w:cstheme="minorHAnsi"/>
                <w:sz w:val="18"/>
                <w:szCs w:val="18"/>
              </w:rPr>
              <w:lastRenderedPageBreak/>
              <w:t>year, during the registration renewal period. Practitioners with limited registration are due for renewal on the anniversary of their first registration and can thus renew and complete a survey at any time through the year.</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National Health Workforce Data Set: medical practitioners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NHWDS: medical practitioners 2013 contain registration details of all registered medical practitioners in Australia, at 30 September on the annual renewal date. Data were extracted from the AHPRA database at the end of November of the same year. The NHWDS also contains workforce data of respondents obtained from the Medical Workforce Survey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National Health Workforce Data Set: dental practitioners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NHWDS: dental practitioners 2013 contain registration details of all registered dental practitioners in Australia, at 30 November on the annual renewal date. Data were extracted from the AHPRA database at the end of January the following year. The NHWDS also contains workforce data obtained from the Dental Workforce Survey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National Health Workforce Data Set: nurses and midwives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NHWDS: nurses and midwives 2013 contain registration details of all registered nurses/midwives in Australia at 31 May on the annual renewal date. Data were extracted from the AHPRA database at the end of November of the same year. The NHWDS also contains workforce data obtained from the Nursing and Midwifery Workforce Survey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National Health Workforce Data Set: allied health practitioners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NHWDS: allied health practitioners 2013 contain registration details of all registered allied health practitioners in Australia, at 30 November on the annual renewal date. Data were extracted from the AHPRA database at the end of January the following year. The NHWDS also contains workforce data obtained from each profession-specific health workforce survey. </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Indicator data for allied health practitioners are not comparable between 2012 and 2013. Due to transitional arrangements with the migration of data from state and territory-based systems to NRAS, in 2012, many medical radiation practitioners in Queensland, </w:t>
            </w:r>
            <w:r w:rsidR="00E8429E">
              <w:rPr>
                <w:rFonts w:asciiTheme="minorHAnsi" w:hAnsiTheme="minorHAnsi" w:cstheme="minorHAnsi"/>
                <w:sz w:val="18"/>
                <w:szCs w:val="18"/>
              </w:rPr>
              <w:t>WA</w:t>
            </w:r>
            <w:r w:rsidRPr="00F911AD">
              <w:rPr>
                <w:rFonts w:asciiTheme="minorHAnsi" w:hAnsiTheme="minorHAnsi" w:cstheme="minorHAnsi"/>
                <w:sz w:val="18"/>
                <w:szCs w:val="18"/>
              </w:rPr>
              <w:t xml:space="preserve"> and Tasmania were not required to renew their registrations and, as a result did not complete a workforce survey. As a consequence, data for Queensland, </w:t>
            </w:r>
            <w:r w:rsidR="00E8429E">
              <w:rPr>
                <w:rFonts w:asciiTheme="minorHAnsi" w:hAnsiTheme="minorHAnsi" w:cstheme="minorHAnsi"/>
                <w:sz w:val="18"/>
                <w:szCs w:val="18"/>
              </w:rPr>
              <w:t>WA</w:t>
            </w:r>
            <w:r w:rsidRPr="00F911AD">
              <w:rPr>
                <w:rFonts w:asciiTheme="minorHAnsi" w:hAnsiTheme="minorHAnsi" w:cstheme="minorHAnsi"/>
                <w:sz w:val="18"/>
                <w:szCs w:val="18"/>
              </w:rPr>
              <w:t xml:space="preserve"> and Tasmania for this profession are excluded from the indicator data for allied health practitioners.</w:t>
            </w:r>
          </w:p>
          <w:p w:rsidR="00950E2C" w:rsidRPr="00F911AD" w:rsidRDefault="00E068D8" w:rsidP="00E8429E">
            <w:pPr>
              <w:widowControl w:val="0"/>
              <w:tabs>
                <w:tab w:val="left" w:pos="324"/>
              </w:tabs>
              <w:spacing w:before="60" w:after="60" w:line="260" w:lineRule="atLeast"/>
              <w:ind w:left="34"/>
              <w:jc w:val="both"/>
              <w:rPr>
                <w:rFonts w:asciiTheme="minorHAnsi" w:hAnsiTheme="minorHAnsi" w:cstheme="minorHAnsi"/>
                <w:sz w:val="18"/>
                <w:szCs w:val="18"/>
                <w:u w:val="single"/>
              </w:rPr>
            </w:pPr>
            <w:r w:rsidRPr="00F911AD">
              <w:rPr>
                <w:rFonts w:asciiTheme="minorHAnsi" w:hAnsiTheme="minorHAnsi" w:cstheme="minorHAnsi"/>
                <w:sz w:val="18"/>
                <w:szCs w:val="18"/>
              </w:rPr>
              <w:t xml:space="preserve">For the same reason, occupational therapists in Queensland, </w:t>
            </w:r>
            <w:r w:rsidR="00E8429E">
              <w:rPr>
                <w:rFonts w:asciiTheme="minorHAnsi" w:hAnsiTheme="minorHAnsi" w:cstheme="minorHAnsi"/>
                <w:sz w:val="18"/>
                <w:szCs w:val="18"/>
              </w:rPr>
              <w:t>WA</w:t>
            </w:r>
            <w:r w:rsidRPr="00F911AD">
              <w:rPr>
                <w:rFonts w:asciiTheme="minorHAnsi" w:hAnsiTheme="minorHAnsi" w:cstheme="minorHAnsi"/>
                <w:sz w:val="18"/>
                <w:szCs w:val="18"/>
              </w:rPr>
              <w:t xml:space="preserve"> and </w:t>
            </w:r>
            <w:r w:rsidR="00E8429E">
              <w:rPr>
                <w:rFonts w:asciiTheme="minorHAnsi" w:hAnsiTheme="minorHAnsi" w:cstheme="minorHAnsi"/>
                <w:sz w:val="18"/>
                <w:szCs w:val="18"/>
              </w:rPr>
              <w:t>SA</w:t>
            </w:r>
            <w:r w:rsidRPr="00F911AD">
              <w:rPr>
                <w:rFonts w:asciiTheme="minorHAnsi" w:hAnsiTheme="minorHAnsi" w:cstheme="minorHAnsi"/>
                <w:sz w:val="18"/>
                <w:szCs w:val="18"/>
              </w:rPr>
              <w:t xml:space="preserve"> are excluded from the indicator data for allied health practitioners in 2012.</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lastRenderedPageBreak/>
              <w:t>Timeliness</w:t>
            </w:r>
          </w:p>
        </w:tc>
        <w:tc>
          <w:tcPr>
            <w:tcW w:w="7169" w:type="dxa"/>
          </w:tcPr>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National Health Workforce Data Set:</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NHWDS for each of the registered professions will be produced annually during the national registration renewal process. Each profession will also be administered a Workforce Survey as part of the registration renewal process.</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w:t>
            </w:r>
            <w:r w:rsidRPr="00F911AD">
              <w:rPr>
                <w:rFonts w:asciiTheme="minorHAnsi" w:hAnsiTheme="minorHAnsi" w:cstheme="minorHAnsi"/>
                <w:i/>
                <w:sz w:val="18"/>
                <w:szCs w:val="18"/>
              </w:rPr>
              <w:t>Medical practitioners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NHWDS: medical practitioners is produced annually from information collected by the national registration renewal process, conducted between 1 July and 30 September each year, including the collection of the Medical Workforce Survey.</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w:t>
            </w:r>
            <w:r w:rsidRPr="00F911AD">
              <w:rPr>
                <w:rFonts w:asciiTheme="minorHAnsi" w:hAnsiTheme="minorHAnsi" w:cstheme="minorHAnsi"/>
                <w:i/>
                <w:sz w:val="18"/>
                <w:szCs w:val="18"/>
              </w:rPr>
              <w:t>Nurses and midwives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NHWDS: nurses and midwives is produced annually from information collected by the national registration renewal process, conducted between 1 April and 31 May each year, including the collection of the Nursing and Midwifery Workforce Survey.</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w:t>
            </w:r>
            <w:r w:rsidRPr="00F911AD">
              <w:rPr>
                <w:rFonts w:asciiTheme="minorHAnsi" w:hAnsiTheme="minorHAnsi" w:cstheme="minorHAnsi"/>
                <w:i/>
                <w:sz w:val="18"/>
                <w:szCs w:val="18"/>
              </w:rPr>
              <w:t>Dental practitioners 2013</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The NHWDS: dental practitioners is produced annually from information collected by the national registration renewal process, conducted between 1 September and 30 November each year, including the collection of the Dental Workforce Survey. Practitioners with limited registration are due for renewal on the anniversary of their first registration and can thus renew and complete a survey at any time through the year.</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w:t>
            </w:r>
            <w:r w:rsidRPr="00F911AD">
              <w:rPr>
                <w:rFonts w:asciiTheme="minorHAnsi" w:hAnsiTheme="minorHAnsi" w:cstheme="minorHAnsi"/>
                <w:i/>
                <w:sz w:val="18"/>
                <w:szCs w:val="18"/>
              </w:rPr>
              <w:t>Allied health practitioners 2013</w:t>
            </w:r>
          </w:p>
          <w:p w:rsidR="00950E2C" w:rsidRPr="00F911AD" w:rsidRDefault="00E068D8" w:rsidP="00DB1A3A">
            <w:pPr>
              <w:pStyle w:val="TableBodyText"/>
              <w:keepNext w:val="0"/>
              <w:keepLines w:val="0"/>
              <w:widowControl w:val="0"/>
              <w:jc w:val="both"/>
              <w:rPr>
                <w:rFonts w:asciiTheme="minorHAnsi" w:hAnsiTheme="minorHAnsi" w:cstheme="minorHAnsi"/>
                <w:szCs w:val="18"/>
                <w:lang w:eastAsia="en-US"/>
              </w:rPr>
            </w:pPr>
            <w:r w:rsidRPr="00F911AD">
              <w:rPr>
                <w:rFonts w:asciiTheme="minorHAnsi" w:hAnsiTheme="minorHAnsi" w:cstheme="minorHAnsi"/>
                <w:szCs w:val="18"/>
              </w:rPr>
              <w:t>The NHWDS: allied health practitioners is produced annually from information collected by the national registration renewal process, conducted between 1 September and 30 November each year, including the collection of the profession-specific workforce surveys. Practitioners with limited registration are due for renewal on the anniversary of their first registration and can thus renew and complete a survey at any time through the year.</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Accuracy</w:t>
            </w:r>
          </w:p>
        </w:tc>
        <w:tc>
          <w:tcPr>
            <w:tcW w:w="7169" w:type="dxa"/>
          </w:tcPr>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Data manipulation and estimation processes</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registration and workforce survey data for each health profession are combined, cleansed and adjusted for non-response to form the National Health Workforce Data </w:t>
            </w:r>
            <w:r w:rsidRPr="00F911AD">
              <w:rPr>
                <w:rFonts w:asciiTheme="minorHAnsi" w:hAnsiTheme="minorHAnsi" w:cstheme="minorHAnsi"/>
                <w:sz w:val="18"/>
                <w:szCs w:val="18"/>
              </w:rPr>
              <w:lastRenderedPageBreak/>
              <w:t>Set (NHWDS). The cleaning and editing procedures included range and logic checks, clerical scrutiny at unit record level, and validation of unit record and aggregate data.</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Imputation methods are used to account for item non-response and survey non-response. In 2013, the methodology for survey non-response was changed from a weighting-based methodology to a randomised sequential hot deck-based imputation.</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It should be noted that both of these kinds of non-response is likely to introduce some bias in the estimates and any bias is likely to become more pronounced when response rates are low or when estimates are based on a small number of records. Care should be taken when drawing conclusions about the size of the differences between estimates.</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As a result of the estimation method to adjust for non-response, numbers of medical practitioners, dental practitioners, nurses/midwives or allied health practitioners may have been in fractions, but have been rounded to whole numbers for this indicator. The full-time equivalent (FTE) rate calculations are based on rounded numbers.</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Registration data from the National Registration and Accreditation Scheme (NRAS)</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Registration details were migrated from the respective state and territory professional board (or council) for practitioners with registrations expiring after the official AHPRA closing date for their profession.</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Some data items previously collected by the AIHW Labour Force Surveys are now collected by the NRAS. However, some data quality issues due to migrated data items from the respective state and territory health profession boards may have affected the weighting method.</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Medical practitioners, dental practitioners, nurses/midwives and allied health practitioners who reside overseas have been included with practitioners whose state or territory of principal practice and state or territory of main job, respectively, could not be determined. </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Health Workforce Survey</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In 2013, the online survey questionnaire include for the first time electronic sequencing of questions to automatically guide the respondent to the next appropriate question based on previous responses to questions.</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The online survey questionnaire prior to 2013 and in the paper version of the questionnaire, respondents may have made inconsistent responses by not correctly following the sequencing instructions.</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order of the response categories for some questions may have also impacted on the accuracy of the information captured. In addition, there was variation in some responses between the online and paper surveys. </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NHWDS data by profession</w:t>
            </w:r>
          </w:p>
          <w:p w:rsidR="00F911AD" w:rsidRPr="00F911AD" w:rsidRDefault="00F911AD" w:rsidP="00DB1A3A">
            <w:pPr>
              <w:jc w:val="both"/>
              <w:rPr>
                <w:rFonts w:asciiTheme="minorHAnsi" w:hAnsiTheme="minorHAnsi" w:cstheme="minorHAnsi"/>
                <w:sz w:val="18"/>
                <w:szCs w:val="18"/>
              </w:rPr>
            </w:pPr>
            <w:r w:rsidRPr="00F911AD">
              <w:rPr>
                <w:rFonts w:asciiTheme="minorHAnsi" w:hAnsiTheme="minorHAnsi" w:cstheme="minorHAnsi"/>
                <w:sz w:val="18"/>
                <w:szCs w:val="18"/>
              </w:rPr>
              <w:t>The following should be noted when comparing state and territory indicator data:</w:t>
            </w:r>
          </w:p>
          <w:p w:rsidR="00F911AD" w:rsidRPr="00F911AD" w:rsidRDefault="00F911AD"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The data include employed professionals who did not state or adequately describe their state of principal practice and employed professionals who reside overseas. The national estimates include this group.</w:t>
            </w:r>
          </w:p>
          <w:p w:rsidR="00F911AD" w:rsidRPr="00F911AD" w:rsidRDefault="00F911AD"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i/>
                <w:sz w:val="18"/>
                <w:szCs w:val="18"/>
              </w:rPr>
              <w:t xml:space="preserve">National Health Workforce Data Set: medical practitioners 2013: </w:t>
            </w:r>
            <w:r w:rsidRPr="00F911AD">
              <w:rPr>
                <w:rFonts w:asciiTheme="minorHAnsi" w:hAnsiTheme="minorHAnsi" w:cstheme="minorHAnsi"/>
                <w:i/>
                <w:sz w:val="18"/>
                <w:szCs w:val="18"/>
              </w:rPr>
              <w:br/>
            </w:r>
            <w:r w:rsidRPr="00F911AD">
              <w:rPr>
                <w:rFonts w:asciiTheme="minorHAnsi" w:hAnsiTheme="minorHAnsi" w:cstheme="minorHAnsi"/>
                <w:sz w:val="18"/>
                <w:szCs w:val="18"/>
              </w:rPr>
              <w:t>The overall response rate of medical practitioners for 2013 was 88.6 per cent.</w:t>
            </w:r>
          </w:p>
          <w:p w:rsidR="00F911AD" w:rsidRPr="00F911AD" w:rsidRDefault="00F911AD"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i/>
                <w:sz w:val="18"/>
                <w:szCs w:val="18"/>
              </w:rPr>
              <w:t xml:space="preserve">National Health Workforce Data Set: nurses and midwives 2013: </w:t>
            </w:r>
            <w:r w:rsidRPr="00F911AD">
              <w:rPr>
                <w:rFonts w:asciiTheme="minorHAnsi" w:hAnsiTheme="minorHAnsi" w:cstheme="minorHAnsi"/>
                <w:i/>
                <w:sz w:val="18"/>
                <w:szCs w:val="18"/>
              </w:rPr>
              <w:br/>
            </w:r>
            <w:r w:rsidRPr="00F911AD">
              <w:rPr>
                <w:rFonts w:asciiTheme="minorHAnsi" w:hAnsiTheme="minorHAnsi" w:cstheme="minorHAnsi"/>
                <w:sz w:val="18"/>
                <w:szCs w:val="18"/>
              </w:rPr>
              <w:t>The overall response rate of nurses and midwives for 2013 was 87.6 per cent.</w:t>
            </w:r>
          </w:p>
          <w:p w:rsidR="00F911AD" w:rsidRPr="00F911AD" w:rsidRDefault="00F911AD"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i/>
                <w:sz w:val="18"/>
                <w:szCs w:val="18"/>
              </w:rPr>
              <w:t xml:space="preserve">National Health Workforce Data Set: dental practitioners 2013: </w:t>
            </w:r>
            <w:r w:rsidRPr="00F911AD">
              <w:rPr>
                <w:rFonts w:asciiTheme="minorHAnsi" w:hAnsiTheme="minorHAnsi" w:cstheme="minorHAnsi"/>
                <w:i/>
                <w:sz w:val="18"/>
                <w:szCs w:val="18"/>
              </w:rPr>
              <w:br/>
            </w:r>
            <w:r w:rsidRPr="00F911AD">
              <w:rPr>
                <w:rFonts w:asciiTheme="minorHAnsi" w:hAnsiTheme="minorHAnsi" w:cstheme="minorHAnsi"/>
                <w:sz w:val="18"/>
                <w:szCs w:val="18"/>
              </w:rPr>
              <w:t>The overall response rate of dentists for 2013 was 90.0 per cent.</w:t>
            </w:r>
          </w:p>
          <w:p w:rsidR="00950E2C" w:rsidRPr="00F911AD" w:rsidRDefault="00F911AD"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i/>
                <w:sz w:val="18"/>
                <w:szCs w:val="18"/>
              </w:rPr>
              <w:t xml:space="preserve">National Health Workforce Data Set: allied health practitioners 2013: </w:t>
            </w:r>
            <w:r w:rsidRPr="00F911AD">
              <w:rPr>
                <w:rFonts w:asciiTheme="minorHAnsi" w:hAnsiTheme="minorHAnsi" w:cstheme="minorHAnsi"/>
                <w:i/>
                <w:sz w:val="18"/>
                <w:szCs w:val="18"/>
              </w:rPr>
              <w:br/>
            </w:r>
            <w:r w:rsidRPr="00F911AD">
              <w:rPr>
                <w:rFonts w:asciiTheme="minorHAnsi" w:hAnsiTheme="minorHAnsi" w:cstheme="minorHAnsi"/>
                <w:sz w:val="18"/>
                <w:szCs w:val="18"/>
              </w:rPr>
              <w:t>The overall response rate of allied health practitioners for 2013 was 87.9 per cent.</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lastRenderedPageBreak/>
              <w:t>Coherence</w:t>
            </w:r>
          </w:p>
        </w:tc>
        <w:tc>
          <w:tcPr>
            <w:tcW w:w="7169" w:type="dxa"/>
          </w:tcPr>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Health Workforce Survey—coherence with previous surveys</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Labour force data published by the AIHW before the NRAS was established in July 2010 were the result of collated jurisdiction-level occupation-specific surveys. The current Health Workforce Survey gathers similar information from each professional group through a separate questionnaire, tailored slightly to take account of profession-specific responses to certain questions, e.g. work setting of main job. </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For this indicator, the workforce surveys for medical practitioners, dental practitioners, nurses/midwives and allied health practitioners collect similar data items, but the methodology differs from previous years. The AHPRA is now the single source of registered practitioner data instead of eight state and territories bodies for each profession, and there is greater consistency between jurisdictions and years in the scope of registration information.</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scope and coverage of the Health Workforce Survey is also different from that of the previous series of AIHW Labour Force Surveys as not all jurisdictions surveyed all </w:t>
            </w:r>
            <w:r w:rsidRPr="00F911AD">
              <w:rPr>
                <w:rFonts w:asciiTheme="minorHAnsi" w:hAnsiTheme="minorHAnsi" w:cstheme="minorHAnsi"/>
                <w:sz w:val="18"/>
                <w:szCs w:val="18"/>
              </w:rPr>
              <w:lastRenderedPageBreak/>
              <w:t>types of registered health practitioners.</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If the location of principal practice recorded in the registration data was different from the corresponding details of their main job self-reported by practitioners in the survey, the location was derived hierarchically based on main job information and then on principal practice location then place of residence.</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Date of birth is one of many data items previously collected by the AIHW Labour Force Surveys, which is now collected by the NRAS. </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 xml:space="preserve">The three employment-related questions in the new survey are now nationally consistent, but vary from the previous AIHW Labour Force Survey. Due to the differences in data collection (including survey design and questionnaire), processing and estimation methods, it is recommended that comparisons between workforce data from the NHWDS and the previous AIHW Labour Force Survey be made with caution. </w:t>
            </w:r>
          </w:p>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u w:val="single"/>
              </w:rPr>
              <w:t>AIHW Published Numbers</w:t>
            </w:r>
          </w:p>
          <w:p w:rsidR="00950E2C" w:rsidRPr="00F911AD" w:rsidRDefault="00E068D8" w:rsidP="00DB1A3A">
            <w:pPr>
              <w:widowControl w:val="0"/>
              <w:spacing w:before="40" w:after="40" w:line="260" w:lineRule="atLeast"/>
              <w:jc w:val="both"/>
              <w:rPr>
                <w:rFonts w:asciiTheme="minorHAnsi" w:eastAsia="Calibri" w:hAnsiTheme="minorHAnsi" w:cstheme="minorHAnsi"/>
                <w:sz w:val="18"/>
                <w:szCs w:val="18"/>
                <w:lang w:eastAsia="en-US"/>
              </w:rPr>
            </w:pPr>
            <w:r w:rsidRPr="00F911AD">
              <w:rPr>
                <w:rFonts w:asciiTheme="minorHAnsi" w:hAnsiTheme="minorHAnsi" w:cstheme="minorHAnsi"/>
                <w:sz w:val="18"/>
                <w:szCs w:val="18"/>
              </w:rPr>
              <w:t>For this indicator, the rates are based on practitioners employed in the medical, dental, allied health and nursing and midwifery workforces, which is consistent with data published in AIHW's workforce output products available online.</w:t>
            </w:r>
            <w:r w:rsidR="00950E2C" w:rsidRPr="00F911AD">
              <w:rPr>
                <w:rFonts w:asciiTheme="minorHAnsi" w:hAnsiTheme="minorHAnsi" w:cstheme="minorHAnsi"/>
                <w:sz w:val="18"/>
                <w:szCs w:val="18"/>
              </w:rPr>
              <w:t>.</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lastRenderedPageBreak/>
              <w:t>Accessibility</w:t>
            </w:r>
          </w:p>
        </w:tc>
        <w:tc>
          <w:tcPr>
            <w:tcW w:w="7169" w:type="dxa"/>
          </w:tcPr>
          <w:p w:rsidR="00950E2C" w:rsidRPr="00F911AD" w:rsidRDefault="00E068D8" w:rsidP="00DB1A3A">
            <w:pPr>
              <w:pStyle w:val="TableBodyText"/>
              <w:keepNext w:val="0"/>
              <w:keepLines w:val="0"/>
              <w:widowControl w:val="0"/>
              <w:jc w:val="both"/>
              <w:rPr>
                <w:rFonts w:asciiTheme="minorHAnsi" w:hAnsiTheme="minorHAnsi" w:cstheme="minorHAnsi"/>
                <w:szCs w:val="18"/>
              </w:rPr>
            </w:pPr>
            <w:r w:rsidRPr="00F911AD">
              <w:rPr>
                <w:rFonts w:asciiTheme="minorHAnsi" w:hAnsiTheme="minorHAnsi" w:cstheme="minorHAnsi"/>
                <w:szCs w:val="18"/>
              </w:rPr>
              <w:t>Published products available on the AIHW website include workforce online webpages, survey questionnaires and supplementary detailed tables. User guides to the data sets are available on request from the AIHW.</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Interpretability</w:t>
            </w:r>
          </w:p>
        </w:tc>
        <w:tc>
          <w:tcPr>
            <w:tcW w:w="7169" w:type="dxa"/>
          </w:tcPr>
          <w:p w:rsidR="00E068D8" w:rsidRPr="00F911AD" w:rsidRDefault="00E068D8" w:rsidP="00DB1A3A">
            <w:pPr>
              <w:jc w:val="both"/>
              <w:rPr>
                <w:rFonts w:asciiTheme="minorHAnsi" w:hAnsiTheme="minorHAnsi" w:cstheme="minorHAnsi"/>
                <w:sz w:val="18"/>
                <w:szCs w:val="18"/>
              </w:rPr>
            </w:pPr>
            <w:r w:rsidRPr="00F911AD">
              <w:rPr>
                <w:rFonts w:asciiTheme="minorHAnsi" w:hAnsiTheme="minorHAnsi" w:cstheme="minorHAnsi"/>
                <w:sz w:val="18"/>
                <w:szCs w:val="18"/>
              </w:rPr>
              <w:t>Explanatory information for the Medical Workforce Survey, Dental Workforce Survey and the Nursing and Midwifery Workforce Survey is contained in the published online webpages, supplementary detailed tables and data quality statements to the data set for each. For the allied health professions, information about their workforce surveys is available in the National Health Workforce Data Set: allied health practitioners data quality statement. This includes collection method, scope and coverage, survey response, imputation and weighting procedures, and assessment of data quality (including comparison with other data sources).</w:t>
            </w:r>
          </w:p>
          <w:p w:rsidR="00950E2C" w:rsidRPr="00F911AD" w:rsidRDefault="00E068D8" w:rsidP="00DB1A3A">
            <w:pPr>
              <w:pStyle w:val="TableBodyText"/>
              <w:keepNext w:val="0"/>
              <w:keepLines w:val="0"/>
              <w:widowControl w:val="0"/>
              <w:jc w:val="both"/>
              <w:rPr>
                <w:rFonts w:asciiTheme="minorHAnsi" w:hAnsiTheme="minorHAnsi" w:cstheme="minorHAnsi"/>
                <w:szCs w:val="18"/>
                <w:lang w:eastAsia="en-US"/>
              </w:rPr>
            </w:pPr>
            <w:r w:rsidRPr="00F911AD">
              <w:rPr>
                <w:rFonts w:asciiTheme="minorHAnsi" w:hAnsiTheme="minorHAnsi" w:cstheme="minorHAnsi"/>
                <w:szCs w:val="18"/>
              </w:rPr>
              <w:t>These are available via the AIHW website and readers are advised to read caveat information to ensure appropriate interpretation of the performance indicator.</w:t>
            </w:r>
          </w:p>
        </w:tc>
      </w:tr>
      <w:tr w:rsidR="00950E2C" w:rsidRPr="003846CE" w:rsidTr="009F4002">
        <w:tc>
          <w:tcPr>
            <w:tcW w:w="8789" w:type="dxa"/>
            <w:gridSpan w:val="2"/>
            <w:vAlign w:val="bottom"/>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F911AD">
              <w:rPr>
                <w:rFonts w:asciiTheme="minorHAnsi" w:hAnsiTheme="minorHAnsi" w:cstheme="minorHAnsi"/>
                <w:b/>
                <w:sz w:val="18"/>
                <w:szCs w:val="18"/>
                <w:u w:val="single"/>
              </w:rPr>
              <w:t>Data Gaps/Issues Analysis</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Key data gaps/issues</w:t>
            </w:r>
          </w:p>
        </w:tc>
        <w:tc>
          <w:tcPr>
            <w:tcW w:w="7169" w:type="dxa"/>
          </w:tcPr>
          <w:p w:rsidR="00950E2C" w:rsidRPr="00F911AD" w:rsidRDefault="00950E2C" w:rsidP="00DB1A3A">
            <w:pPr>
              <w:pStyle w:val="TableBodyText"/>
              <w:keepNext w:val="0"/>
              <w:keepLines w:val="0"/>
              <w:widowControl w:val="0"/>
              <w:jc w:val="both"/>
              <w:rPr>
                <w:rFonts w:asciiTheme="minorHAnsi" w:hAnsiTheme="minorHAnsi" w:cstheme="minorHAnsi"/>
                <w:szCs w:val="18"/>
              </w:rPr>
            </w:pPr>
            <w:r w:rsidRPr="00F911AD">
              <w:rPr>
                <w:rFonts w:asciiTheme="minorHAnsi" w:hAnsiTheme="minorHAnsi" w:cstheme="minorHAnsi"/>
                <w:szCs w:val="18"/>
              </w:rPr>
              <w:t>The Steering Committee notes the following issues:</w:t>
            </w:r>
          </w:p>
          <w:p w:rsidR="00950E2C" w:rsidRPr="00F911AD" w:rsidRDefault="00950E2C"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 xml:space="preserve">These measures are not a substitute for a full workforce analysis that allows for migration, trends in full-time work and expected demand increases. The indicator does not provide information on those currently in training and the intentions of those in the medical workforce to leave the workforce in the near future. </w:t>
            </w:r>
          </w:p>
          <w:p w:rsidR="00E068D8" w:rsidRPr="00F911AD" w:rsidRDefault="00E068D8"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The rates have been calculated per 100</w:t>
            </w:r>
            <w:r w:rsidR="00F911AD">
              <w:rPr>
                <w:rFonts w:asciiTheme="minorHAnsi" w:hAnsiTheme="minorHAnsi" w:cstheme="minorHAnsi"/>
                <w:sz w:val="18"/>
                <w:szCs w:val="18"/>
              </w:rPr>
              <w:t> </w:t>
            </w:r>
            <w:r w:rsidRPr="00F911AD">
              <w:rPr>
                <w:rFonts w:asciiTheme="minorHAnsi" w:hAnsiTheme="minorHAnsi" w:cstheme="minorHAnsi"/>
                <w:sz w:val="18"/>
                <w:szCs w:val="18"/>
              </w:rPr>
              <w:t>000 population for this indicator to assist with interpretation.</w:t>
            </w:r>
          </w:p>
          <w:p w:rsidR="00E068D8" w:rsidRPr="00F911AD" w:rsidRDefault="00E068D8"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 xml:space="preserve">Due to the differences in data collection, processing and estimation methods, including survey design and questionnaire, it is recommended that comparisons between workforce data from the National Health Workforce Data Set (NHWDS) and the previous Australian Institute of Health and Welfare (AIHW) Labour Force Survey be made with caution and noted in any analyses. </w:t>
            </w:r>
          </w:p>
          <w:p w:rsidR="00E068D8" w:rsidRPr="00F911AD" w:rsidRDefault="00E068D8"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Results for the indicator are estimates because the survey data have undergone imputation to adjust for non-response. It should be noted that any of these adjustments may have introduced some bias in the estimates and any bias is likely to become more pronounced when response rates are low or when estimates are based on a small number of survey records. Care should be taken when drawing conclusions about the size of the differences between estimates. </w:t>
            </w:r>
          </w:p>
          <w:p w:rsidR="00E068D8" w:rsidRPr="00F911AD" w:rsidRDefault="00E068D8"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The 2013 allied health workforce indicator data exclude provisional registrants.</w:t>
            </w:r>
          </w:p>
          <w:p w:rsidR="00E068D8" w:rsidRPr="00F911AD" w:rsidRDefault="00E068D8"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The 2013 dental and medical workforce indicator data exclude provisional registrants.</w:t>
            </w:r>
          </w:p>
          <w:p w:rsidR="00E068D8" w:rsidRPr="00F911AD" w:rsidRDefault="00E068D8"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There is no provisional registration type for nurses and midwives.</w:t>
            </w:r>
          </w:p>
        </w:tc>
      </w:tr>
    </w:tbl>
    <w:p w:rsidR="009E4756" w:rsidRDefault="009E4756" w:rsidP="009E4756">
      <w:pPr>
        <w:pStyle w:val="BodyText"/>
        <w:rPr>
          <w:rFonts w:ascii="Arial" w:hAnsi="Arial"/>
          <w:sz w:val="26"/>
        </w:rPr>
      </w:pPr>
      <w:bookmarkStart w:id="10" w:name="_Toc401912928"/>
      <w:r>
        <w:br w:type="page"/>
      </w:r>
    </w:p>
    <w:p w:rsidR="0090363E" w:rsidRDefault="0090363E" w:rsidP="0090363E">
      <w:pPr>
        <w:pStyle w:val="Heading3"/>
      </w:pPr>
      <w:r>
        <w:lastRenderedPageBreak/>
        <w:t>Cost per casemix-adjusted separation</w:t>
      </w:r>
      <w:bookmarkEnd w:id="10"/>
    </w:p>
    <w:p w:rsidR="0090363E" w:rsidRDefault="0090363E" w:rsidP="0090363E">
      <w:pPr>
        <w:pStyle w:val="BodyText"/>
      </w:pPr>
      <w:r>
        <w:t>Data quality information for this indicator has been sourced from the AIHW with additional Steering Committee comments.</w:t>
      </w:r>
    </w:p>
    <w:p w:rsidR="00B33A69" w:rsidRDefault="00B33A69" w:rsidP="00B33A69">
      <w:pPr>
        <w:pStyle w:val="Heading4"/>
      </w:pPr>
      <w:r>
        <w:t>Recurrent</w:t>
      </w:r>
      <w:r w:rsidRPr="00B33A69">
        <w:t xml:space="preserve"> cost per casemix adjusted separation</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50E2C" w:rsidRPr="00E00AD6" w:rsidRDefault="00950E2C" w:rsidP="007957BE">
            <w:pPr>
              <w:pStyle w:val="TableBodyText"/>
              <w:jc w:val="both"/>
            </w:pPr>
            <w:r w:rsidRPr="00E00AD6">
              <w:t xml:space="preserve">Efficiency </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vAlign w:val="bottom"/>
          </w:tcPr>
          <w:p w:rsidR="00950E2C" w:rsidRPr="00E00AD6" w:rsidRDefault="00950E2C" w:rsidP="007957BE">
            <w:pPr>
              <w:pStyle w:val="TableBodyText"/>
              <w:jc w:val="both"/>
            </w:pPr>
            <w:r>
              <w:t>Cost per casemix-</w:t>
            </w:r>
            <w:r w:rsidRPr="007A309F">
              <w:t>adjusted separation</w:t>
            </w:r>
            <w:r w:rsidR="004E42B6">
              <w:t xml:space="preserve"> — </w:t>
            </w:r>
            <w:r w:rsidR="004E42B6" w:rsidRPr="004E42B6">
              <w:t>Recurrent cost per casemix adjusted separation</w:t>
            </w:r>
          </w:p>
        </w:tc>
      </w:tr>
      <w:tr w:rsidR="00950E2C" w:rsidRPr="003846CE" w:rsidTr="009F4002">
        <w:tc>
          <w:tcPr>
            <w:tcW w:w="1620" w:type="dxa"/>
          </w:tcPr>
          <w:p w:rsidR="00950E2C"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50E2C" w:rsidRPr="003846CE"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vAlign w:val="bottom"/>
          </w:tcPr>
          <w:p w:rsidR="00950E2C" w:rsidRPr="00E008FF" w:rsidRDefault="00950E2C" w:rsidP="00F227D6">
            <w:pPr>
              <w:pStyle w:val="TableBodyText"/>
              <w:ind w:right="0"/>
              <w:jc w:val="both"/>
            </w:pPr>
            <w:r w:rsidRPr="00E008FF">
              <w:t>The average cost per case mix-adjusted separation in public hospitals. The formula used to calculate the cost per casemix</w:t>
            </w:r>
            <w:r>
              <w:t>-</w:t>
            </w:r>
            <w:r w:rsidRPr="00E008FF">
              <w:t>adjusted separation is:</w:t>
            </w:r>
          </w:p>
          <w:p w:rsidR="00950E2C" w:rsidRPr="00E008FF" w:rsidRDefault="00950E2C" w:rsidP="00F227D6">
            <w:pPr>
              <w:pStyle w:val="TableBodyText"/>
              <w:ind w:right="0"/>
              <w:jc w:val="both"/>
            </w:pPr>
            <w:r w:rsidRPr="00E008FF">
              <w:t xml:space="preserve">(Recurrent expenditure </w:t>
            </w:r>
            <w:bookmarkStart w:id="11" w:name="OLE_LINK9"/>
            <w:r w:rsidRPr="00E008FF">
              <w:t>×</w:t>
            </w:r>
            <w:bookmarkEnd w:id="11"/>
            <w:r w:rsidRPr="00E008FF">
              <w:t xml:space="preserve"> IFRAC) ÷ (Total separations × Average cost weight)</w:t>
            </w:r>
          </w:p>
          <w:p w:rsidR="00950E2C" w:rsidRPr="00E008FF" w:rsidRDefault="00950E2C" w:rsidP="00F227D6">
            <w:pPr>
              <w:pStyle w:val="TableBodyText"/>
              <w:ind w:right="0"/>
              <w:jc w:val="both"/>
            </w:pPr>
            <w:r w:rsidRPr="00E008FF">
              <w:t xml:space="preserve">Where: </w:t>
            </w:r>
          </w:p>
          <w:p w:rsidR="00950E2C" w:rsidRPr="00D91B04" w:rsidRDefault="00950E2C" w:rsidP="00F227D6">
            <w:pPr>
              <w:pStyle w:val="TableBullet"/>
              <w:jc w:val="both"/>
            </w:pPr>
            <w:r w:rsidRPr="00D91B04">
              <w:t>Recurrent expenditure is as defined by the recurrent expenditure data elements in the National Minimum Data Set for Public Hospital Establishments.</w:t>
            </w:r>
          </w:p>
          <w:p w:rsidR="00950E2C" w:rsidRPr="00D91B04" w:rsidRDefault="00950E2C" w:rsidP="00F227D6">
            <w:pPr>
              <w:pStyle w:val="TableBullet"/>
              <w:jc w:val="both"/>
            </w:pPr>
            <w:r w:rsidRPr="00D91B04">
              <w:t>IFRAC (admitted patient cost proportion) is the estimated proportion of total hospital expenditure that relates to admitted patient care.</w:t>
            </w:r>
          </w:p>
          <w:p w:rsidR="00950E2C" w:rsidRPr="00E00AD6" w:rsidRDefault="00950E2C" w:rsidP="00F227D6">
            <w:pPr>
              <w:pStyle w:val="TableBullet"/>
              <w:jc w:val="both"/>
            </w:pPr>
            <w:r w:rsidRPr="00D91B04">
              <w:t>Average cost weight is calculated from the National Hospital Morbidity Database, using the 200</w:t>
            </w:r>
            <w:r>
              <w:t>9</w:t>
            </w:r>
            <w:r w:rsidRPr="00D91B04">
              <w:noBreakHyphen/>
            </w:r>
            <w:r>
              <w:t>10</w:t>
            </w:r>
            <w:r w:rsidRPr="00D91B04">
              <w:t xml:space="preserve"> Australian Refined Diagnosis Related Group (AR-DRG) version </w:t>
            </w:r>
            <w:r>
              <w:t>6.0x</w:t>
            </w:r>
            <w:r w:rsidRPr="00D91B04">
              <w:t xml:space="preserve"> cost weights published by the Department of Health. </w:t>
            </w:r>
          </w:p>
        </w:tc>
      </w:tr>
      <w:tr w:rsidR="00950E2C" w:rsidRPr="003846CE" w:rsidTr="009F4002">
        <w:tc>
          <w:tcPr>
            <w:tcW w:w="1620" w:type="dxa"/>
          </w:tcPr>
          <w:p w:rsidR="00950E2C" w:rsidRPr="003846CE" w:rsidRDefault="00950E2C"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950E2C" w:rsidRPr="00E008FF" w:rsidRDefault="00950E2C" w:rsidP="007957BE">
            <w:pPr>
              <w:pStyle w:val="TableBodyText"/>
              <w:ind w:right="0"/>
              <w:jc w:val="both"/>
            </w:pPr>
            <w:r w:rsidRPr="00E008FF">
              <w:t>This indicator is calculated using data from the NPHED and the NHMD. The NPHED contains information on public hospital expenditure and estimates of the proportion of recurrent expenditure attributed to admitted patient care. The NPHED is based on the National Minimum Data Set (NMDS) for Public hospital establishments</w:t>
            </w:r>
            <w:r>
              <w:t xml:space="preserve">. </w:t>
            </w:r>
          </w:p>
          <w:p w:rsidR="00950E2C" w:rsidRPr="00E008FF" w:rsidRDefault="00950E2C" w:rsidP="007957BE">
            <w:pPr>
              <w:pStyle w:val="TableBodyText"/>
              <w:ind w:right="0"/>
              <w:jc w:val="both"/>
            </w:pPr>
            <w:r w:rsidRPr="00E008FF">
              <w:t>The NHMD is the source of data on casemix</w:t>
            </w:r>
            <w:r>
              <w:t>-</w:t>
            </w:r>
            <w:r w:rsidRPr="00E008FF">
              <w:t xml:space="preserve">adjusted separations for public hospitals. The NHMD is based on the NMDS for Admitted patient care. </w:t>
            </w:r>
          </w:p>
          <w:p w:rsidR="00950E2C" w:rsidRPr="00E00AD6" w:rsidRDefault="00950E2C" w:rsidP="004E42B6">
            <w:pPr>
              <w:pStyle w:val="TableBodyText"/>
              <w:ind w:right="0"/>
              <w:jc w:val="both"/>
            </w:pPr>
            <w:r w:rsidRPr="00E008FF">
              <w:t>Casemix</w:t>
            </w:r>
            <w:r>
              <w:t>-</w:t>
            </w:r>
            <w:r w:rsidRPr="00E008FF">
              <w:t xml:space="preserve">adjusted separations are calculated by the application of cost weights sourced from the </w:t>
            </w:r>
            <w:r w:rsidRPr="004F693A">
              <w:t xml:space="preserve">Independent Hospital Pricing Authority’s </w:t>
            </w:r>
            <w:r w:rsidRPr="00E008FF">
              <w:t>National Hospital Cost Data Collection for each separation’s recorded AR-DRG.</w:t>
            </w:r>
          </w:p>
        </w:tc>
      </w:tr>
      <w:tr w:rsidR="00950E2C" w:rsidRPr="003846CE" w:rsidTr="009F4002">
        <w:tc>
          <w:tcPr>
            <w:tcW w:w="8789" w:type="dxa"/>
            <w:gridSpan w:val="2"/>
            <w:vAlign w:val="bottom"/>
          </w:tcPr>
          <w:p w:rsidR="00950E2C" w:rsidRDefault="00950E2C" w:rsidP="00905501">
            <w:pPr>
              <w:widowControl w:val="0"/>
              <w:spacing w:after="40" w:line="200" w:lineRule="atLeast"/>
              <w:ind w:left="6" w:right="113"/>
              <w:jc w:val="both"/>
              <w:rPr>
                <w:rFonts w:ascii="Arial" w:hAnsi="Arial"/>
                <w:b/>
                <w:color w:val="000000"/>
                <w:sz w:val="18"/>
                <w:szCs w:val="20"/>
              </w:rPr>
            </w:pPr>
          </w:p>
          <w:p w:rsidR="00950E2C" w:rsidRPr="003846CE" w:rsidRDefault="00950E2C"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Default="00950E2C" w:rsidP="007957BE">
            <w:pPr>
              <w:pStyle w:val="TableBodyText"/>
              <w:jc w:val="both"/>
            </w:pPr>
            <w: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950E2C" w:rsidRDefault="00950E2C" w:rsidP="007957BE">
            <w:pPr>
              <w:pStyle w:val="TableBodyText"/>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950E2C" w:rsidRDefault="00950E2C" w:rsidP="007957BE">
            <w:pPr>
              <w:pStyle w:val="TableBodyText"/>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950E2C" w:rsidRDefault="00950E2C" w:rsidP="007957BE">
            <w:pPr>
              <w:pStyle w:val="TableBodyText"/>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950E2C" w:rsidRDefault="00950E2C" w:rsidP="007957BE">
            <w:pPr>
              <w:pStyle w:val="TableBodyText"/>
              <w:jc w:val="both"/>
            </w:pPr>
            <w:r>
              <w:t xml:space="preserve">The Australian Institute of Health and Welfare Act 1987, in conjunction with compliance to the Privacy Act 1988 (Cwlth), ensures that the data collections managed by the AIHW are kept securely and under the strictest conditions with </w:t>
            </w:r>
            <w:r>
              <w:lastRenderedPageBreak/>
              <w:t xml:space="preserve">respect to privacy and confidentiality. </w:t>
            </w:r>
          </w:p>
          <w:p w:rsidR="00950E2C" w:rsidRDefault="00950E2C" w:rsidP="007957BE">
            <w:pPr>
              <w:pStyle w:val="TableBodyText"/>
              <w:jc w:val="both"/>
            </w:pPr>
            <w:r>
              <w:t xml:space="preserve">For further information see the AIHW website www.aihw.gov.au </w:t>
            </w:r>
          </w:p>
          <w:p w:rsidR="00950E2C" w:rsidRDefault="00950E2C" w:rsidP="007957BE">
            <w:pPr>
              <w:pStyle w:val="TableBodyText"/>
              <w:jc w:val="both"/>
            </w:pPr>
            <w:r>
              <w:t xml:space="preserve">Data for the NESWTDC were supplied to the AIHW by state and territory health authorities under the terms of the National Health Information Agreement (see the following links): </w:t>
            </w:r>
          </w:p>
          <w:p w:rsidR="00950E2C" w:rsidRDefault="00950E2C" w:rsidP="007957BE">
            <w:pPr>
              <w:pStyle w:val="TableBodyText"/>
              <w:jc w:val="both"/>
            </w:pPr>
            <w:r>
              <w:t xml:space="preserve">http://www.aihw.gov.au/nhissc/ </w:t>
            </w:r>
          </w:p>
          <w:p w:rsidR="00950E2C" w:rsidRDefault="00950E2C" w:rsidP="007957BE">
            <w:pPr>
              <w:pStyle w:val="TableBodyText"/>
              <w:jc w:val="both"/>
            </w:pPr>
            <w:r>
              <w:t xml:space="preserve">http://meteor.aihw.gov.au/content/index.phtml/itemId/182135 </w:t>
            </w:r>
          </w:p>
          <w:p w:rsidR="00950E2C" w:rsidRPr="00E00AD6" w:rsidRDefault="00950E2C" w:rsidP="007957BE">
            <w:pPr>
              <w:pStyle w:val="TableBodyText"/>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lastRenderedPageBreak/>
              <w:t>Relevance</w:t>
            </w:r>
          </w:p>
        </w:tc>
        <w:tc>
          <w:tcPr>
            <w:tcW w:w="7169" w:type="dxa"/>
            <w:shd w:val="clear" w:color="auto" w:fill="auto"/>
          </w:tcPr>
          <w:p w:rsidR="00950E2C" w:rsidRPr="00E008FF" w:rsidRDefault="00950E2C" w:rsidP="00B04C80">
            <w:pPr>
              <w:pStyle w:val="TableBodyText"/>
              <w:keepNext w:val="0"/>
              <w:keepLines w:val="0"/>
              <w:widowControl w:val="0"/>
              <w:ind w:right="0"/>
              <w:jc w:val="both"/>
            </w:pPr>
            <w:r w:rsidRPr="00E008FF">
              <w:t>The purpose of the NMDS for Public hospital establishments is to collect information on the characteristics of public hospitals and summary information on non-admitted services provided by them</w:t>
            </w:r>
            <w:r>
              <w:t xml:space="preserve">. </w:t>
            </w:r>
            <w:r w:rsidRPr="00E008FF">
              <w:t xml:space="preserve">The scope </w:t>
            </w:r>
            <w:r>
              <w:t xml:space="preserve">is public hospitals in Australia, including public acute and psychiatric hospitals, including hospitals operated for or by the Department of Veterans Affairs, and drug and alcohol treatment centres. Hospitals specialising in dental, ophthalmic aids and other specialised acute medical or surgical care are included. </w:t>
            </w:r>
            <w:r w:rsidRPr="00E008FF">
              <w:t xml:space="preserve">The collection covers hospitals within the jurisdiction of the State and Territory health authorities. Hence, public hospitals not administered by the State and Territory health authorities (hospitals operated by correctional authorities </w:t>
            </w:r>
            <w:r>
              <w:t xml:space="preserve">or the Australian Defence Force </w:t>
            </w:r>
            <w:r w:rsidRPr="00E008FF">
              <w:t xml:space="preserve">for example, and hospitals located in offshore territories) are not included. The collection does not include data for private hospitals. </w:t>
            </w:r>
          </w:p>
          <w:p w:rsidR="00950E2C" w:rsidRPr="00E008FF" w:rsidRDefault="00950E2C" w:rsidP="00B04C80">
            <w:pPr>
              <w:pStyle w:val="TableBodyText"/>
              <w:keepNext w:val="0"/>
              <w:keepLines w:val="0"/>
              <w:widowControl w:val="0"/>
              <w:ind w:right="0"/>
              <w:jc w:val="both"/>
            </w:pPr>
            <w:r w:rsidRPr="00E008FF">
              <w:t xml:space="preserve">The purpose of the NMDS for Admitted patient care is to collect information about care provided to admitted patients in Australian hospitals. The scope of the NMDS is episodes of care for admitted patients in all public and private acute and psychiatric hospitals, free-standing day hospital facilities and alcohol and drug treatment centres in Australia. Hospitals operated by the Australian Defence Force, corrections authorities and in Australia's off-shore territories may also be included. Hospitals specialising in dental, ophthalmic aids and other specialised acute medical or surgical care are included. </w:t>
            </w:r>
          </w:p>
          <w:p w:rsidR="00950E2C" w:rsidRPr="00E008FF" w:rsidRDefault="00950E2C" w:rsidP="00B04C80">
            <w:pPr>
              <w:pStyle w:val="TableBodyText"/>
              <w:keepNext w:val="0"/>
              <w:keepLines w:val="0"/>
              <w:widowControl w:val="0"/>
              <w:ind w:right="0"/>
              <w:jc w:val="both"/>
            </w:pPr>
            <w:r w:rsidRPr="00E008FF">
              <w:t>The hospital separations data do not include episodes of non-admitted patient care provided in outpatient clinics or emergency departments.</w:t>
            </w:r>
          </w:p>
          <w:p w:rsidR="00950E2C" w:rsidRPr="00E008FF" w:rsidRDefault="00950E2C" w:rsidP="00B04C80">
            <w:pPr>
              <w:pStyle w:val="TableBodyText"/>
              <w:keepNext w:val="0"/>
              <w:keepLines w:val="0"/>
              <w:widowControl w:val="0"/>
              <w:ind w:right="0"/>
              <w:jc w:val="both"/>
            </w:pPr>
            <w:r w:rsidRPr="00E008FF">
              <w:t>The scope of the analysis includes public hospitals that provide mainly acute care. These are the hospitals in the public hospital peer groups of Principal referral and specialist women’s and children’s hospitals, Large hospitals, Medium hospitals, and Small acute hospitals. Excluded are Small non-acute hospitals, Multi-purpose services, Hospices, Rehabilitation hospitals, Mothercraft hospitals, Other non-acute hospitals, Psychiatric hospitals, and hospitals in the Unpeered and other hospitals peer group. Also excluded are hospitals for which expenditure or admitted patient care data were incomplete, although most of these were excluded for other reasons (for example they are small non-acute hospitals).</w:t>
            </w:r>
          </w:p>
          <w:p w:rsidR="00950E2C" w:rsidRPr="00E00AD6" w:rsidRDefault="00950E2C" w:rsidP="00B04C80">
            <w:pPr>
              <w:pStyle w:val="TableBodyText"/>
              <w:keepNext w:val="0"/>
              <w:keepLines w:val="0"/>
              <w:widowControl w:val="0"/>
              <w:jc w:val="both"/>
            </w:pPr>
            <w:r w:rsidRPr="00E008FF">
              <w:t>This indicator is an efficiency indicator, in which the numerator represents the amount of resources used (expenditure) to generate outputs (measured in a standardised way, that is, as cost-weighted separations).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950E2C" w:rsidRPr="00E00AD6" w:rsidRDefault="00950E2C" w:rsidP="00B04C80">
            <w:pPr>
              <w:pStyle w:val="TableBodyText"/>
              <w:keepNext w:val="0"/>
              <w:keepLines w:val="0"/>
              <w:widowControl w:val="0"/>
              <w:jc w:val="both"/>
            </w:pPr>
            <w:r w:rsidRPr="00E00AD6">
              <w:t>The reference period for this data set is 20</w:t>
            </w:r>
            <w:r>
              <w:t>11</w:t>
            </w:r>
            <w:r w:rsidRPr="00E00AD6">
              <w:t>-1</w:t>
            </w:r>
            <w:r>
              <w:t>2</w:t>
            </w:r>
            <w:r w:rsidRPr="00E00AD6">
              <w:t xml:space="preserve">. </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E008FF" w:rsidRDefault="00950E2C" w:rsidP="00B04C80">
            <w:pPr>
              <w:pStyle w:val="TableBodyText"/>
              <w:keepNext w:val="0"/>
              <w:keepLines w:val="0"/>
              <w:widowControl w:val="0"/>
              <w:ind w:right="0"/>
              <w:jc w:val="both"/>
            </w:pPr>
            <w:r w:rsidRPr="00E008FF">
              <w:t xml:space="preserve">For </w:t>
            </w:r>
            <w:r>
              <w:t>2011</w:t>
            </w:r>
            <w:r>
              <w:noBreakHyphen/>
              <w:t>12</w:t>
            </w:r>
            <w:r w:rsidRPr="00E008FF">
              <w:t>, coverage of the NPHED was essentially complete. Almost all public hospitals provided data for the NHMD, with the exception of a mothercraft hospital in the ACT.</w:t>
            </w:r>
          </w:p>
          <w:p w:rsidR="00950E2C" w:rsidRPr="00E008FF" w:rsidRDefault="00950E2C" w:rsidP="00B04C80">
            <w:pPr>
              <w:pStyle w:val="TableBodyText"/>
              <w:keepNext w:val="0"/>
              <w:keepLines w:val="0"/>
              <w:widowControl w:val="0"/>
              <w:ind w:right="0"/>
              <w:jc w:val="both"/>
            </w:pPr>
            <w:r w:rsidRPr="00E008FF">
              <w:t>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950E2C" w:rsidRPr="00E008FF" w:rsidRDefault="00950E2C" w:rsidP="00B04C80">
            <w:pPr>
              <w:pStyle w:val="TableBodyText"/>
              <w:keepNext w:val="0"/>
              <w:keepLines w:val="0"/>
              <w:widowControl w:val="0"/>
              <w:ind w:right="0"/>
              <w:jc w:val="both"/>
            </w:pPr>
            <w:r w:rsidRPr="00E008FF">
              <w:t>The data are defined in the NMDSs detailed above.</w:t>
            </w:r>
          </w:p>
          <w:p w:rsidR="00950E2C" w:rsidRPr="00E008FF" w:rsidRDefault="00950E2C" w:rsidP="00B04C80">
            <w:pPr>
              <w:pStyle w:val="TableBodyText"/>
              <w:keepNext w:val="0"/>
              <w:keepLines w:val="0"/>
              <w:widowControl w:val="0"/>
              <w:ind w:right="0"/>
              <w:jc w:val="both"/>
            </w:pPr>
            <w:r w:rsidRPr="00E008FF">
              <w:t>However, the comparability of the cost per casemix-adjusted separation in any one year is sensitive to a number of deficiencies in available data:</w:t>
            </w:r>
          </w:p>
          <w:p w:rsidR="00950E2C" w:rsidRPr="00D91B04" w:rsidRDefault="00950E2C" w:rsidP="00CE22FE">
            <w:pPr>
              <w:pStyle w:val="TableBullet"/>
            </w:pPr>
            <w:r w:rsidRPr="00D91B04">
              <w:t>the proportion of recurrent expenditure that relates to admitted patient care is estimated in different ways in different hospitals and is not always comparable</w:t>
            </w:r>
          </w:p>
          <w:p w:rsidR="00950E2C" w:rsidRPr="00D91B04" w:rsidRDefault="00950E2C" w:rsidP="00CE22FE">
            <w:pPr>
              <w:pStyle w:val="TableBullet"/>
            </w:pPr>
            <w:r w:rsidRPr="00D91B04">
              <w:lastRenderedPageBreak/>
              <w:t>capital costs are not included in the numerator. While depreciation information is provided by most jurisdictions, this may vary across states and territories</w:t>
            </w:r>
          </w:p>
          <w:p w:rsidR="00950E2C" w:rsidRPr="00D91B04" w:rsidRDefault="00950E2C" w:rsidP="00CE22FE">
            <w:pPr>
              <w:pStyle w:val="TableBullet"/>
            </w:pPr>
            <w:r w:rsidRPr="00D91B04">
              <w:t>only cost weights applicable to acute care separations are available, so these have been applied to all separations, including the 3 per cent that were not acute. The proportions of separations that are not acute vary across states and territories.</w:t>
            </w:r>
          </w:p>
          <w:p w:rsidR="00950E2C" w:rsidRPr="00D91B04" w:rsidRDefault="00950E2C" w:rsidP="00CE22FE">
            <w:pPr>
              <w:pStyle w:val="TableBullet"/>
            </w:pPr>
            <w:r w:rsidRPr="00D91B04">
              <w:t>the proportions of patients other than public patients vary across states and territories, and the estimation of medical costs for these patients (undertaken to adjust expenditure to resemble what it would be if all patients had been public patients) is subject to error.</w:t>
            </w:r>
          </w:p>
          <w:p w:rsidR="00950E2C" w:rsidRPr="00184B37" w:rsidRDefault="00950E2C" w:rsidP="00B04C80">
            <w:pPr>
              <w:pStyle w:val="TableBodyText"/>
              <w:keepNext w:val="0"/>
              <w:keepLines w:val="0"/>
              <w:widowControl w:val="0"/>
              <w:jc w:val="both"/>
              <w:rPr>
                <w:color w:val="000000"/>
              </w:rPr>
            </w:pPr>
            <w:r w:rsidRPr="00E008FF">
              <w:t>Cells have been suppressed to protect confidentiality (where the numerator would identify a single service provider).</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950E2C" w:rsidRPr="00E008FF" w:rsidRDefault="00950E2C" w:rsidP="00B04C80">
            <w:pPr>
              <w:pStyle w:val="TableBodyText"/>
              <w:keepNext w:val="0"/>
              <w:keepLines w:val="0"/>
              <w:widowControl w:val="0"/>
              <w:ind w:right="0"/>
              <w:jc w:val="both"/>
            </w:pPr>
            <w:r w:rsidRPr="00E008FF">
              <w:t xml:space="preserve">The information presented for this indicator is calculated using the same methodology as data published in </w:t>
            </w:r>
            <w:r w:rsidRPr="00E008FF">
              <w:rPr>
                <w:i/>
              </w:rPr>
              <w:t xml:space="preserve">Australian hospital statistics </w:t>
            </w:r>
            <w:r>
              <w:rPr>
                <w:i/>
              </w:rPr>
              <w:t>2011</w:t>
            </w:r>
            <w:r>
              <w:rPr>
                <w:i/>
              </w:rPr>
              <w:noBreakHyphen/>
              <w:t>12.</w:t>
            </w:r>
          </w:p>
          <w:p w:rsidR="00950E2C" w:rsidRPr="00E008FF" w:rsidRDefault="00950E2C" w:rsidP="00B04C80">
            <w:pPr>
              <w:pStyle w:val="TableBodyText"/>
              <w:keepNext w:val="0"/>
              <w:keepLines w:val="0"/>
              <w:widowControl w:val="0"/>
              <w:ind w:right="0"/>
              <w:jc w:val="both"/>
            </w:pPr>
            <w:r w:rsidRPr="00E008FF">
              <w:t>The denominator for the indicator is based on the reported admitted patient activity, adjusted using cost-weights to derive a ‘standard’ unit of output as an artificial construct. The estimated number of cost-weighted separations (particularly using constant AR-DRGs and AR-DRG cost weights over time) is for comparison purposes only.</w:t>
            </w:r>
          </w:p>
          <w:p w:rsidR="00950E2C" w:rsidRPr="00E00AD6" w:rsidRDefault="00950E2C" w:rsidP="00B04C80">
            <w:pPr>
              <w:pStyle w:val="TableBodyText"/>
              <w:keepNext w:val="0"/>
              <w:keepLines w:val="0"/>
              <w:widowControl w:val="0"/>
              <w:jc w:val="both"/>
            </w:pPr>
            <w:r w:rsidRPr="00E008FF">
              <w:t>Time series analysis of this indicator is not recommended.</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950E2C" w:rsidRPr="00E008FF" w:rsidRDefault="00950E2C" w:rsidP="00B04C80">
            <w:pPr>
              <w:pStyle w:val="TableBodyText"/>
              <w:keepNext w:val="0"/>
              <w:keepLines w:val="0"/>
              <w:widowControl w:val="0"/>
              <w:ind w:right="0"/>
              <w:jc w:val="both"/>
            </w:pPr>
            <w:r w:rsidRPr="00E008FF">
              <w:t>The AIHW provides a variety of products that draw upon the NHMD and the NPHED. Published products available on the AIHW website include:</w:t>
            </w:r>
          </w:p>
          <w:p w:rsidR="00950E2C" w:rsidRPr="00E008FF" w:rsidRDefault="00950E2C" w:rsidP="00B04C80">
            <w:pPr>
              <w:pStyle w:val="TableBullet"/>
              <w:keepNext w:val="0"/>
              <w:keepLines w:val="0"/>
              <w:widowControl w:val="0"/>
              <w:jc w:val="both"/>
            </w:pPr>
            <w:r w:rsidRPr="00A03FD3">
              <w:rPr>
                <w:i/>
              </w:rPr>
              <w:t>Australian hospital statistics</w:t>
            </w:r>
            <w:r w:rsidRPr="00E008FF">
              <w:t xml:space="preserve"> with associated Excel tables</w:t>
            </w:r>
          </w:p>
          <w:p w:rsidR="00950E2C" w:rsidRPr="00E00AD6" w:rsidRDefault="00950E2C" w:rsidP="00B04C80">
            <w:pPr>
              <w:pStyle w:val="TableBullet"/>
              <w:keepNext w:val="0"/>
              <w:keepLines w:val="0"/>
              <w:widowControl w:val="0"/>
              <w:jc w:val="both"/>
            </w:pPr>
            <w:r w:rsidRPr="00E008FF">
              <w:t>Interactive data cubes for Public hospital establishments.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950E2C" w:rsidRPr="00E00AD6" w:rsidRDefault="00950E2C" w:rsidP="00F227D6">
            <w:pPr>
              <w:pStyle w:val="TableBodyText"/>
              <w:keepNext w:val="0"/>
              <w:keepLines w:val="0"/>
              <w:widowControl w:val="0"/>
              <w:jc w:val="both"/>
            </w:pPr>
            <w:r w:rsidRPr="00E008FF">
              <w:t xml:space="preserve">Supporting information on the quality and use of the NPHED and NHMD are published annually in </w:t>
            </w:r>
            <w:r w:rsidRPr="00E008FF">
              <w:rPr>
                <w:i/>
              </w:rPr>
              <w:t>Australian hospital statistics</w:t>
            </w:r>
            <w:r w:rsidRPr="00E008FF">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NMDS for Public hospital establishments and Admitted patient care are published in the AIHW’s online metadata repository — METeOR, and the National health data dictionary.</w:t>
            </w:r>
          </w:p>
        </w:tc>
      </w:tr>
      <w:tr w:rsidR="00950E2C" w:rsidRPr="003846CE" w:rsidTr="009F4002">
        <w:tc>
          <w:tcPr>
            <w:tcW w:w="8789" w:type="dxa"/>
            <w:gridSpan w:val="2"/>
            <w:vAlign w:val="bottom"/>
          </w:tcPr>
          <w:p w:rsidR="00950E2C" w:rsidRDefault="00950E2C" w:rsidP="00B04C80">
            <w:pPr>
              <w:widowControl w:val="0"/>
              <w:spacing w:after="40" w:line="200" w:lineRule="atLeast"/>
              <w:ind w:left="6" w:right="113"/>
              <w:jc w:val="both"/>
              <w:rPr>
                <w:rFonts w:ascii="Arial" w:hAnsi="Arial"/>
                <w:b/>
                <w:color w:val="000000"/>
                <w:sz w:val="18"/>
                <w:szCs w:val="20"/>
              </w:rPr>
            </w:pPr>
          </w:p>
          <w:p w:rsidR="00950E2C" w:rsidRPr="003846CE" w:rsidRDefault="00950E2C" w:rsidP="00B04C80">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950E2C" w:rsidRPr="003846CE" w:rsidTr="009F4002">
        <w:tc>
          <w:tcPr>
            <w:tcW w:w="1620" w:type="dxa"/>
          </w:tcPr>
          <w:p w:rsidR="00950E2C" w:rsidRPr="003846CE" w:rsidRDefault="00950E2C" w:rsidP="00B04C80">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950E2C" w:rsidRPr="00E00AD6" w:rsidRDefault="00950E2C" w:rsidP="00F227D6">
            <w:pPr>
              <w:pStyle w:val="TableBodyText"/>
              <w:keepNext w:val="0"/>
              <w:keepLines w:val="0"/>
              <w:widowControl w:val="0"/>
              <w:jc w:val="both"/>
            </w:pPr>
            <w:r w:rsidRPr="00E00AD6">
              <w:t>The Steering Committee notes the following key data gaps/issues:</w:t>
            </w:r>
          </w:p>
          <w:p w:rsidR="00950E2C" w:rsidRPr="000559F5" w:rsidRDefault="00950E2C" w:rsidP="00F227D6">
            <w:pPr>
              <w:pStyle w:val="TableBullet"/>
              <w:jc w:val="both"/>
            </w:pPr>
            <w:r w:rsidRPr="000559F5">
              <w:t>the proportion of recurrent expenditure that relates to admitted patient care is estimated in different ways in different hospitals and is not always comparable</w:t>
            </w:r>
          </w:p>
          <w:p w:rsidR="00950E2C" w:rsidRPr="000559F5" w:rsidRDefault="00950E2C" w:rsidP="00F227D6">
            <w:pPr>
              <w:pStyle w:val="TableBullet"/>
              <w:jc w:val="both"/>
            </w:pPr>
            <w:r w:rsidRPr="000559F5">
              <w:t>only cost weights applicable to acute care separations are available, so these have been applied to all separations, including the 3 per cent that were not acute.</w:t>
            </w:r>
          </w:p>
          <w:p w:rsidR="00950E2C" w:rsidRPr="000559F5" w:rsidRDefault="00950E2C" w:rsidP="00F227D6">
            <w:pPr>
              <w:pStyle w:val="TableBullet"/>
              <w:jc w:val="both"/>
            </w:pPr>
            <w:r w:rsidRPr="000559F5">
              <w:t>the proportion of patients other than public patients can vary, and the estimation of medical costs for these patients (undertaken to adjust expenditure to resemble what it would be if all patients had been public patients) is subject to error.</w:t>
            </w:r>
          </w:p>
          <w:p w:rsidR="00950E2C" w:rsidRPr="00184B37" w:rsidRDefault="00950E2C" w:rsidP="00F227D6">
            <w:pPr>
              <w:pStyle w:val="TableBullet"/>
              <w:jc w:val="both"/>
            </w:pPr>
            <w:r w:rsidRPr="000559F5">
              <w:t>Variations in admission practices and policies lead to variation among providers in the number of admissions for some conditions.</w:t>
            </w:r>
          </w:p>
        </w:tc>
      </w:tr>
    </w:tbl>
    <w:p w:rsidR="00B33A69" w:rsidRDefault="00B33A69" w:rsidP="00B33A69">
      <w:pPr>
        <w:pStyle w:val="Heading4"/>
      </w:pPr>
      <w:r w:rsidRPr="00B33A69">
        <w:t>Total cost per casemix adjusted separation</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4E42B6" w:rsidRPr="003846CE" w:rsidTr="00345271">
        <w:tc>
          <w:tcPr>
            <w:tcW w:w="8789" w:type="dxa"/>
            <w:gridSpan w:val="2"/>
            <w:vAlign w:val="bottom"/>
          </w:tcPr>
          <w:p w:rsidR="004E42B6" w:rsidRDefault="004E42B6" w:rsidP="00345271">
            <w:pPr>
              <w:widowControl w:val="0"/>
              <w:spacing w:after="40" w:line="200" w:lineRule="atLeast"/>
              <w:ind w:left="6" w:right="113"/>
              <w:jc w:val="both"/>
              <w:rPr>
                <w:rFonts w:ascii="Arial" w:hAnsi="Arial"/>
                <w:b/>
                <w:color w:val="000000"/>
                <w:sz w:val="18"/>
                <w:szCs w:val="20"/>
              </w:rPr>
            </w:pPr>
          </w:p>
          <w:p w:rsidR="004E42B6" w:rsidRPr="003846CE" w:rsidRDefault="004E42B6" w:rsidP="0034527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4E42B6" w:rsidRPr="003846CE" w:rsidTr="00345271">
        <w:tc>
          <w:tcPr>
            <w:tcW w:w="1620" w:type="dxa"/>
          </w:tcPr>
          <w:p w:rsidR="004E42B6" w:rsidRPr="003846CE" w:rsidRDefault="004E42B6" w:rsidP="0034527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4E42B6" w:rsidRPr="00E00AD6" w:rsidRDefault="004E42B6" w:rsidP="00345271">
            <w:pPr>
              <w:pStyle w:val="TableBodyText"/>
              <w:jc w:val="both"/>
            </w:pPr>
            <w:r w:rsidRPr="00E00AD6">
              <w:t xml:space="preserve">Efficiency </w:t>
            </w:r>
          </w:p>
        </w:tc>
      </w:tr>
      <w:tr w:rsidR="004E42B6" w:rsidRPr="003846CE" w:rsidTr="00345271">
        <w:tc>
          <w:tcPr>
            <w:tcW w:w="1620" w:type="dxa"/>
          </w:tcPr>
          <w:p w:rsidR="004E42B6" w:rsidRPr="003846CE" w:rsidRDefault="004E42B6" w:rsidP="0034527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vAlign w:val="bottom"/>
          </w:tcPr>
          <w:p w:rsidR="004E42B6" w:rsidRPr="00E00AD6" w:rsidRDefault="004E42B6" w:rsidP="004E42B6">
            <w:pPr>
              <w:pStyle w:val="TableBodyText"/>
              <w:jc w:val="both"/>
            </w:pPr>
            <w:r>
              <w:t>Cost per casemix-</w:t>
            </w:r>
            <w:r w:rsidRPr="007A309F">
              <w:t>adjusted separation</w:t>
            </w:r>
            <w:r>
              <w:t xml:space="preserve"> — Total</w:t>
            </w:r>
            <w:r w:rsidRPr="004E42B6">
              <w:t xml:space="preserve"> cost per casemix adjusted separation</w:t>
            </w:r>
          </w:p>
        </w:tc>
      </w:tr>
      <w:tr w:rsidR="004E42B6" w:rsidRPr="000F1E69" w:rsidTr="00345271">
        <w:tc>
          <w:tcPr>
            <w:tcW w:w="1620" w:type="dxa"/>
          </w:tcPr>
          <w:p w:rsidR="004E42B6" w:rsidRPr="000F1E69" w:rsidRDefault="004E42B6" w:rsidP="00345271">
            <w:pPr>
              <w:widowControl w:val="0"/>
              <w:spacing w:after="40" w:line="200" w:lineRule="atLeast"/>
              <w:ind w:left="6" w:right="113"/>
              <w:jc w:val="both"/>
              <w:rPr>
                <w:rFonts w:ascii="Arial" w:hAnsi="Arial"/>
                <w:b/>
                <w:sz w:val="18"/>
                <w:szCs w:val="20"/>
              </w:rPr>
            </w:pPr>
            <w:r w:rsidRPr="000F1E69">
              <w:rPr>
                <w:rFonts w:ascii="Arial" w:hAnsi="Arial"/>
                <w:b/>
                <w:sz w:val="18"/>
                <w:szCs w:val="20"/>
              </w:rPr>
              <w:t>Measure</w:t>
            </w:r>
          </w:p>
          <w:p w:rsidR="004E42B6" w:rsidRPr="000F1E69" w:rsidRDefault="004E42B6" w:rsidP="00345271">
            <w:pPr>
              <w:widowControl w:val="0"/>
              <w:spacing w:after="40" w:line="200" w:lineRule="atLeast"/>
              <w:ind w:left="6" w:right="113"/>
              <w:jc w:val="both"/>
              <w:rPr>
                <w:rFonts w:ascii="Arial" w:hAnsi="Arial"/>
                <w:b/>
                <w:sz w:val="18"/>
                <w:szCs w:val="20"/>
              </w:rPr>
            </w:pPr>
            <w:r w:rsidRPr="000F1E69">
              <w:rPr>
                <w:rFonts w:ascii="Arial" w:hAnsi="Arial"/>
                <w:b/>
                <w:sz w:val="18"/>
                <w:szCs w:val="20"/>
              </w:rPr>
              <w:t>(computation</w:t>
            </w:r>
          </w:p>
        </w:tc>
        <w:tc>
          <w:tcPr>
            <w:tcW w:w="7169" w:type="dxa"/>
            <w:vAlign w:val="bottom"/>
          </w:tcPr>
          <w:p w:rsidR="004E42B6" w:rsidRPr="000F1E69" w:rsidRDefault="004E42B6" w:rsidP="00345271">
            <w:pPr>
              <w:pStyle w:val="TableBodyText"/>
              <w:ind w:right="0"/>
              <w:jc w:val="both"/>
            </w:pPr>
            <w:r w:rsidRPr="000F1E69">
              <w:t>The average cost per case mix-adjusted separation in public hospitals. The formula used to calculate the cost per casemix-adjusted separation is:</w:t>
            </w:r>
          </w:p>
          <w:p w:rsidR="004E42B6" w:rsidRPr="000F1E69" w:rsidRDefault="004E42B6" w:rsidP="00345271">
            <w:pPr>
              <w:pStyle w:val="TableBodyText"/>
              <w:ind w:right="0"/>
              <w:jc w:val="both"/>
            </w:pPr>
            <w:r w:rsidRPr="000F1E69">
              <w:t>(Recurrent expenditure × IFRAC) ÷ (Total separations × Average cost weight)</w:t>
            </w:r>
          </w:p>
          <w:p w:rsidR="004E42B6" w:rsidRPr="000F1E69" w:rsidRDefault="004E42B6" w:rsidP="00345271">
            <w:pPr>
              <w:pStyle w:val="TableBodyText"/>
              <w:ind w:right="0"/>
              <w:jc w:val="both"/>
            </w:pPr>
            <w:r w:rsidRPr="000F1E69">
              <w:t xml:space="preserve">Where: </w:t>
            </w:r>
          </w:p>
          <w:p w:rsidR="004E42B6" w:rsidRPr="000F1E69" w:rsidRDefault="004E42B6" w:rsidP="00345271">
            <w:pPr>
              <w:pStyle w:val="TableBullet"/>
            </w:pPr>
            <w:r w:rsidRPr="000F1E69">
              <w:t>Recurrent expenditure is as defined by the recurrent expenditure data elements in the National Minimum Data Set for Public Hospital Establishments.</w:t>
            </w:r>
          </w:p>
          <w:p w:rsidR="004E42B6" w:rsidRPr="000F1E69" w:rsidRDefault="004E42B6" w:rsidP="00345271">
            <w:pPr>
              <w:pStyle w:val="TableBullet"/>
            </w:pPr>
            <w:r w:rsidRPr="000F1E69">
              <w:t xml:space="preserve">IFRAC (admitted patient cost proportion) is the estimated proportion of total hospital </w:t>
            </w:r>
            <w:r w:rsidRPr="000F1E69">
              <w:lastRenderedPageBreak/>
              <w:t>expenditure that relates to admitted patient care.</w:t>
            </w:r>
          </w:p>
          <w:p w:rsidR="004E42B6" w:rsidRPr="000F1E69" w:rsidRDefault="004E42B6" w:rsidP="00345271">
            <w:pPr>
              <w:pStyle w:val="TableBullet"/>
            </w:pPr>
            <w:r w:rsidRPr="000F1E69">
              <w:t>Average cost weight is calculated from the National Hospital Morbidity Database, using the 2009</w:t>
            </w:r>
            <w:r w:rsidRPr="000F1E69">
              <w:noBreakHyphen/>
              <w:t xml:space="preserve">10 Australian Refined Diagnosis Related Group (AR-DRG) version 6.0x cost weights published by the Department of Health. </w:t>
            </w:r>
          </w:p>
          <w:p w:rsidR="004E42B6" w:rsidRPr="000F1E69" w:rsidRDefault="004E42B6" w:rsidP="00345271">
            <w:pPr>
              <w:pStyle w:val="TableBodyText"/>
              <w:jc w:val="both"/>
            </w:pPr>
            <w:r w:rsidRPr="000F1E69">
              <w:t>‘Total cost per casemix-adjusted separation’ is defined as the recurrent cost per casemix-adjusted separation plus the capital costs per casemix-adjusted separation. Recurrent costs include labour and material costs, and capital costs include depreciation and the user cost of capital for buildings and equipment. The indicator is included because it allows the full cost of hospital services to be considered in a single measure. The hospitals included in this measure are the same as for recurrent cost per casemix-adjusted separation.</w:t>
            </w:r>
          </w:p>
          <w:p w:rsidR="004E42B6" w:rsidRPr="000F1E69" w:rsidRDefault="004E42B6" w:rsidP="00345271">
            <w:pPr>
              <w:pStyle w:val="TableBodyText"/>
              <w:jc w:val="both"/>
            </w:pPr>
            <w:r w:rsidRPr="000F1E69">
              <w:t>Depreciation is defined as the cost of consuming an asset’s services. It is measured by the reduction in value of an asset over the financial year. The user cost of capital is the opportunity cost of the capital invested in an asset, and is equivalent to the return foregone from not using the funds to deliver other government services or to retire debt. Interest payments represent a user cost of capital, so are deducted from capital costs in all jurisdictions to avoid double counting.</w:t>
            </w:r>
          </w:p>
        </w:tc>
      </w:tr>
      <w:tr w:rsidR="004E42B6" w:rsidRPr="000F1E69" w:rsidTr="00345271">
        <w:tc>
          <w:tcPr>
            <w:tcW w:w="1620" w:type="dxa"/>
          </w:tcPr>
          <w:p w:rsidR="004E42B6" w:rsidRPr="000F1E69" w:rsidRDefault="004E42B6" w:rsidP="00345271">
            <w:pPr>
              <w:widowControl w:val="0"/>
              <w:spacing w:after="40" w:line="200" w:lineRule="atLeast"/>
              <w:ind w:left="6" w:right="113"/>
              <w:rPr>
                <w:rFonts w:ascii="Arial" w:hAnsi="Arial"/>
                <w:b/>
                <w:sz w:val="18"/>
                <w:szCs w:val="20"/>
              </w:rPr>
            </w:pPr>
            <w:r w:rsidRPr="000F1E69">
              <w:rPr>
                <w:rFonts w:ascii="Arial" w:hAnsi="Arial"/>
                <w:b/>
                <w:sz w:val="18"/>
                <w:szCs w:val="20"/>
              </w:rPr>
              <w:lastRenderedPageBreak/>
              <w:t>Data source/s</w:t>
            </w:r>
          </w:p>
        </w:tc>
        <w:tc>
          <w:tcPr>
            <w:tcW w:w="7169" w:type="dxa"/>
          </w:tcPr>
          <w:p w:rsidR="004E42B6" w:rsidRPr="000F1E69" w:rsidRDefault="004E42B6" w:rsidP="00345271">
            <w:pPr>
              <w:pStyle w:val="TableBodyText"/>
              <w:ind w:right="0"/>
              <w:jc w:val="both"/>
            </w:pPr>
            <w:r w:rsidRPr="000F1E69">
              <w:t xml:space="preserve">This indicator is calculated using data from the NPHED and the NHMD. The NPHED contains information on public hospital expenditure and estimates of the proportion of recurrent expenditure attributed to admitted patient care. The NPHED is based on the National Minimum Data Set (NMDS) for Public hospital establishments. </w:t>
            </w:r>
          </w:p>
          <w:p w:rsidR="004E42B6" w:rsidRPr="000F1E69" w:rsidRDefault="004E42B6" w:rsidP="00345271">
            <w:pPr>
              <w:pStyle w:val="TableBodyText"/>
              <w:ind w:right="0"/>
              <w:jc w:val="both"/>
            </w:pPr>
            <w:r w:rsidRPr="000F1E69">
              <w:t xml:space="preserve">The NHMD is the source of data on casemix-adjusted separations for public hospitals. The NHMD is based on the NMDS for Admitted patient care. </w:t>
            </w:r>
          </w:p>
          <w:p w:rsidR="004E42B6" w:rsidRPr="000F1E69" w:rsidRDefault="004E42B6" w:rsidP="00345271">
            <w:pPr>
              <w:pStyle w:val="TableBodyText"/>
              <w:ind w:right="0"/>
              <w:jc w:val="both"/>
            </w:pPr>
            <w:r w:rsidRPr="000F1E69">
              <w:t>Casemix-adjusted separations are calculated by the application of cost weights sourced from the Independent Hospital Pricing Authority’s National Hospital Cost Data Collection for each separation’s recorded AR-DRG.</w:t>
            </w:r>
          </w:p>
          <w:p w:rsidR="004E42B6" w:rsidRPr="000F1E69" w:rsidRDefault="004E42B6" w:rsidP="00345271">
            <w:pPr>
              <w:pStyle w:val="TableBodyText"/>
              <w:jc w:val="both"/>
            </w:pPr>
            <w:r w:rsidRPr="000F1E69">
              <w:t>Capital costs are sourced from state and territory health departments as part of the annual Report on Government Services data collection.</w:t>
            </w:r>
          </w:p>
        </w:tc>
      </w:tr>
      <w:tr w:rsidR="004E42B6" w:rsidRPr="000F1E69" w:rsidTr="00345271">
        <w:tc>
          <w:tcPr>
            <w:tcW w:w="8789" w:type="dxa"/>
            <w:gridSpan w:val="2"/>
            <w:vAlign w:val="bottom"/>
          </w:tcPr>
          <w:p w:rsidR="004E42B6" w:rsidRPr="000F1E69" w:rsidRDefault="004E42B6" w:rsidP="00345271">
            <w:pPr>
              <w:widowControl w:val="0"/>
              <w:spacing w:after="40" w:line="200" w:lineRule="atLeast"/>
              <w:ind w:left="6" w:right="113"/>
              <w:jc w:val="both"/>
              <w:rPr>
                <w:rFonts w:ascii="Arial" w:hAnsi="Arial"/>
                <w:b/>
                <w:sz w:val="18"/>
                <w:szCs w:val="20"/>
              </w:rPr>
            </w:pPr>
          </w:p>
          <w:p w:rsidR="004E42B6" w:rsidRPr="000F1E69" w:rsidRDefault="004E42B6" w:rsidP="00345271">
            <w:pPr>
              <w:widowControl w:val="0"/>
              <w:spacing w:after="40" w:line="200" w:lineRule="atLeast"/>
              <w:ind w:left="6" w:right="113"/>
              <w:jc w:val="both"/>
              <w:rPr>
                <w:rFonts w:ascii="Arial" w:hAnsi="Arial"/>
                <w:b/>
                <w:sz w:val="18"/>
                <w:szCs w:val="20"/>
                <w:u w:val="single"/>
              </w:rPr>
            </w:pPr>
            <w:r w:rsidRPr="000F1E69">
              <w:rPr>
                <w:rFonts w:ascii="Arial" w:hAnsi="Arial"/>
                <w:b/>
                <w:sz w:val="18"/>
                <w:szCs w:val="20"/>
                <w:u w:val="single"/>
              </w:rPr>
              <w:t>Data Quality Framework Dimensions</w:t>
            </w:r>
          </w:p>
        </w:tc>
      </w:tr>
      <w:tr w:rsidR="004E42B6" w:rsidRPr="000F1E69" w:rsidTr="00345271">
        <w:tc>
          <w:tcPr>
            <w:tcW w:w="1620" w:type="dxa"/>
          </w:tcPr>
          <w:p w:rsidR="004E42B6" w:rsidRPr="000F1E69" w:rsidRDefault="004E42B6" w:rsidP="00345271">
            <w:pPr>
              <w:widowControl w:val="0"/>
              <w:spacing w:after="40" w:line="200" w:lineRule="atLeast"/>
              <w:ind w:left="6" w:right="113"/>
              <w:jc w:val="both"/>
              <w:rPr>
                <w:rFonts w:ascii="Arial" w:hAnsi="Arial"/>
                <w:b/>
                <w:sz w:val="18"/>
                <w:szCs w:val="20"/>
              </w:rPr>
            </w:pPr>
            <w:r w:rsidRPr="000F1E69">
              <w:rPr>
                <w:rFonts w:ascii="Arial" w:hAnsi="Arial"/>
                <w:b/>
                <w:sz w:val="18"/>
                <w:szCs w:val="20"/>
              </w:rPr>
              <w:t>Institutional environment</w:t>
            </w:r>
          </w:p>
        </w:tc>
        <w:tc>
          <w:tcPr>
            <w:tcW w:w="7169" w:type="dxa"/>
            <w:shd w:val="clear" w:color="auto" w:fill="auto"/>
          </w:tcPr>
          <w:p w:rsidR="004E42B6" w:rsidRPr="000F1E69" w:rsidRDefault="004E42B6" w:rsidP="00345271">
            <w:pPr>
              <w:pStyle w:val="TableBodyText"/>
              <w:jc w:val="both"/>
            </w:pPr>
            <w:r w:rsidRPr="000F1E69">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4E42B6" w:rsidRPr="000F1E69" w:rsidRDefault="004E42B6" w:rsidP="00345271">
            <w:pPr>
              <w:pStyle w:val="TableBodyText"/>
              <w:jc w:val="both"/>
            </w:pPr>
            <w:r w:rsidRPr="000F1E69">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4E42B6" w:rsidRPr="000F1E69" w:rsidRDefault="004E42B6" w:rsidP="00345271">
            <w:pPr>
              <w:pStyle w:val="TableBodyText"/>
              <w:jc w:val="both"/>
            </w:pPr>
            <w:r w:rsidRPr="000F1E69">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4E42B6" w:rsidRPr="000F1E69" w:rsidRDefault="004E42B6" w:rsidP="00345271">
            <w:pPr>
              <w:pStyle w:val="TableBodyText"/>
              <w:jc w:val="both"/>
            </w:pPr>
            <w:r w:rsidRPr="000F1E69">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4E42B6" w:rsidRPr="000F1E69" w:rsidRDefault="004E42B6" w:rsidP="00345271">
            <w:pPr>
              <w:pStyle w:val="TableBodyText"/>
              <w:jc w:val="both"/>
            </w:pPr>
            <w:r w:rsidRPr="000F1E69">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4E42B6" w:rsidRPr="000F1E69" w:rsidRDefault="004E42B6" w:rsidP="00345271">
            <w:pPr>
              <w:pStyle w:val="TableBodyText"/>
              <w:jc w:val="both"/>
            </w:pPr>
            <w:r w:rsidRPr="000F1E69">
              <w:t xml:space="preserve">For further information see the AIHW website www.aihw.gov.au </w:t>
            </w:r>
          </w:p>
          <w:p w:rsidR="004E42B6" w:rsidRPr="000F1E69" w:rsidRDefault="004E42B6" w:rsidP="00345271">
            <w:pPr>
              <w:pStyle w:val="TableBodyText"/>
              <w:jc w:val="both"/>
            </w:pPr>
            <w:r w:rsidRPr="000F1E69">
              <w:t xml:space="preserve">Data for the NESWTDC were supplied to the AIHW by state and territory health authorities under the terms of the National Health Information Agreement (see the following links): </w:t>
            </w:r>
          </w:p>
          <w:p w:rsidR="004E42B6" w:rsidRPr="000F1E69" w:rsidRDefault="004E42B6" w:rsidP="00345271">
            <w:pPr>
              <w:pStyle w:val="TableBodyText"/>
              <w:jc w:val="both"/>
            </w:pPr>
            <w:r w:rsidRPr="000F1E69">
              <w:t xml:space="preserve">http://www.aihw.gov.au/nhissc/ </w:t>
            </w:r>
          </w:p>
          <w:p w:rsidR="004E42B6" w:rsidRPr="000F1E69" w:rsidRDefault="004E42B6" w:rsidP="00345271">
            <w:pPr>
              <w:pStyle w:val="TableBodyText"/>
              <w:jc w:val="both"/>
            </w:pPr>
            <w:r w:rsidRPr="000F1E69">
              <w:t xml:space="preserve">http://meteor.aihw.gov.au/content/index.phtml/itemId/182135 </w:t>
            </w:r>
          </w:p>
          <w:p w:rsidR="004E42B6" w:rsidRPr="000F1E69" w:rsidRDefault="004E42B6" w:rsidP="00345271">
            <w:pPr>
              <w:pStyle w:val="TableBodyText"/>
              <w:jc w:val="both"/>
            </w:pPr>
            <w:r w:rsidRPr="000F1E69">
              <w:lastRenderedPageBreak/>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4E42B6" w:rsidRPr="003C09C9" w:rsidTr="00345271">
        <w:tc>
          <w:tcPr>
            <w:tcW w:w="1620" w:type="dxa"/>
          </w:tcPr>
          <w:p w:rsidR="004E42B6" w:rsidRPr="003C09C9" w:rsidRDefault="004E42B6" w:rsidP="00345271">
            <w:pPr>
              <w:widowControl w:val="0"/>
              <w:spacing w:after="40" w:line="200" w:lineRule="atLeast"/>
              <w:ind w:left="6" w:right="113"/>
              <w:jc w:val="both"/>
              <w:rPr>
                <w:rFonts w:ascii="Arial" w:hAnsi="Arial"/>
                <w:b/>
                <w:sz w:val="18"/>
                <w:szCs w:val="20"/>
              </w:rPr>
            </w:pPr>
            <w:r w:rsidRPr="003C09C9">
              <w:rPr>
                <w:rFonts w:ascii="Arial" w:hAnsi="Arial"/>
                <w:b/>
                <w:sz w:val="18"/>
                <w:szCs w:val="20"/>
              </w:rPr>
              <w:lastRenderedPageBreak/>
              <w:t>Relevance</w:t>
            </w:r>
          </w:p>
        </w:tc>
        <w:tc>
          <w:tcPr>
            <w:tcW w:w="7169" w:type="dxa"/>
            <w:shd w:val="clear" w:color="auto" w:fill="auto"/>
          </w:tcPr>
          <w:p w:rsidR="004E42B6" w:rsidRPr="003C09C9" w:rsidRDefault="004E42B6" w:rsidP="00345271">
            <w:pPr>
              <w:pStyle w:val="TableBodyText"/>
              <w:keepNext w:val="0"/>
              <w:keepLines w:val="0"/>
              <w:widowControl w:val="0"/>
              <w:ind w:right="0"/>
              <w:jc w:val="both"/>
            </w:pPr>
            <w:r w:rsidRPr="003C09C9">
              <w:t xml:space="preserve">The purpose of the NMDS for Public hospital establishments is to collect information on the characteristics of public hospitals and summary information on non-admitted services provided by them. The scope is public hospitals in Australia, including public acute and psychiatric hospitals, including hospitals operated for or by the Department of Veterans Affairs, and drug and alcohol treatment centres. Hospitals specialising in dental, ophthalmic aids and other specialised acute medical or surgical care are included. The collection covers hospitals within the jurisdiction of the State and Territory health authorities. Hence, public hospitals not administered by the State and Territory health authorities (hospitals operated by correctional authorities or the Australian Defence Force for example, and hospitals located in offshore territories) are not included. The collection does not include data for private hospitals. </w:t>
            </w:r>
          </w:p>
          <w:p w:rsidR="004E42B6" w:rsidRPr="003C09C9" w:rsidRDefault="004E42B6" w:rsidP="00345271">
            <w:pPr>
              <w:pStyle w:val="TableBodyText"/>
              <w:keepNext w:val="0"/>
              <w:keepLines w:val="0"/>
              <w:widowControl w:val="0"/>
              <w:ind w:right="0"/>
              <w:jc w:val="both"/>
            </w:pPr>
            <w:r w:rsidRPr="003C09C9">
              <w:t xml:space="preserve">The purpose of the NMDS for Admitted patient care is to collect information about care provided to admitted patients in Australian hospitals. The scope of the NMDS is episodes of care for admitted patients in all public and private acute and psychiatric hospitals, free-standing day hospital facilities and alcohol and drug treatment centres in Australia. Hospitals operated by the Australian Defence Force, corrections authorities and in Australia's off-shore territories may also be included. Hospitals specialising in dental, ophthalmic aids and other specialised acute medical or surgical care are included. </w:t>
            </w:r>
          </w:p>
          <w:p w:rsidR="004E42B6" w:rsidRPr="003C09C9" w:rsidRDefault="004E42B6" w:rsidP="00345271">
            <w:pPr>
              <w:pStyle w:val="TableBodyText"/>
              <w:keepNext w:val="0"/>
              <w:keepLines w:val="0"/>
              <w:widowControl w:val="0"/>
              <w:ind w:right="0"/>
              <w:jc w:val="both"/>
            </w:pPr>
            <w:r w:rsidRPr="003C09C9">
              <w:t>The hospital separations data do not include episodes of non-admitted patient care provided in outpatient clinics or emergency departments.</w:t>
            </w:r>
          </w:p>
          <w:p w:rsidR="004E42B6" w:rsidRPr="003C09C9" w:rsidRDefault="004E42B6" w:rsidP="00345271">
            <w:pPr>
              <w:pStyle w:val="TableBodyText"/>
              <w:keepNext w:val="0"/>
              <w:keepLines w:val="0"/>
              <w:widowControl w:val="0"/>
              <w:ind w:right="0"/>
              <w:jc w:val="both"/>
            </w:pPr>
            <w:r w:rsidRPr="003C09C9">
              <w:t>The scope of the analysis includes public hospitals that provide mainly acute care. These are the hospitals in the public hospital peer groups of Principal referral and specialist women’s and children’s hospitals, Large hospitals, Medium hospitals, and Small acute hospitals. Excluded are Small non-acute hospitals, Multi-purpose services, Hospices, Rehabilitation hospitals, Mothercraft hospitals, Other non-acute hospitals, Psychiatric hospitals, and hospitals in the Unpeered and other hospitals peer group. Also excluded are hospitals for which expenditure or admitted patient care data were incomplete, although most of these were excluded for other reasons (for example they are small non-acute hospitals).</w:t>
            </w:r>
          </w:p>
          <w:p w:rsidR="004E42B6" w:rsidRPr="003C09C9" w:rsidRDefault="004E42B6" w:rsidP="00345271">
            <w:pPr>
              <w:pStyle w:val="TableBodyText"/>
              <w:keepNext w:val="0"/>
              <w:keepLines w:val="0"/>
              <w:widowControl w:val="0"/>
              <w:jc w:val="both"/>
            </w:pPr>
            <w:r w:rsidRPr="003C09C9">
              <w:t>This indicator is an efficiency indicator, in which the numerator represents the amount of resources used (expenditure) to generate outputs (measured in a standardised way, that is, as cost-weighted separations).</w:t>
            </w:r>
          </w:p>
        </w:tc>
      </w:tr>
      <w:tr w:rsidR="004E42B6" w:rsidRPr="003C09C9" w:rsidTr="00345271">
        <w:tc>
          <w:tcPr>
            <w:tcW w:w="1620" w:type="dxa"/>
          </w:tcPr>
          <w:p w:rsidR="004E42B6" w:rsidRPr="003C09C9" w:rsidRDefault="004E42B6" w:rsidP="00345271">
            <w:pPr>
              <w:widowControl w:val="0"/>
              <w:spacing w:after="40" w:line="200" w:lineRule="atLeast"/>
              <w:ind w:left="6" w:right="113"/>
              <w:jc w:val="both"/>
              <w:rPr>
                <w:rFonts w:ascii="Arial" w:hAnsi="Arial"/>
                <w:b/>
                <w:sz w:val="18"/>
                <w:szCs w:val="20"/>
              </w:rPr>
            </w:pPr>
            <w:r w:rsidRPr="003C09C9">
              <w:rPr>
                <w:rFonts w:ascii="Arial" w:hAnsi="Arial"/>
                <w:b/>
                <w:sz w:val="18"/>
                <w:szCs w:val="20"/>
              </w:rPr>
              <w:t>Timeliness</w:t>
            </w:r>
          </w:p>
        </w:tc>
        <w:tc>
          <w:tcPr>
            <w:tcW w:w="7169" w:type="dxa"/>
          </w:tcPr>
          <w:p w:rsidR="004E42B6" w:rsidRPr="003C09C9" w:rsidRDefault="004E42B6" w:rsidP="00345271">
            <w:pPr>
              <w:pStyle w:val="TableBodyText"/>
              <w:keepNext w:val="0"/>
              <w:keepLines w:val="0"/>
              <w:widowControl w:val="0"/>
              <w:jc w:val="both"/>
            </w:pPr>
            <w:r w:rsidRPr="003C09C9">
              <w:t xml:space="preserve">The reference period for this data set is 2011-12. </w:t>
            </w:r>
          </w:p>
        </w:tc>
      </w:tr>
      <w:tr w:rsidR="004E42B6" w:rsidRPr="003C09C9" w:rsidTr="00345271">
        <w:tc>
          <w:tcPr>
            <w:tcW w:w="1620" w:type="dxa"/>
          </w:tcPr>
          <w:p w:rsidR="004E42B6" w:rsidRPr="003C09C9" w:rsidRDefault="004E42B6" w:rsidP="00345271">
            <w:pPr>
              <w:widowControl w:val="0"/>
              <w:spacing w:after="40" w:line="200" w:lineRule="atLeast"/>
              <w:ind w:left="6" w:right="113"/>
              <w:jc w:val="both"/>
              <w:rPr>
                <w:rFonts w:ascii="Arial" w:hAnsi="Arial"/>
                <w:b/>
                <w:sz w:val="18"/>
                <w:szCs w:val="20"/>
              </w:rPr>
            </w:pPr>
            <w:r w:rsidRPr="003C09C9">
              <w:rPr>
                <w:rFonts w:ascii="Arial" w:hAnsi="Arial"/>
                <w:b/>
                <w:sz w:val="18"/>
                <w:szCs w:val="20"/>
              </w:rPr>
              <w:t>Accuracy</w:t>
            </w:r>
          </w:p>
        </w:tc>
        <w:tc>
          <w:tcPr>
            <w:tcW w:w="7169" w:type="dxa"/>
          </w:tcPr>
          <w:p w:rsidR="004E42B6" w:rsidRPr="003C09C9" w:rsidRDefault="004E42B6" w:rsidP="00F227D6">
            <w:pPr>
              <w:pStyle w:val="TableBodyText"/>
              <w:keepNext w:val="0"/>
              <w:keepLines w:val="0"/>
              <w:widowControl w:val="0"/>
              <w:ind w:right="0"/>
              <w:jc w:val="both"/>
            </w:pPr>
            <w:r w:rsidRPr="003C09C9">
              <w:t>For 2011</w:t>
            </w:r>
            <w:r w:rsidRPr="003C09C9">
              <w:noBreakHyphen/>
              <w:t>12, coverage of the NPHED was essentially complete. Almost all public hospitals provided data for the NHMD, with the exception of a mothercraft hospital in the ACT.</w:t>
            </w:r>
          </w:p>
          <w:p w:rsidR="004E42B6" w:rsidRPr="003C09C9" w:rsidRDefault="004E42B6" w:rsidP="00F227D6">
            <w:pPr>
              <w:pStyle w:val="TableBodyText"/>
              <w:keepNext w:val="0"/>
              <w:keepLines w:val="0"/>
              <w:widowControl w:val="0"/>
              <w:ind w:right="0"/>
              <w:jc w:val="both"/>
            </w:pPr>
            <w:r w:rsidRPr="003C09C9">
              <w:t>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4E42B6" w:rsidRPr="003C09C9" w:rsidRDefault="004E42B6" w:rsidP="00F227D6">
            <w:pPr>
              <w:pStyle w:val="TableBodyText"/>
              <w:keepNext w:val="0"/>
              <w:keepLines w:val="0"/>
              <w:widowControl w:val="0"/>
              <w:ind w:right="0"/>
              <w:jc w:val="both"/>
            </w:pPr>
            <w:r w:rsidRPr="003C09C9">
              <w:t>The data are defined in the NMDSs detailed above.</w:t>
            </w:r>
          </w:p>
          <w:p w:rsidR="004E42B6" w:rsidRPr="003C09C9" w:rsidRDefault="004E42B6" w:rsidP="00F227D6">
            <w:pPr>
              <w:pStyle w:val="TableBodyText"/>
              <w:keepNext w:val="0"/>
              <w:keepLines w:val="0"/>
              <w:widowControl w:val="0"/>
              <w:ind w:right="0"/>
              <w:jc w:val="both"/>
            </w:pPr>
            <w:r w:rsidRPr="003C09C9">
              <w:t>However, the comparability of the cost per casemix-adjusted separation in any one year is sensitive to a number of deficiencies in available data:</w:t>
            </w:r>
          </w:p>
          <w:p w:rsidR="004E42B6" w:rsidRPr="003C09C9" w:rsidRDefault="004E42B6" w:rsidP="00F227D6">
            <w:pPr>
              <w:pStyle w:val="TableBullet"/>
              <w:jc w:val="both"/>
            </w:pPr>
            <w:r w:rsidRPr="003C09C9">
              <w:t>the proportion of recurrent expenditure that relates to admitted patient care is estimated in different ways in different hospitals and is not always comparable</w:t>
            </w:r>
          </w:p>
          <w:p w:rsidR="004E42B6" w:rsidRPr="003C09C9" w:rsidRDefault="004E42B6" w:rsidP="00F227D6">
            <w:pPr>
              <w:pStyle w:val="TableBullet"/>
              <w:jc w:val="both"/>
            </w:pPr>
            <w:r w:rsidRPr="003C09C9">
              <w:t>capital costs are not included in the numerator. While depreciation information is provided by most jurisdictions, this may vary across states and territories</w:t>
            </w:r>
          </w:p>
          <w:p w:rsidR="004E42B6" w:rsidRPr="003C09C9" w:rsidRDefault="004E42B6" w:rsidP="00F227D6">
            <w:pPr>
              <w:pStyle w:val="TableBullet"/>
              <w:jc w:val="both"/>
            </w:pPr>
            <w:r w:rsidRPr="003C09C9">
              <w:t>only cost weights applicable to acute care separations are available, so these have been applied to all separations, including the 3 per cent that were not acute. The proportions of separations that are not acute vary across states and territories.</w:t>
            </w:r>
          </w:p>
          <w:p w:rsidR="004E42B6" w:rsidRPr="003C09C9" w:rsidRDefault="004E42B6" w:rsidP="00F227D6">
            <w:pPr>
              <w:pStyle w:val="TableBullet"/>
              <w:jc w:val="both"/>
            </w:pPr>
            <w:r w:rsidRPr="003C09C9">
              <w:t xml:space="preserve">the proportions of patients other than public patients vary across states and territories, and the estimation of medical costs for these patients (undertaken to adjust expenditure to resemble what it would be if all patients had been public </w:t>
            </w:r>
            <w:r w:rsidRPr="003C09C9">
              <w:lastRenderedPageBreak/>
              <w:t>patients) is subject to error.</w:t>
            </w:r>
          </w:p>
          <w:p w:rsidR="004E42B6" w:rsidRPr="003C09C9" w:rsidRDefault="004E42B6" w:rsidP="00F227D6">
            <w:pPr>
              <w:pStyle w:val="TableBodyText"/>
              <w:keepNext w:val="0"/>
              <w:keepLines w:val="0"/>
              <w:widowControl w:val="0"/>
              <w:jc w:val="both"/>
            </w:pPr>
            <w:r w:rsidRPr="003C09C9">
              <w:t>Cells have been suppressed to protect confidentiality (where the numerator would identify a single service provider).</w:t>
            </w:r>
          </w:p>
        </w:tc>
      </w:tr>
      <w:tr w:rsidR="004E42B6" w:rsidRPr="003C09C9" w:rsidTr="00345271">
        <w:tc>
          <w:tcPr>
            <w:tcW w:w="1620" w:type="dxa"/>
          </w:tcPr>
          <w:p w:rsidR="004E42B6" w:rsidRPr="003C09C9" w:rsidRDefault="004E42B6" w:rsidP="00345271">
            <w:pPr>
              <w:widowControl w:val="0"/>
              <w:spacing w:after="40" w:line="200" w:lineRule="atLeast"/>
              <w:ind w:left="6" w:right="113"/>
              <w:jc w:val="both"/>
              <w:rPr>
                <w:rFonts w:ascii="Arial" w:hAnsi="Arial"/>
                <w:b/>
                <w:sz w:val="18"/>
                <w:szCs w:val="20"/>
              </w:rPr>
            </w:pPr>
            <w:r w:rsidRPr="003C09C9">
              <w:rPr>
                <w:rFonts w:ascii="Arial" w:hAnsi="Arial"/>
                <w:b/>
                <w:sz w:val="18"/>
                <w:szCs w:val="20"/>
              </w:rPr>
              <w:lastRenderedPageBreak/>
              <w:t>Coherence</w:t>
            </w:r>
          </w:p>
        </w:tc>
        <w:tc>
          <w:tcPr>
            <w:tcW w:w="7169" w:type="dxa"/>
          </w:tcPr>
          <w:p w:rsidR="004E42B6" w:rsidRPr="003C09C9" w:rsidRDefault="004E42B6" w:rsidP="00345271">
            <w:pPr>
              <w:pStyle w:val="TableBodyText"/>
              <w:keepNext w:val="0"/>
              <w:keepLines w:val="0"/>
              <w:widowControl w:val="0"/>
              <w:ind w:right="0"/>
              <w:jc w:val="both"/>
            </w:pPr>
            <w:r w:rsidRPr="003C09C9">
              <w:t xml:space="preserve">The information presented for this indicator is calculated using the same methodology as data published in </w:t>
            </w:r>
            <w:r w:rsidRPr="003C09C9">
              <w:rPr>
                <w:i/>
              </w:rPr>
              <w:t>Australian hospital statistics 2011</w:t>
            </w:r>
            <w:r w:rsidRPr="003C09C9">
              <w:rPr>
                <w:i/>
              </w:rPr>
              <w:noBreakHyphen/>
              <w:t>12.</w:t>
            </w:r>
          </w:p>
          <w:p w:rsidR="004E42B6" w:rsidRPr="003C09C9" w:rsidRDefault="004E42B6" w:rsidP="00345271">
            <w:pPr>
              <w:pStyle w:val="TableBodyText"/>
              <w:keepNext w:val="0"/>
              <w:keepLines w:val="0"/>
              <w:widowControl w:val="0"/>
              <w:ind w:right="0"/>
              <w:jc w:val="both"/>
            </w:pPr>
            <w:r w:rsidRPr="003C09C9">
              <w:t>The denominator for the indicator is based on the reported admitted patient activity, adjusted using cost-weights to derive a ‘standard’ unit of output as an artificial construct. The estimated number of cost-weighted separations (particularly using constant AR-DRGs and AR-DRG cost weights over time) is for comparison purposes only.</w:t>
            </w:r>
          </w:p>
          <w:p w:rsidR="004E42B6" w:rsidRPr="003C09C9" w:rsidRDefault="004E42B6" w:rsidP="00345271">
            <w:pPr>
              <w:pStyle w:val="TableBodyText"/>
              <w:keepNext w:val="0"/>
              <w:keepLines w:val="0"/>
              <w:widowControl w:val="0"/>
              <w:jc w:val="both"/>
            </w:pPr>
            <w:r w:rsidRPr="003C09C9">
              <w:t>Time series analysis of this indicator is not recommended.</w:t>
            </w:r>
          </w:p>
        </w:tc>
      </w:tr>
      <w:tr w:rsidR="004E42B6" w:rsidRPr="003C09C9" w:rsidTr="00345271">
        <w:tc>
          <w:tcPr>
            <w:tcW w:w="1620" w:type="dxa"/>
          </w:tcPr>
          <w:p w:rsidR="004E42B6" w:rsidRPr="003C09C9" w:rsidRDefault="004E42B6" w:rsidP="00345271">
            <w:pPr>
              <w:widowControl w:val="0"/>
              <w:spacing w:after="40" w:line="200" w:lineRule="atLeast"/>
              <w:ind w:left="6" w:right="113"/>
              <w:jc w:val="both"/>
              <w:rPr>
                <w:rFonts w:ascii="Arial" w:hAnsi="Arial"/>
                <w:b/>
                <w:sz w:val="18"/>
                <w:szCs w:val="20"/>
              </w:rPr>
            </w:pPr>
            <w:r w:rsidRPr="003C09C9">
              <w:rPr>
                <w:rFonts w:ascii="Arial" w:hAnsi="Arial"/>
                <w:b/>
                <w:sz w:val="18"/>
                <w:szCs w:val="20"/>
              </w:rPr>
              <w:t>Accessibility</w:t>
            </w:r>
          </w:p>
        </w:tc>
        <w:tc>
          <w:tcPr>
            <w:tcW w:w="7169" w:type="dxa"/>
          </w:tcPr>
          <w:p w:rsidR="004E42B6" w:rsidRPr="003C09C9" w:rsidRDefault="004E42B6" w:rsidP="00345271">
            <w:pPr>
              <w:pStyle w:val="TableBodyText"/>
              <w:keepNext w:val="0"/>
              <w:keepLines w:val="0"/>
              <w:widowControl w:val="0"/>
              <w:ind w:right="0"/>
              <w:jc w:val="both"/>
            </w:pPr>
            <w:r w:rsidRPr="003C09C9">
              <w:t>The AIHW provides a variety of products that draw upon the NHMD and the NPHED. Published products available on the AIHW website include:</w:t>
            </w:r>
          </w:p>
          <w:p w:rsidR="004E42B6" w:rsidRPr="003C09C9" w:rsidRDefault="004E42B6" w:rsidP="00345271">
            <w:pPr>
              <w:pStyle w:val="TableBullet"/>
              <w:keepNext w:val="0"/>
              <w:keepLines w:val="0"/>
              <w:widowControl w:val="0"/>
              <w:jc w:val="both"/>
            </w:pPr>
            <w:r w:rsidRPr="003C09C9">
              <w:rPr>
                <w:i/>
              </w:rPr>
              <w:t>Australian hospital statistics</w:t>
            </w:r>
            <w:r w:rsidRPr="003C09C9">
              <w:t xml:space="preserve"> with associated Excel tables</w:t>
            </w:r>
          </w:p>
          <w:p w:rsidR="004E42B6" w:rsidRPr="003C09C9" w:rsidRDefault="004E42B6" w:rsidP="00345271">
            <w:pPr>
              <w:pStyle w:val="TableBullet"/>
              <w:keepNext w:val="0"/>
              <w:keepLines w:val="0"/>
              <w:widowControl w:val="0"/>
              <w:jc w:val="both"/>
            </w:pPr>
            <w:r w:rsidRPr="003C09C9">
              <w:t>Interactive data cubes for Public hospital establishments.</w:t>
            </w:r>
          </w:p>
        </w:tc>
      </w:tr>
      <w:tr w:rsidR="004E42B6" w:rsidRPr="003C09C9" w:rsidTr="00345271">
        <w:tc>
          <w:tcPr>
            <w:tcW w:w="1620" w:type="dxa"/>
          </w:tcPr>
          <w:p w:rsidR="004E42B6" w:rsidRPr="003C09C9" w:rsidRDefault="004E42B6" w:rsidP="00345271">
            <w:pPr>
              <w:widowControl w:val="0"/>
              <w:spacing w:after="40" w:line="200" w:lineRule="atLeast"/>
              <w:ind w:left="6" w:right="113"/>
              <w:jc w:val="both"/>
              <w:rPr>
                <w:rFonts w:ascii="Arial" w:hAnsi="Arial"/>
                <w:b/>
                <w:sz w:val="18"/>
                <w:szCs w:val="20"/>
              </w:rPr>
            </w:pPr>
            <w:r w:rsidRPr="003C09C9">
              <w:rPr>
                <w:rFonts w:ascii="Arial" w:hAnsi="Arial"/>
                <w:b/>
                <w:sz w:val="18"/>
                <w:szCs w:val="20"/>
              </w:rPr>
              <w:t>Interpretability</w:t>
            </w:r>
          </w:p>
        </w:tc>
        <w:tc>
          <w:tcPr>
            <w:tcW w:w="7169" w:type="dxa"/>
          </w:tcPr>
          <w:p w:rsidR="004E42B6" w:rsidRPr="003C09C9" w:rsidRDefault="004E42B6" w:rsidP="00345271">
            <w:pPr>
              <w:pStyle w:val="TableBodyText"/>
              <w:keepNext w:val="0"/>
              <w:keepLines w:val="0"/>
              <w:widowControl w:val="0"/>
              <w:jc w:val="both"/>
            </w:pPr>
            <w:r w:rsidRPr="003C09C9">
              <w:t xml:space="preserve">Supporting information on the quality and use of the NPHED and NHMD are published annually in </w:t>
            </w:r>
            <w:r w:rsidRPr="003C09C9">
              <w:rPr>
                <w:i/>
              </w:rPr>
              <w:t>Australian hospital statistics</w:t>
            </w:r>
            <w:r w:rsidRPr="003C09C9">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NMDS for Public hospital establishments and Admitted patient care are published in the AIHW’s online metadata repository — METeOR, and the National health data dictionary.</w:t>
            </w:r>
          </w:p>
        </w:tc>
      </w:tr>
      <w:tr w:rsidR="004E42B6" w:rsidRPr="003C09C9" w:rsidTr="00345271">
        <w:tc>
          <w:tcPr>
            <w:tcW w:w="8789" w:type="dxa"/>
            <w:gridSpan w:val="2"/>
            <w:vAlign w:val="bottom"/>
          </w:tcPr>
          <w:p w:rsidR="004E42B6" w:rsidRPr="003C09C9" w:rsidRDefault="004E42B6" w:rsidP="00345271">
            <w:pPr>
              <w:widowControl w:val="0"/>
              <w:spacing w:after="40" w:line="200" w:lineRule="atLeast"/>
              <w:ind w:left="6" w:right="113"/>
              <w:jc w:val="both"/>
              <w:rPr>
                <w:rFonts w:ascii="Arial" w:hAnsi="Arial"/>
                <w:b/>
                <w:sz w:val="18"/>
                <w:szCs w:val="20"/>
              </w:rPr>
            </w:pPr>
          </w:p>
          <w:p w:rsidR="004E42B6" w:rsidRPr="003C09C9" w:rsidRDefault="004E42B6" w:rsidP="00345271">
            <w:pPr>
              <w:widowControl w:val="0"/>
              <w:spacing w:after="40" w:line="200" w:lineRule="atLeast"/>
              <w:ind w:left="6" w:right="113"/>
              <w:jc w:val="both"/>
              <w:rPr>
                <w:rFonts w:ascii="Arial" w:hAnsi="Arial"/>
                <w:b/>
                <w:sz w:val="18"/>
                <w:szCs w:val="20"/>
                <w:u w:val="single"/>
              </w:rPr>
            </w:pPr>
            <w:r w:rsidRPr="003C09C9">
              <w:rPr>
                <w:rFonts w:ascii="Arial" w:hAnsi="Arial"/>
                <w:b/>
                <w:sz w:val="18"/>
                <w:szCs w:val="20"/>
                <w:u w:val="single"/>
              </w:rPr>
              <w:t>Data Gaps/Issues Analysis</w:t>
            </w:r>
          </w:p>
        </w:tc>
      </w:tr>
      <w:tr w:rsidR="004E42B6" w:rsidRPr="003C09C9" w:rsidTr="00345271">
        <w:tc>
          <w:tcPr>
            <w:tcW w:w="1620" w:type="dxa"/>
          </w:tcPr>
          <w:p w:rsidR="004E42B6" w:rsidRPr="003C09C9" w:rsidRDefault="004E42B6" w:rsidP="00345271">
            <w:pPr>
              <w:widowControl w:val="0"/>
              <w:spacing w:after="40" w:line="200" w:lineRule="atLeast"/>
              <w:ind w:left="6" w:right="113"/>
              <w:rPr>
                <w:rFonts w:ascii="Arial" w:hAnsi="Arial"/>
                <w:b/>
                <w:sz w:val="18"/>
                <w:szCs w:val="20"/>
              </w:rPr>
            </w:pPr>
            <w:r w:rsidRPr="003C09C9">
              <w:rPr>
                <w:rFonts w:ascii="Arial" w:hAnsi="Arial"/>
                <w:b/>
                <w:sz w:val="18"/>
                <w:szCs w:val="20"/>
              </w:rPr>
              <w:t>Key data gaps/issues</w:t>
            </w:r>
          </w:p>
        </w:tc>
        <w:tc>
          <w:tcPr>
            <w:tcW w:w="7169" w:type="dxa"/>
          </w:tcPr>
          <w:p w:rsidR="004E42B6" w:rsidRPr="003C09C9" w:rsidRDefault="004E42B6" w:rsidP="00F227D6">
            <w:pPr>
              <w:pStyle w:val="TableBodyText"/>
              <w:keepNext w:val="0"/>
              <w:keepLines w:val="0"/>
              <w:widowControl w:val="0"/>
              <w:jc w:val="both"/>
            </w:pPr>
            <w:r w:rsidRPr="003C09C9">
              <w:t>The Steering Committee notes the following key data gaps/issues:</w:t>
            </w:r>
          </w:p>
          <w:p w:rsidR="004E42B6" w:rsidRPr="003C09C9" w:rsidRDefault="004E42B6" w:rsidP="00F227D6">
            <w:pPr>
              <w:pStyle w:val="TableBullet"/>
              <w:jc w:val="both"/>
            </w:pPr>
            <w:r w:rsidRPr="003C09C9">
              <w:t>the proportion of recurrent expenditure that relates to admitted patient care is estimated in different ways in different hospitals and is not always comparable</w:t>
            </w:r>
          </w:p>
          <w:p w:rsidR="004E42B6" w:rsidRPr="003C09C9" w:rsidRDefault="004E42B6" w:rsidP="00F227D6">
            <w:pPr>
              <w:pStyle w:val="TableBullet"/>
              <w:jc w:val="both"/>
            </w:pPr>
            <w:r w:rsidRPr="003C09C9">
              <w:t>only cost weights applicable to acute care separations are available, so these have been applied to all separations, including the 3 per cent that were not acute.</w:t>
            </w:r>
          </w:p>
          <w:p w:rsidR="004E42B6" w:rsidRPr="003C09C9" w:rsidRDefault="004E42B6" w:rsidP="00F227D6">
            <w:pPr>
              <w:pStyle w:val="TableBullet"/>
              <w:jc w:val="both"/>
            </w:pPr>
            <w:r w:rsidRPr="003C09C9">
              <w:t>the proportion of patients other than public patients can vary, and the estimation of medical costs for these patients (undertaken to adjust expenditure to resemble what it would be if all patients had been public patients) is subject to error.</w:t>
            </w:r>
          </w:p>
          <w:p w:rsidR="004E42B6" w:rsidRPr="003C09C9" w:rsidRDefault="004E42B6" w:rsidP="00F227D6">
            <w:pPr>
              <w:pStyle w:val="TableBullet"/>
              <w:jc w:val="both"/>
            </w:pPr>
            <w:r w:rsidRPr="003C09C9">
              <w:t>Variations in admission practices and policies lead to variation among providers in the number of admissions for some conditions.</w:t>
            </w:r>
          </w:p>
        </w:tc>
      </w:tr>
    </w:tbl>
    <w:p w:rsidR="0090363E" w:rsidRDefault="0090363E" w:rsidP="0090363E">
      <w:pPr>
        <w:pStyle w:val="Heading3"/>
      </w:pPr>
      <w:bookmarkStart w:id="12" w:name="_Toc401912929"/>
      <w:r>
        <w:t>Relative stay index</w:t>
      </w:r>
      <w:bookmarkEnd w:id="12"/>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50E2C" w:rsidRPr="00512C7C" w:rsidRDefault="00950E2C" w:rsidP="007957BE">
            <w:pPr>
              <w:pStyle w:val="TableBodyText"/>
              <w:jc w:val="both"/>
              <w:rPr>
                <w:rFonts w:cs="Arial"/>
              </w:rPr>
            </w:pPr>
            <w:r w:rsidRPr="00E00AD6">
              <w:t>Efficiency</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950E2C" w:rsidRPr="00512C7C" w:rsidRDefault="00950E2C" w:rsidP="007957BE">
            <w:pPr>
              <w:pStyle w:val="TableBodyText"/>
              <w:jc w:val="both"/>
              <w:rPr>
                <w:rFonts w:cs="Arial"/>
              </w:rPr>
            </w:pPr>
            <w:r>
              <w:rPr>
                <w:rFonts w:cs="Arial"/>
              </w:rPr>
              <w:t>Relative Stay Index</w:t>
            </w:r>
          </w:p>
        </w:tc>
      </w:tr>
      <w:tr w:rsidR="00950E2C" w:rsidRPr="003846CE" w:rsidTr="009F4002">
        <w:tc>
          <w:tcPr>
            <w:tcW w:w="1620" w:type="dxa"/>
          </w:tcPr>
          <w:p w:rsidR="00950E2C"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50E2C" w:rsidRPr="003846CE"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 xml:space="preserve">Relative stay indexes (RSIs) are calculated as the number of observed patient days‘ for separations in selected AR-DRGs, divided by the number of expected patient days‘, standardised for casemix (based on national figures). An RSI greater than 1.0 indicates that an average patient‘s length of stay is higher than expected given the casemix for the group of separations of interest. An RSI of less than 1.0 indicates that the length of stay was less than expected. </w:t>
            </w:r>
          </w:p>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 xml:space="preserve">The standardisation for casemix (based on AR-DRG version 6.0x and the age of the patient for each separation) allows comparisons to be made that take into account variation in types of services provided; however, it does not take into account other influences on length of stay, such as Indigenous status. </w:t>
            </w:r>
          </w:p>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 xml:space="preserve">The RSI method includes acute care separations only, and excludes separations for patients who died or were transferred within 2 days of admission, or with a length of </w:t>
            </w:r>
            <w:r w:rsidRPr="00C947FF">
              <w:rPr>
                <w:rFonts w:ascii="Arial" w:hAnsi="Arial"/>
                <w:sz w:val="18"/>
                <w:szCs w:val="18"/>
              </w:rPr>
              <w:lastRenderedPageBreak/>
              <w:t>stay greater than 120 days. Excluded from the analysis were:</w:t>
            </w:r>
          </w:p>
          <w:p w:rsidR="00950E2C" w:rsidRPr="00C947FF" w:rsidRDefault="00950E2C" w:rsidP="007957BE">
            <w:pPr>
              <w:pStyle w:val="TableBullet"/>
              <w:rPr>
                <w:szCs w:val="18"/>
              </w:rPr>
            </w:pPr>
            <w:r w:rsidRPr="00C947FF">
              <w:rPr>
                <w:szCs w:val="18"/>
              </w:rPr>
              <w:t xml:space="preserve">AR-DRGs for rehabilitation (such as Z60A </w:t>
            </w:r>
            <w:r w:rsidRPr="00C947FF">
              <w:rPr>
                <w:i/>
                <w:szCs w:val="18"/>
              </w:rPr>
              <w:t>Rehabilitation with catastrophic/severe complications or comorbidities</w:t>
            </w:r>
            <w:r w:rsidRPr="00C947FF">
              <w:rPr>
                <w:szCs w:val="18"/>
              </w:rPr>
              <w:t xml:space="preserve">) </w:t>
            </w:r>
          </w:p>
          <w:p w:rsidR="00950E2C" w:rsidRPr="00C947FF" w:rsidRDefault="00950E2C" w:rsidP="00CE22FE">
            <w:pPr>
              <w:pStyle w:val="TableBullet"/>
              <w:rPr>
                <w:szCs w:val="18"/>
              </w:rPr>
            </w:pPr>
            <w:r w:rsidRPr="00C947FF">
              <w:rPr>
                <w:szCs w:val="18"/>
              </w:rPr>
              <w:t xml:space="preserve">predominantly same-day AR-DRGs (such as R63Z </w:t>
            </w:r>
            <w:r w:rsidRPr="00C947FF">
              <w:rPr>
                <w:i/>
                <w:iCs/>
                <w:szCs w:val="18"/>
              </w:rPr>
              <w:t xml:space="preserve">Chemotherapy </w:t>
            </w:r>
            <w:r w:rsidRPr="00C947FF">
              <w:rPr>
                <w:szCs w:val="18"/>
              </w:rPr>
              <w:t xml:space="preserve">and L61Z </w:t>
            </w:r>
            <w:r w:rsidRPr="00C947FF">
              <w:rPr>
                <w:i/>
                <w:iCs/>
                <w:szCs w:val="18"/>
              </w:rPr>
              <w:t>Admit for renal dialysis</w:t>
            </w:r>
            <w:r w:rsidRPr="00C947FF">
              <w:rPr>
                <w:szCs w:val="18"/>
              </w:rPr>
              <w:t xml:space="preserve">) </w:t>
            </w:r>
          </w:p>
          <w:p w:rsidR="00950E2C" w:rsidRPr="00C947FF" w:rsidRDefault="00950E2C" w:rsidP="00CE22FE">
            <w:pPr>
              <w:pStyle w:val="TableBullet"/>
              <w:rPr>
                <w:szCs w:val="18"/>
              </w:rPr>
            </w:pPr>
            <w:r w:rsidRPr="00C947FF">
              <w:rPr>
                <w:szCs w:val="18"/>
              </w:rPr>
              <w:t>AR-DRGs with a length of stay component in the definition</w:t>
            </w:r>
          </w:p>
          <w:p w:rsidR="00950E2C" w:rsidRPr="00C947FF" w:rsidRDefault="00950E2C" w:rsidP="00CE22FE">
            <w:pPr>
              <w:pStyle w:val="TableBullet"/>
              <w:rPr>
                <w:szCs w:val="18"/>
              </w:rPr>
            </w:pPr>
            <w:r w:rsidRPr="00C947FF">
              <w:rPr>
                <w:i/>
                <w:iCs/>
                <w:szCs w:val="18"/>
              </w:rPr>
              <w:t xml:space="preserve">Error </w:t>
            </w:r>
            <w:r w:rsidRPr="00C947FF">
              <w:rPr>
                <w:szCs w:val="18"/>
              </w:rPr>
              <w:t>AR-DRGs</w:t>
            </w:r>
          </w:p>
        </w:tc>
      </w:tr>
      <w:tr w:rsidR="00950E2C" w:rsidRPr="003846CE" w:rsidTr="009F4002">
        <w:tc>
          <w:tcPr>
            <w:tcW w:w="1620" w:type="dxa"/>
          </w:tcPr>
          <w:p w:rsidR="00950E2C" w:rsidRPr="003846CE" w:rsidRDefault="00950E2C" w:rsidP="00905501">
            <w:pPr>
              <w:widowControl w:val="0"/>
              <w:spacing w:after="40" w:line="200" w:lineRule="atLeast"/>
              <w:ind w:left="6" w:right="113"/>
              <w:rPr>
                <w:rFonts w:ascii="Arial" w:hAnsi="Arial"/>
                <w:b/>
                <w:sz w:val="18"/>
                <w:szCs w:val="20"/>
              </w:rPr>
            </w:pPr>
            <w:r>
              <w:rPr>
                <w:rFonts w:ascii="Arial" w:hAnsi="Arial"/>
                <w:b/>
                <w:sz w:val="18"/>
                <w:szCs w:val="20"/>
              </w:rPr>
              <w:lastRenderedPageBreak/>
              <w:t>Data source/s</w:t>
            </w:r>
          </w:p>
        </w:tc>
        <w:tc>
          <w:tcPr>
            <w:tcW w:w="7169" w:type="dxa"/>
          </w:tcPr>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 xml:space="preserve">The NHMD is the source of data on casemix adjusted separations for public hospitals. The NHMD is based on the NMDS for Admitted patient care. </w:t>
            </w:r>
          </w:p>
          <w:p w:rsidR="00950E2C" w:rsidRPr="00C947FF" w:rsidRDefault="00950E2C" w:rsidP="007957BE">
            <w:pPr>
              <w:keepNext/>
              <w:keepLines/>
              <w:spacing w:line="220" w:lineRule="atLeast"/>
              <w:ind w:left="6"/>
              <w:jc w:val="both"/>
              <w:rPr>
                <w:rFonts w:cs="Arial"/>
                <w:sz w:val="18"/>
                <w:szCs w:val="18"/>
                <w:u w:val="single"/>
              </w:rPr>
            </w:pPr>
            <w:r w:rsidRPr="00C947FF">
              <w:rPr>
                <w:rFonts w:ascii="Arial" w:hAnsi="Arial"/>
                <w:sz w:val="18"/>
                <w:szCs w:val="18"/>
              </w:rPr>
              <w:t>Casemix adjusted separations are calculated by the application of cost weights sourced from the Independent Hospital Pricing Authority’s National Hospital Cost Data Collection for each separation’s recorded AR-DRG.</w:t>
            </w:r>
          </w:p>
        </w:tc>
      </w:tr>
      <w:tr w:rsidR="00950E2C" w:rsidRPr="003846CE" w:rsidTr="009F4002">
        <w:tc>
          <w:tcPr>
            <w:tcW w:w="8789" w:type="dxa"/>
            <w:gridSpan w:val="2"/>
            <w:vAlign w:val="bottom"/>
          </w:tcPr>
          <w:p w:rsidR="00950E2C" w:rsidRDefault="00950E2C" w:rsidP="00905501">
            <w:pPr>
              <w:widowControl w:val="0"/>
              <w:spacing w:after="40" w:line="200" w:lineRule="atLeast"/>
              <w:ind w:left="6" w:right="113"/>
              <w:jc w:val="both"/>
              <w:rPr>
                <w:rFonts w:ascii="Arial" w:hAnsi="Arial"/>
                <w:b/>
                <w:color w:val="000000"/>
                <w:sz w:val="18"/>
                <w:szCs w:val="20"/>
              </w:rPr>
            </w:pPr>
          </w:p>
          <w:p w:rsidR="00950E2C" w:rsidRPr="003846CE" w:rsidRDefault="00950E2C"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Default="00950E2C" w:rsidP="007957BE">
            <w:pPr>
              <w:pStyle w:val="TableBodyText"/>
              <w:jc w:val="both"/>
            </w:pPr>
            <w: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950E2C" w:rsidRDefault="00950E2C" w:rsidP="007957BE">
            <w:pPr>
              <w:pStyle w:val="TableBodyText"/>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950E2C" w:rsidRDefault="00950E2C" w:rsidP="007957BE">
            <w:pPr>
              <w:pStyle w:val="TableBodyText"/>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950E2C" w:rsidRDefault="00950E2C" w:rsidP="007957BE">
            <w:pPr>
              <w:pStyle w:val="TableBodyText"/>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950E2C" w:rsidRDefault="00950E2C" w:rsidP="007957BE">
            <w:pPr>
              <w:pStyle w:val="TableBodyText"/>
              <w:jc w:val="both"/>
            </w:pPr>
            <w:r>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950E2C" w:rsidRDefault="00950E2C" w:rsidP="007957BE">
            <w:pPr>
              <w:pStyle w:val="TableBodyText"/>
              <w:jc w:val="both"/>
            </w:pPr>
            <w:r>
              <w:t xml:space="preserve">For further information see the AIHW website www.aihw.gov.au </w:t>
            </w:r>
          </w:p>
          <w:p w:rsidR="00950E2C" w:rsidRDefault="00950E2C" w:rsidP="007957BE">
            <w:pPr>
              <w:pStyle w:val="TableBodyText"/>
              <w:jc w:val="both"/>
            </w:pPr>
            <w:r>
              <w:t xml:space="preserve">Data for the NESWTDC were supplied to the AIHW by state and territory health authorities under the terms of the National Health Information Agreement (see the following links): </w:t>
            </w:r>
          </w:p>
          <w:p w:rsidR="00950E2C" w:rsidRDefault="00950E2C" w:rsidP="007957BE">
            <w:pPr>
              <w:pStyle w:val="TableBodyText"/>
              <w:jc w:val="both"/>
            </w:pPr>
            <w:r>
              <w:t xml:space="preserve">http://www.aihw.gov.au/nhissc/ </w:t>
            </w:r>
          </w:p>
          <w:p w:rsidR="00950E2C" w:rsidRDefault="00950E2C" w:rsidP="007957BE">
            <w:pPr>
              <w:pStyle w:val="TableBodyText"/>
              <w:jc w:val="both"/>
            </w:pPr>
            <w:r>
              <w:t xml:space="preserve">http://meteor.aihw.gov.au/content/index.phtml/itemId/182135 </w:t>
            </w:r>
          </w:p>
          <w:p w:rsidR="00950E2C" w:rsidRPr="00512C7C" w:rsidRDefault="00950E2C" w:rsidP="007957BE">
            <w:pPr>
              <w:pStyle w:val="TableBodyText"/>
              <w:jc w:val="both"/>
              <w:rPr>
                <w:rFonts w:cs="Arial"/>
                <w:u w:val="single"/>
              </w:rPr>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950E2C" w:rsidRPr="00E008FF" w:rsidRDefault="00950E2C" w:rsidP="00B04C80">
            <w:pPr>
              <w:pStyle w:val="TableBodyText"/>
              <w:keepNext w:val="0"/>
              <w:keepLines w:val="0"/>
              <w:widowControl w:val="0"/>
              <w:ind w:right="0"/>
              <w:jc w:val="both"/>
            </w:pPr>
            <w:r w:rsidRPr="00E008FF">
              <w:t xml:space="preserve">The purpose of the NMDS for Admitted patient care is to collect information about care provided to admitted patients in Australian hospitals. The scope of the NMDS is episodes of care for admitted patients in all public and private acute and psychiatric hospitals, free-standing day hospital facilities and alcohol and drug treatment centres in Australia. Hospitals operated by the Australian Defence Force, corrections authorities and in Australia's off-shore territories may also be included. Hospitals specialising in dental, ophthalmic aids and other specialised acute medical or surgical care are included. </w:t>
            </w:r>
          </w:p>
          <w:p w:rsidR="00950E2C" w:rsidRPr="00E008FF" w:rsidRDefault="00950E2C" w:rsidP="00B04C80">
            <w:pPr>
              <w:pStyle w:val="TableBodyText"/>
              <w:keepNext w:val="0"/>
              <w:keepLines w:val="0"/>
              <w:widowControl w:val="0"/>
              <w:ind w:right="0"/>
              <w:jc w:val="both"/>
            </w:pPr>
            <w:r w:rsidRPr="00E008FF">
              <w:t>The hospital separations data do not include episodes of non-admitted patient care provided in outpatient clinics or emergency departments.</w:t>
            </w:r>
          </w:p>
          <w:p w:rsidR="00950E2C" w:rsidRPr="00512C7C" w:rsidRDefault="00950E2C" w:rsidP="00B04C80">
            <w:pPr>
              <w:pStyle w:val="TableBodyText"/>
              <w:keepNext w:val="0"/>
              <w:keepLines w:val="0"/>
              <w:widowControl w:val="0"/>
              <w:jc w:val="both"/>
              <w:rPr>
                <w:rFonts w:cs="Arial"/>
                <w:u w:val="single"/>
              </w:rPr>
            </w:pPr>
            <w:r w:rsidRPr="00E008FF">
              <w:t xml:space="preserve">The scope of the analysis includes public hospitals that provide mainly acute care. </w:t>
            </w:r>
            <w:r w:rsidRPr="00E008FF">
              <w:lastRenderedPageBreak/>
              <w:t>These are the hospitals in the public hospital peer groups of Principal referral and specialist women’s and children’s hospitals, Large hospitals, Medium hospitals, and Small acute hospitals. Excluded are Small non-acute hospitals, Multi-purpose services, Hospices, Rehabilitation hospitals, Mothercraft hospitals, Other non-acute hospitals, Psychiatric hospitals, and hospitals in the Unpeered and other hospitals peer group. Also excluded are hospitals for which expenditure or admitted patient care data were incomplete, although most of these were excluded for other reasons (for example they are Small non-acute hospitals).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lastRenderedPageBreak/>
              <w:t>Timeliness</w:t>
            </w:r>
          </w:p>
        </w:tc>
        <w:tc>
          <w:tcPr>
            <w:tcW w:w="7169" w:type="dxa"/>
          </w:tcPr>
          <w:p w:rsidR="00950E2C" w:rsidRPr="00512C7C" w:rsidRDefault="00950E2C" w:rsidP="00FE2943">
            <w:pPr>
              <w:pStyle w:val="TableBodyText"/>
              <w:keepNext w:val="0"/>
              <w:keepLines w:val="0"/>
              <w:widowControl w:val="0"/>
              <w:jc w:val="both"/>
              <w:rPr>
                <w:rFonts w:cs="Arial"/>
                <w:u w:val="single"/>
              </w:rPr>
            </w:pPr>
            <w:r w:rsidRPr="00E00AD6">
              <w:t>The reference period for this data set is 20</w:t>
            </w:r>
            <w:r>
              <w:t>1</w:t>
            </w:r>
            <w:r w:rsidR="00FE2943">
              <w:t>2</w:t>
            </w:r>
            <w:r>
              <w:t>-1</w:t>
            </w:r>
            <w:r w:rsidR="00FE2943">
              <w:t>3</w:t>
            </w:r>
            <w:r w:rsidRPr="00E00AD6">
              <w:t>.</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E008FF" w:rsidRDefault="00950E2C" w:rsidP="0037635B">
            <w:pPr>
              <w:pStyle w:val="TableBodyText"/>
              <w:keepNext w:val="0"/>
              <w:keepLines w:val="0"/>
              <w:widowControl w:val="0"/>
              <w:ind w:right="0"/>
              <w:jc w:val="both"/>
            </w:pPr>
            <w:r w:rsidRPr="00E008FF">
              <w:t>Almost all public hospitals provided data for the NHMD, with the exception of a Mothercraft hospital in the ACT.</w:t>
            </w:r>
          </w:p>
          <w:p w:rsidR="00950E2C" w:rsidRDefault="00950E2C" w:rsidP="0037635B">
            <w:pPr>
              <w:pStyle w:val="TableBodyText"/>
              <w:keepNext w:val="0"/>
              <w:keepLines w:val="0"/>
              <w:widowControl w:val="0"/>
              <w:ind w:right="0"/>
              <w:jc w:val="both"/>
            </w:pPr>
            <w:r w:rsidRPr="00E008FF">
              <w:t>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950E2C" w:rsidRPr="00E008FF" w:rsidRDefault="00950E2C" w:rsidP="0037635B">
            <w:pPr>
              <w:pStyle w:val="TableBodyText"/>
              <w:keepNext w:val="0"/>
              <w:keepLines w:val="0"/>
              <w:widowControl w:val="0"/>
              <w:ind w:right="0"/>
              <w:jc w:val="both"/>
            </w:pPr>
            <w:r>
              <w:t>T</w:t>
            </w:r>
            <w:r w:rsidRPr="00E008FF">
              <w:t xml:space="preserve">he comparability of the </w:t>
            </w:r>
            <w:r>
              <w:t>RSI</w:t>
            </w:r>
            <w:r w:rsidRPr="00E008FF">
              <w:t xml:space="preserve"> in any one year is sensitive to a number of deficiencies in available data:</w:t>
            </w:r>
          </w:p>
          <w:p w:rsidR="00950E2C" w:rsidRPr="00996C53" w:rsidRDefault="00950E2C" w:rsidP="00CE22FE">
            <w:pPr>
              <w:pStyle w:val="TableBullet"/>
            </w:pPr>
            <w:r w:rsidRPr="00996C53">
              <w:t>only cost weights applicable to acute care separations are available, so these have been applied to all separations, including the 3 per cent that were not acute. The proportions of separations that are not acute vary across states and territories.</w:t>
            </w:r>
          </w:p>
          <w:p w:rsidR="00950E2C" w:rsidRPr="00996C53" w:rsidRDefault="00950E2C" w:rsidP="00CE22FE">
            <w:pPr>
              <w:pStyle w:val="TableBullet"/>
            </w:pPr>
            <w:r w:rsidRPr="00996C53">
              <w:t>the proportions of patients other than public patients vary across states and territories, and the estimation of medical costs for these patients (undertaken to adjust expenditure to resemble what it would be if all patients had been public patients) is subject to error.</w:t>
            </w:r>
          </w:p>
          <w:p w:rsidR="00950E2C" w:rsidRPr="00A653A6" w:rsidRDefault="00950E2C" w:rsidP="0037635B">
            <w:pPr>
              <w:pStyle w:val="TableBodyText"/>
              <w:keepNext w:val="0"/>
              <w:keepLines w:val="0"/>
              <w:widowControl w:val="0"/>
              <w:jc w:val="both"/>
              <w:rPr>
                <w:rFonts w:cs="Arial"/>
              </w:rPr>
            </w:pPr>
            <w:r w:rsidRPr="00E008FF">
              <w:t>Cells have been suppressed to protect confidentiality (where the numerator would identify a single service provider).</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950E2C" w:rsidRPr="00E008FF" w:rsidRDefault="00950E2C" w:rsidP="0037635B">
            <w:pPr>
              <w:pStyle w:val="TableBodyText"/>
              <w:keepNext w:val="0"/>
              <w:keepLines w:val="0"/>
              <w:widowControl w:val="0"/>
              <w:ind w:right="0"/>
              <w:jc w:val="both"/>
            </w:pPr>
            <w:r w:rsidRPr="00E008FF">
              <w:t xml:space="preserve">The information presented for this indicator is calculated using the same methodology as data published in </w:t>
            </w:r>
            <w:r w:rsidRPr="00E008FF">
              <w:rPr>
                <w:i/>
              </w:rPr>
              <w:t xml:space="preserve">Australian hospital statistics </w:t>
            </w:r>
            <w:r>
              <w:rPr>
                <w:i/>
              </w:rPr>
              <w:t>201</w:t>
            </w:r>
            <w:r w:rsidR="00FE2943">
              <w:rPr>
                <w:i/>
              </w:rPr>
              <w:t>2</w:t>
            </w:r>
            <w:r>
              <w:rPr>
                <w:i/>
              </w:rPr>
              <w:noBreakHyphen/>
              <w:t>1</w:t>
            </w:r>
            <w:r w:rsidR="00FE2943">
              <w:rPr>
                <w:i/>
              </w:rPr>
              <w:t>3</w:t>
            </w:r>
            <w:r w:rsidRPr="00E008FF">
              <w:t xml:space="preserve">. </w:t>
            </w:r>
          </w:p>
          <w:p w:rsidR="00950E2C" w:rsidRPr="00E008FF" w:rsidRDefault="00950E2C" w:rsidP="0037635B">
            <w:pPr>
              <w:pStyle w:val="TableBodyText"/>
              <w:keepNext w:val="0"/>
              <w:keepLines w:val="0"/>
              <w:widowControl w:val="0"/>
              <w:ind w:right="0"/>
              <w:jc w:val="both"/>
            </w:pPr>
            <w:r w:rsidRPr="00E008FF">
              <w:t>The denominator for the indicator is based on the reported admitted patient activity, adjusted using cost-weights to derive a ‘standard’ unit of output as an artificial construct. The estimated number of cost-weighted separations (particularly using constant AR-DRGs and AR-DRG cost weights over time) is for comparison purposes only.</w:t>
            </w:r>
          </w:p>
          <w:p w:rsidR="00950E2C" w:rsidRDefault="00950E2C" w:rsidP="0037635B">
            <w:pPr>
              <w:pStyle w:val="TableBodyText"/>
              <w:keepNext w:val="0"/>
              <w:keepLines w:val="0"/>
              <w:widowControl w:val="0"/>
              <w:jc w:val="both"/>
            </w:pPr>
            <w:r w:rsidRPr="00A653A6">
              <w:t xml:space="preserve">Comparisons with RSIs presented in </w:t>
            </w:r>
            <w:r w:rsidRPr="00A653A6">
              <w:rPr>
                <w:i/>
                <w:iCs/>
              </w:rPr>
              <w:t xml:space="preserve">Australian hospital statistics 2003–04 </w:t>
            </w:r>
            <w:r w:rsidRPr="00A653A6">
              <w:t>(AIHW 2005) and earlier reports should be made with caution, because the indexes for earlier years were calculated using AR-DRG version 4, for reports from 2004–05 to 2009–10, the RSIs were calculated using AR-DRG versions 5.0/5.1/5.2</w:t>
            </w:r>
            <w:r>
              <w:t xml:space="preserve"> and for 2010-11 and 2011-12, the RSIs were calculated using AR-DRG versions 6.0/6.0x</w:t>
            </w:r>
            <w:r w:rsidRPr="00A653A6">
              <w:t>.</w:t>
            </w:r>
            <w:r>
              <w:t xml:space="preserve"> </w:t>
            </w:r>
          </w:p>
          <w:p w:rsidR="00950E2C" w:rsidRPr="00512C7C" w:rsidRDefault="00950E2C" w:rsidP="0037635B">
            <w:pPr>
              <w:pStyle w:val="TableBodyText"/>
              <w:keepNext w:val="0"/>
              <w:keepLines w:val="0"/>
              <w:widowControl w:val="0"/>
              <w:jc w:val="both"/>
              <w:rPr>
                <w:rFonts w:cs="Arial"/>
              </w:rPr>
            </w:pPr>
            <w:r w:rsidRPr="00E008FF">
              <w:t>Time series analysis of this indicator is not recommended.</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950E2C" w:rsidRPr="007D5445" w:rsidRDefault="00950E2C" w:rsidP="0037635B">
            <w:pPr>
              <w:widowControl w:val="0"/>
              <w:spacing w:line="220" w:lineRule="atLeast"/>
              <w:ind w:left="6"/>
              <w:jc w:val="both"/>
              <w:rPr>
                <w:rFonts w:ascii="Arial" w:hAnsi="Arial"/>
                <w:sz w:val="18"/>
                <w:szCs w:val="18"/>
              </w:rPr>
            </w:pPr>
            <w:r w:rsidRPr="007D5445">
              <w:rPr>
                <w:rFonts w:ascii="Arial" w:hAnsi="Arial"/>
                <w:sz w:val="18"/>
                <w:szCs w:val="18"/>
              </w:rPr>
              <w:t>The AIHW provides a variety of products that draw upon the NHMD and the NPHED. Published products available on the AIHW website include:</w:t>
            </w:r>
          </w:p>
          <w:p w:rsidR="00950E2C" w:rsidRDefault="00950E2C" w:rsidP="00CE22FE">
            <w:pPr>
              <w:pStyle w:val="TableBullet"/>
            </w:pPr>
            <w:r w:rsidRPr="00996C53">
              <w:t>Australian hospital statistics with associated Excel tables</w:t>
            </w:r>
          </w:p>
          <w:p w:rsidR="00950E2C" w:rsidRPr="00F63258" w:rsidRDefault="00950E2C" w:rsidP="00CE22FE">
            <w:pPr>
              <w:pStyle w:val="TableBullet"/>
            </w:pPr>
            <w:r w:rsidRPr="00996C53">
              <w:t>Interactive data cubes for Public hospital establishments.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950E2C" w:rsidRPr="00512C7C" w:rsidRDefault="00950E2C" w:rsidP="0037635B">
            <w:pPr>
              <w:pStyle w:val="TableBodyText"/>
              <w:keepNext w:val="0"/>
              <w:keepLines w:val="0"/>
              <w:widowControl w:val="0"/>
              <w:jc w:val="both"/>
              <w:rPr>
                <w:rFonts w:cs="Arial"/>
                <w:lang w:eastAsia="en-US"/>
              </w:rPr>
            </w:pPr>
            <w:r w:rsidRPr="00E008FF">
              <w:t xml:space="preserve">Supporting information on the quality and use of the NHMD are published annually in </w:t>
            </w:r>
            <w:r w:rsidRPr="00E008FF">
              <w:rPr>
                <w:i/>
              </w:rPr>
              <w:t>Australian hospital statistics</w:t>
            </w:r>
            <w:r w:rsidRPr="00E008FF">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NMDS for Public hospital establishments and Admitted patient care are published in the AIHW’s online metadata repository — METeOR, and the National health data dictionary.</w:t>
            </w:r>
          </w:p>
        </w:tc>
      </w:tr>
      <w:tr w:rsidR="00950E2C" w:rsidRPr="003846CE" w:rsidTr="009F4002">
        <w:tc>
          <w:tcPr>
            <w:tcW w:w="8789" w:type="dxa"/>
            <w:gridSpan w:val="2"/>
            <w:vAlign w:val="bottom"/>
          </w:tcPr>
          <w:p w:rsidR="00950E2C" w:rsidRDefault="00950E2C" w:rsidP="0037635B">
            <w:pPr>
              <w:widowControl w:val="0"/>
              <w:spacing w:after="40" w:line="200" w:lineRule="atLeast"/>
              <w:ind w:left="6" w:right="113"/>
              <w:jc w:val="both"/>
              <w:rPr>
                <w:rFonts w:ascii="Arial" w:hAnsi="Arial"/>
                <w:b/>
                <w:color w:val="000000"/>
                <w:sz w:val="18"/>
                <w:szCs w:val="20"/>
              </w:rPr>
            </w:pPr>
          </w:p>
          <w:p w:rsidR="00950E2C" w:rsidRPr="003846CE" w:rsidRDefault="00950E2C"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950E2C" w:rsidRPr="003846CE" w:rsidTr="009F4002">
        <w:tc>
          <w:tcPr>
            <w:tcW w:w="1620" w:type="dxa"/>
          </w:tcPr>
          <w:p w:rsidR="00950E2C" w:rsidRPr="003846CE" w:rsidRDefault="00950E2C"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950E2C" w:rsidRDefault="00950E2C" w:rsidP="00F227D6">
            <w:pPr>
              <w:pStyle w:val="TableBodyText"/>
              <w:keepNext w:val="0"/>
              <w:keepLines w:val="0"/>
              <w:widowControl w:val="0"/>
              <w:jc w:val="both"/>
              <w:rPr>
                <w:rFonts w:cs="Arial"/>
              </w:rPr>
            </w:pPr>
            <w:r w:rsidRPr="00512C7C">
              <w:rPr>
                <w:rFonts w:cs="Arial"/>
              </w:rPr>
              <w:t>The Steering Committee notes the following issues:</w:t>
            </w:r>
          </w:p>
          <w:p w:rsidR="00950E2C" w:rsidRPr="000559F5" w:rsidRDefault="00950E2C" w:rsidP="00F227D6">
            <w:pPr>
              <w:pStyle w:val="TableBullet"/>
              <w:jc w:val="both"/>
            </w:pPr>
            <w:r w:rsidRPr="000559F5">
              <w:t>only cost weights applicable to acute care separations are available, so these have been applied to all separations, including the 3 per cent that were not acute.</w:t>
            </w:r>
          </w:p>
          <w:p w:rsidR="00950E2C" w:rsidRPr="000559F5" w:rsidRDefault="00950E2C" w:rsidP="00F227D6">
            <w:pPr>
              <w:pStyle w:val="TableBullet"/>
              <w:jc w:val="both"/>
            </w:pPr>
            <w:r w:rsidRPr="000559F5">
              <w:t xml:space="preserve">the proportion of patients other than public patients can vary, and the estimation of </w:t>
            </w:r>
            <w:r w:rsidRPr="000559F5">
              <w:lastRenderedPageBreak/>
              <w:t>medical costs for these patients (undertaken to adjust expenditure to resemble what it would be if all patients had been public patients) is subject to error.</w:t>
            </w:r>
          </w:p>
          <w:p w:rsidR="00950E2C" w:rsidRPr="00512C7C" w:rsidRDefault="00950E2C" w:rsidP="00F227D6">
            <w:pPr>
              <w:pStyle w:val="TableBullet"/>
              <w:jc w:val="both"/>
              <w:rPr>
                <w:sz w:val="22"/>
                <w:szCs w:val="22"/>
              </w:rPr>
            </w:pPr>
            <w:r w:rsidRPr="000559F5">
              <w:t>Variations in admission practices and policies lead to variation among providers in the number of admissions for some conditions.</w:t>
            </w:r>
          </w:p>
        </w:tc>
      </w:tr>
    </w:tbl>
    <w:p w:rsidR="0090363E" w:rsidRDefault="0090363E" w:rsidP="0090363E">
      <w:pPr>
        <w:pStyle w:val="Heading3"/>
      </w:pPr>
      <w:bookmarkStart w:id="13" w:name="_Toc401912930"/>
      <w:r>
        <w:lastRenderedPageBreak/>
        <w:t>Recurrent cost per non-admitted occasion of service</w:t>
      </w:r>
      <w:bookmarkEnd w:id="13"/>
    </w:p>
    <w:p w:rsidR="0090363E" w:rsidRDefault="0090363E" w:rsidP="0090363E">
      <w:pPr>
        <w:pStyle w:val="BodyText"/>
      </w:pPr>
      <w:r>
        <w:t>Data quality information for this indicator has been sourced from the Review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 xml:space="preserve">Efficiency </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vAlign w:val="bottom"/>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Recurrent cost per non-admitted occasion of service</w:t>
            </w:r>
          </w:p>
        </w:tc>
      </w:tr>
      <w:tr w:rsidR="00950E2C" w:rsidRPr="003846CE" w:rsidTr="009F4002">
        <w:tc>
          <w:tcPr>
            <w:tcW w:w="1620" w:type="dxa"/>
          </w:tcPr>
          <w:p w:rsidR="00950E2C"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50E2C" w:rsidRPr="003846CE"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vAlign w:val="bottom"/>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Recurrent cost per non</w:t>
            </w:r>
            <w:r w:rsidRPr="00C947FF">
              <w:rPr>
                <w:rFonts w:ascii="Arial" w:hAnsi="Arial"/>
                <w:sz w:val="18"/>
                <w:szCs w:val="18"/>
              </w:rPr>
              <w:noBreakHyphen/>
              <w:t>admitted occasion of service’ is defined as the proportion of recurrent expenditure allocated to patients who were not admitted, divided by the total number of non</w:t>
            </w:r>
            <w:r w:rsidRPr="00C947FF">
              <w:rPr>
                <w:rFonts w:ascii="Arial" w:hAnsi="Arial"/>
                <w:sz w:val="18"/>
                <w:szCs w:val="18"/>
              </w:rPr>
              <w:noBreakHyphen/>
              <w:t>admitted patient occasions of service in public hospitals. Occasions of service include examinations, consultations, treatments or other services provided to patients in each functional unit of a hospital. Non</w:t>
            </w:r>
            <w:r w:rsidRPr="00C947FF">
              <w:rPr>
                <w:rFonts w:ascii="Arial" w:hAnsi="Arial"/>
                <w:sz w:val="18"/>
                <w:szCs w:val="18"/>
              </w:rPr>
              <w:noBreakHyphen/>
              <w:t>admitted occasions of service (including emergency department presentations and outpatient services) account for a significant proportion of hospital expenditure.</w:t>
            </w:r>
          </w:p>
        </w:tc>
      </w:tr>
      <w:tr w:rsidR="00950E2C" w:rsidRPr="003846CE" w:rsidTr="009F4002">
        <w:tc>
          <w:tcPr>
            <w:tcW w:w="1620" w:type="dxa"/>
          </w:tcPr>
          <w:p w:rsidR="00950E2C" w:rsidRPr="003846CE" w:rsidRDefault="00950E2C"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This indicator is calculated using data from states and territories collected by the Review.</w:t>
            </w:r>
          </w:p>
        </w:tc>
      </w:tr>
      <w:tr w:rsidR="00950E2C" w:rsidRPr="003846CE" w:rsidTr="009F4002">
        <w:tc>
          <w:tcPr>
            <w:tcW w:w="8789" w:type="dxa"/>
            <w:gridSpan w:val="2"/>
            <w:vAlign w:val="bottom"/>
          </w:tcPr>
          <w:p w:rsidR="00950E2C" w:rsidRDefault="00950E2C" w:rsidP="00905501">
            <w:pPr>
              <w:widowControl w:val="0"/>
              <w:spacing w:after="40" w:line="200" w:lineRule="atLeast"/>
              <w:ind w:left="6" w:right="113"/>
              <w:jc w:val="both"/>
              <w:rPr>
                <w:rFonts w:ascii="Arial" w:hAnsi="Arial"/>
                <w:b/>
                <w:color w:val="000000"/>
                <w:sz w:val="18"/>
                <w:szCs w:val="20"/>
              </w:rPr>
            </w:pPr>
          </w:p>
          <w:p w:rsidR="00950E2C" w:rsidRPr="003846CE" w:rsidRDefault="00950E2C"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Data were supplied by State and Territory health authorities. The State and Territory health authorities receive these data from patient administrative and clinical records. States and territories use these data for service planning, monitoring and internal and public reporting.</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This indicator does not adjust for the complexity of service — for example, a simple urine glucose test is treated equally with a complete biochemical analysis of all body fluids.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950E2C" w:rsidRPr="00C947FF" w:rsidRDefault="00950E2C" w:rsidP="00FE2943">
            <w:pPr>
              <w:widowControl w:val="0"/>
              <w:spacing w:after="40" w:line="220" w:lineRule="atLeast"/>
              <w:ind w:left="6" w:right="113"/>
              <w:jc w:val="both"/>
              <w:rPr>
                <w:rFonts w:ascii="Arial" w:hAnsi="Arial"/>
                <w:sz w:val="18"/>
                <w:szCs w:val="18"/>
              </w:rPr>
            </w:pPr>
            <w:r w:rsidRPr="00C947FF">
              <w:rPr>
                <w:rFonts w:ascii="Arial" w:hAnsi="Arial"/>
                <w:sz w:val="18"/>
                <w:szCs w:val="18"/>
              </w:rPr>
              <w:t>The reference period for this data set is 201</w:t>
            </w:r>
            <w:r w:rsidR="00FE2943">
              <w:rPr>
                <w:rFonts w:ascii="Arial" w:hAnsi="Arial"/>
                <w:sz w:val="18"/>
                <w:szCs w:val="18"/>
              </w:rPr>
              <w:t>2</w:t>
            </w:r>
            <w:r w:rsidRPr="00C947FF">
              <w:rPr>
                <w:rFonts w:ascii="Arial" w:hAnsi="Arial"/>
                <w:sz w:val="18"/>
                <w:szCs w:val="18"/>
              </w:rPr>
              <w:t>-1</w:t>
            </w:r>
            <w:r w:rsidR="00FE2943">
              <w:rPr>
                <w:rFonts w:ascii="Arial" w:hAnsi="Arial"/>
                <w:sz w:val="18"/>
                <w:szCs w:val="18"/>
              </w:rPr>
              <w:t>3</w:t>
            </w:r>
            <w:r w:rsidRPr="00C947FF">
              <w:rPr>
                <w:rFonts w:ascii="Arial" w:hAnsi="Arial"/>
                <w:sz w:val="18"/>
                <w:szCs w:val="18"/>
              </w:rPr>
              <w:t xml:space="preserve">. </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C947FF" w:rsidRDefault="00950E2C" w:rsidP="0037635B">
            <w:pPr>
              <w:widowControl w:val="0"/>
              <w:spacing w:after="40" w:line="220" w:lineRule="atLeast"/>
              <w:ind w:left="6" w:right="113"/>
              <w:jc w:val="both"/>
              <w:rPr>
                <w:rFonts w:ascii="Arial" w:hAnsi="Arial"/>
                <w:color w:val="000000"/>
                <w:sz w:val="18"/>
                <w:szCs w:val="18"/>
              </w:rPr>
            </w:pPr>
            <w:r w:rsidRPr="00C947FF">
              <w:rPr>
                <w:rFonts w:ascii="Arial" w:hAnsi="Arial"/>
                <w:color w:val="000000"/>
                <w:sz w:val="18"/>
                <w:szCs w:val="18"/>
              </w:rPr>
              <w:t>Inaccurate responses may occur in all data provided to the Review. The Review does not have direct access to records to determine the accuracy of the data provided. However, the Review undertakes validation on receipt of data. Data received from states and territories are checked for completeness, validity and logical errors. Potential errors are queried with jurisdictions, and corrections and resubmissions are made in response to these edit queries. The Review does not adjust data to account for possible data errors.</w:t>
            </w:r>
          </w:p>
          <w:p w:rsidR="00950E2C" w:rsidRPr="00C947FF" w:rsidRDefault="00950E2C" w:rsidP="0037635B">
            <w:pPr>
              <w:widowControl w:val="0"/>
              <w:spacing w:after="40" w:line="220" w:lineRule="atLeast"/>
              <w:ind w:left="6" w:right="113"/>
              <w:jc w:val="both"/>
              <w:rPr>
                <w:rFonts w:ascii="Arial" w:hAnsi="Arial"/>
                <w:color w:val="000000"/>
                <w:sz w:val="18"/>
                <w:szCs w:val="18"/>
              </w:rPr>
            </w:pPr>
            <w:r w:rsidRPr="00C947FF">
              <w:rPr>
                <w:rFonts w:ascii="Arial" w:hAnsi="Arial"/>
                <w:color w:val="000000"/>
                <w:sz w:val="18"/>
                <w:szCs w:val="18"/>
              </w:rPr>
              <w:t>Errors may occur during the processing of data by the states and territories or at the Review. Processing errors prior to data supply may be found through the validation checks applied by the Review. This indicator is calculated on data that has been reported to the Review. Prior to publication, these data are referred back to jurisdictions for checking and review. The Review does not adjust the data to correct for missing values.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950E2C" w:rsidRDefault="00950E2C" w:rsidP="0037635B">
            <w:pPr>
              <w:widowControl w:val="0"/>
              <w:spacing w:after="40" w:line="220" w:lineRule="atLeast"/>
              <w:ind w:left="6" w:right="113"/>
              <w:jc w:val="both"/>
              <w:rPr>
                <w:rFonts w:ascii="Arial" w:hAnsi="Arial"/>
                <w:sz w:val="20"/>
                <w:szCs w:val="20"/>
              </w:rPr>
            </w:pPr>
            <w:r w:rsidRPr="00845DDF">
              <w:rPr>
                <w:rFonts w:ascii="Arial" w:hAnsi="Arial"/>
                <w:sz w:val="20"/>
                <w:szCs w:val="20"/>
              </w:rPr>
              <w:t>Data are not available for two jurisdictions, Victoria and the NT.</w:t>
            </w:r>
          </w:p>
          <w:p w:rsidR="00950E2C" w:rsidRPr="008765B9" w:rsidRDefault="00950E2C" w:rsidP="0037635B">
            <w:pPr>
              <w:widowControl w:val="0"/>
              <w:spacing w:after="40" w:line="220" w:lineRule="atLeast"/>
              <w:ind w:left="6" w:right="113"/>
              <w:jc w:val="both"/>
              <w:rPr>
                <w:rFonts w:ascii="Arial" w:hAnsi="Arial"/>
                <w:sz w:val="20"/>
                <w:szCs w:val="20"/>
              </w:rPr>
            </w:pPr>
            <w:r w:rsidRPr="008765B9">
              <w:rPr>
                <w:rFonts w:ascii="Arial" w:hAnsi="Arial"/>
                <w:sz w:val="20"/>
                <w:szCs w:val="20"/>
              </w:rPr>
              <w:t xml:space="preserve">These data are not comparable across jurisdictions. There is considerable variation among states and territories and between reporting years in the way in which non-admitted patient occasions of service data are collected. </w:t>
            </w:r>
          </w:p>
          <w:p w:rsidR="00950E2C" w:rsidRDefault="00950E2C" w:rsidP="00CE22FE">
            <w:pPr>
              <w:pStyle w:val="TableBullet"/>
            </w:pPr>
            <w:r w:rsidRPr="006B3169">
              <w:t>There are differing admission practices between the states and territories</w:t>
            </w:r>
            <w:r>
              <w:t>.</w:t>
            </w:r>
          </w:p>
          <w:p w:rsidR="00950E2C" w:rsidRPr="006B3169" w:rsidRDefault="00950E2C" w:rsidP="00CE22FE">
            <w:pPr>
              <w:pStyle w:val="TableBullet"/>
            </w:pPr>
            <w:r>
              <w:t>There is v</w:t>
            </w:r>
            <w:r w:rsidRPr="006B3169">
              <w:t>ariation in the types of services provided for non-admitted patients and the type of facility providing these services, for example, states and territories may differ in the extent to which outpatient services are provided in non-hospital settings (such as community health services).</w:t>
            </w:r>
          </w:p>
          <w:p w:rsidR="00950E2C" w:rsidRDefault="00950E2C" w:rsidP="00CE22FE">
            <w:pPr>
              <w:pStyle w:val="TableBullet"/>
            </w:pPr>
            <w:r w:rsidRPr="007610B4">
              <w:t>Reporting categ</w:t>
            </w:r>
            <w:r>
              <w:t>ories vary across jurisdictions.</w:t>
            </w:r>
            <w:r w:rsidRPr="007610B4">
              <w:t xml:space="preserve"> </w:t>
            </w:r>
          </w:p>
          <w:p w:rsidR="00950E2C" w:rsidRPr="007610B4" w:rsidRDefault="00950E2C" w:rsidP="00CE22FE">
            <w:pPr>
              <w:pStyle w:val="TableBullet"/>
            </w:pPr>
            <w:r>
              <w:lastRenderedPageBreak/>
              <w:t>Inconsistencies arising</w:t>
            </w:r>
            <w:r w:rsidRPr="007610B4">
              <w:t xml:space="preserve"> </w:t>
            </w:r>
            <w:r>
              <w:t>from</w:t>
            </w:r>
            <w:r w:rsidRPr="007610B4">
              <w:t xml:space="preserve"> differences in outsourcing practices. In some cases, for example, outsourced occasions of service can be</w:t>
            </w:r>
            <w:r>
              <w:t xml:space="preserve"> included in expenditure on non-</w:t>
            </w:r>
            <w:r w:rsidRPr="007610B4">
              <w:t>admitted services, but not in the count of occasions of service.</w:t>
            </w:r>
          </w:p>
          <w:p w:rsidR="00950E2C" w:rsidRPr="006309F2" w:rsidRDefault="00950E2C" w:rsidP="0037635B">
            <w:pPr>
              <w:widowControl w:val="0"/>
              <w:spacing w:after="40" w:line="220" w:lineRule="atLeast"/>
              <w:ind w:left="6" w:right="113"/>
              <w:jc w:val="both"/>
              <w:rPr>
                <w:rFonts w:ascii="Arial" w:hAnsi="Arial"/>
                <w:sz w:val="20"/>
                <w:szCs w:val="20"/>
              </w:rPr>
            </w:pPr>
            <w:r w:rsidRPr="003768B1">
              <w:rPr>
                <w:rFonts w:ascii="Arial" w:hAnsi="Arial"/>
                <w:sz w:val="20"/>
                <w:szCs w:val="20"/>
              </w:rPr>
              <w:t xml:space="preserve">Statistics on emergency department presentations for non-admitted patients may be affected by variations in reporting practices across states and territories. Although there are national standards for data on non-admitted </w:t>
            </w:r>
            <w:r w:rsidRPr="006309F2">
              <w:rPr>
                <w:rFonts w:ascii="Arial" w:hAnsi="Arial"/>
                <w:sz w:val="20"/>
                <w:szCs w:val="20"/>
              </w:rPr>
              <w:t>patient emergency department services there are some variations in how those services are defined and counted across states and territories and over time. For example, there is variation in:</w:t>
            </w:r>
          </w:p>
          <w:p w:rsidR="00950E2C" w:rsidRPr="006309F2" w:rsidRDefault="00950E2C" w:rsidP="00CE22FE">
            <w:pPr>
              <w:pStyle w:val="TableBullet"/>
            </w:pPr>
            <w:r w:rsidRPr="006309F2">
              <w:t>the point at which the commencement of clinical care is reported</w:t>
            </w:r>
          </w:p>
          <w:p w:rsidR="00950E2C" w:rsidRPr="006309F2" w:rsidRDefault="00950E2C" w:rsidP="00CE22FE">
            <w:pPr>
              <w:pStyle w:val="TableBullet"/>
            </w:pPr>
            <w:r w:rsidRPr="006309F2">
              <w:t>the point at which the emergency department presentation is reported as completed for those patients subsequently admitted within the emergency department and/or elsewhere in the hospital.</w:t>
            </w:r>
          </w:p>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For some jurisdictions, the reporting of outpatient clinic care varied over the periods 2010–11 and 2011–12, in order to align with the reporting requirements for Activity Based Funding. These changes included: the discontinuation of reporting for some activity; the commencement of reporting for some activity; and the re-categorisation of some clinics according to the Tier 2 clinics structure. Therefore, these data may not be comparable with data reported for previous years.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lastRenderedPageBreak/>
              <w:t>Accessibility</w:t>
            </w:r>
          </w:p>
        </w:tc>
        <w:tc>
          <w:tcPr>
            <w:tcW w:w="7169" w:type="dxa"/>
          </w:tcPr>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 xml:space="preserve">Cost per occasion of service data are not widely published elsewhere due to data quality issues. No nationally data collection currently exists which can produce comparable data. Data collection and reporting practices differ greatly across jurisdictions.  </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 xml:space="preserve">Supporting information on the quality and use of the data are not publicly available. Metadata such as concepts, classifications and counting rules are not published and are not consistent across jurisdictions. </w:t>
            </w:r>
          </w:p>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Definitions are not well developed and could be ambiguous or confusing to the user.</w:t>
            </w:r>
          </w:p>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There is little other information available to assist the user such as glossaries, standards, explanatory material, methodological information, user guides or classifications.</w:t>
            </w:r>
          </w:p>
        </w:tc>
      </w:tr>
      <w:tr w:rsidR="00950E2C" w:rsidRPr="003846CE" w:rsidTr="009F4002">
        <w:tc>
          <w:tcPr>
            <w:tcW w:w="8789" w:type="dxa"/>
            <w:gridSpan w:val="2"/>
            <w:vAlign w:val="bottom"/>
          </w:tcPr>
          <w:p w:rsidR="00950E2C" w:rsidRDefault="00950E2C" w:rsidP="0037635B">
            <w:pPr>
              <w:widowControl w:val="0"/>
              <w:spacing w:after="40" w:line="200" w:lineRule="atLeast"/>
              <w:ind w:left="6" w:right="113"/>
              <w:jc w:val="both"/>
              <w:rPr>
                <w:rFonts w:ascii="Arial" w:hAnsi="Arial"/>
                <w:b/>
                <w:color w:val="000000"/>
                <w:sz w:val="18"/>
                <w:szCs w:val="20"/>
              </w:rPr>
            </w:pPr>
          </w:p>
          <w:p w:rsidR="00950E2C" w:rsidRPr="003846CE" w:rsidRDefault="00950E2C"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950E2C" w:rsidRPr="003846CE" w:rsidTr="009F4002">
        <w:tc>
          <w:tcPr>
            <w:tcW w:w="1620" w:type="dxa"/>
          </w:tcPr>
          <w:p w:rsidR="00950E2C" w:rsidRPr="003846CE" w:rsidRDefault="00950E2C"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950E2C" w:rsidRPr="00C82FB1" w:rsidRDefault="00950E2C" w:rsidP="00F227D6">
            <w:pPr>
              <w:widowControl w:val="0"/>
              <w:spacing w:after="40" w:line="220" w:lineRule="atLeast"/>
              <w:ind w:left="6" w:right="113"/>
              <w:jc w:val="both"/>
              <w:rPr>
                <w:rFonts w:ascii="Arial" w:hAnsi="Arial"/>
                <w:sz w:val="20"/>
                <w:szCs w:val="20"/>
              </w:rPr>
            </w:pPr>
            <w:r w:rsidRPr="00C82FB1">
              <w:rPr>
                <w:rFonts w:ascii="Arial" w:hAnsi="Arial"/>
                <w:sz w:val="20"/>
                <w:szCs w:val="20"/>
              </w:rPr>
              <w:t>The Steering Committee notes the following key data gaps/issues:</w:t>
            </w:r>
          </w:p>
          <w:p w:rsidR="00950E2C" w:rsidRPr="00C82FB1" w:rsidRDefault="00950E2C" w:rsidP="00F227D6">
            <w:pPr>
              <w:pStyle w:val="TableBullet"/>
              <w:jc w:val="both"/>
            </w:pPr>
            <w:r w:rsidRPr="00C82FB1">
              <w:t>the of recurrent expenditure that relates to occasions of service is estimated in different ways in different hospitals and is not always comparable</w:t>
            </w:r>
          </w:p>
          <w:p w:rsidR="00950E2C" w:rsidRPr="00C82FB1" w:rsidRDefault="00950E2C" w:rsidP="00F227D6">
            <w:pPr>
              <w:pStyle w:val="TableBullet"/>
              <w:jc w:val="both"/>
            </w:pPr>
            <w:r w:rsidRPr="00C82FB1">
              <w:t>This indicator does not adjust for the complexity of service, it is desirable for data to be casemix adjusted</w:t>
            </w:r>
          </w:p>
          <w:p w:rsidR="00950E2C" w:rsidRPr="005F4764" w:rsidRDefault="00950E2C" w:rsidP="00F227D6">
            <w:pPr>
              <w:pStyle w:val="TableBullet"/>
              <w:jc w:val="both"/>
            </w:pPr>
            <w:r w:rsidRPr="00C82FB1">
              <w:t>Variations in admission practices and policies lead to variation among providers in the number of admissions for some conditions</w:t>
            </w:r>
          </w:p>
          <w:p w:rsidR="00950E2C" w:rsidRPr="00C82FB1" w:rsidRDefault="00950E2C" w:rsidP="00F227D6">
            <w:pPr>
              <w:pStyle w:val="TableBullet"/>
              <w:jc w:val="both"/>
            </w:pPr>
            <w:r>
              <w:t>Data are not available for two jurisdictions, Victoria and the NT.</w:t>
            </w:r>
          </w:p>
        </w:tc>
      </w:tr>
    </w:tbl>
    <w:p w:rsidR="0090363E" w:rsidRDefault="0090363E" w:rsidP="009E4756">
      <w:pPr>
        <w:pStyle w:val="Heading3"/>
        <w:keepNext w:val="0"/>
        <w:widowControl w:val="0"/>
      </w:pPr>
      <w:bookmarkStart w:id="14" w:name="_Toc401912931"/>
      <w:r>
        <w:t>Patient satisfaction</w:t>
      </w:r>
      <w:bookmarkEnd w:id="14"/>
    </w:p>
    <w:p w:rsidR="0090363E" w:rsidRDefault="00253741" w:rsidP="009E4756">
      <w:pPr>
        <w:pStyle w:val="BodyText"/>
        <w:widowControl w:val="0"/>
      </w:pPr>
      <w:r w:rsidRPr="00253741">
        <w:t xml:space="preserve">Data quality information for this indicator has been sourced from the </w:t>
      </w:r>
      <w:r>
        <w:t>ABS</w:t>
      </w:r>
      <w:r w:rsidRPr="00253741">
        <w:t xml:space="preserve">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1469C7" w:rsidRPr="001469C7" w:rsidTr="009F4002">
        <w:tc>
          <w:tcPr>
            <w:tcW w:w="8789" w:type="dxa"/>
            <w:gridSpan w:val="2"/>
            <w:vAlign w:val="bottom"/>
          </w:tcPr>
          <w:p w:rsidR="007D0D79" w:rsidRPr="001469C7" w:rsidRDefault="007D0D79" w:rsidP="009E4756">
            <w:pPr>
              <w:widowControl w:val="0"/>
              <w:spacing w:after="40" w:line="200" w:lineRule="atLeast"/>
              <w:ind w:left="6" w:right="113"/>
              <w:jc w:val="both"/>
              <w:rPr>
                <w:rFonts w:asciiTheme="minorHAnsi" w:hAnsiTheme="minorHAnsi" w:cstheme="minorHAnsi"/>
                <w:b/>
                <w:sz w:val="18"/>
                <w:szCs w:val="18"/>
              </w:rPr>
            </w:pPr>
          </w:p>
          <w:p w:rsidR="007D0D79" w:rsidRPr="001469C7" w:rsidRDefault="007D0D79" w:rsidP="009E4756">
            <w:pPr>
              <w:widowControl w:val="0"/>
              <w:spacing w:after="40" w:line="200" w:lineRule="atLeast"/>
              <w:ind w:left="6" w:right="113"/>
              <w:jc w:val="both"/>
              <w:rPr>
                <w:rFonts w:asciiTheme="minorHAnsi" w:hAnsiTheme="minorHAnsi" w:cstheme="minorHAnsi"/>
                <w:b/>
                <w:sz w:val="18"/>
                <w:szCs w:val="18"/>
                <w:u w:val="single"/>
              </w:rPr>
            </w:pPr>
            <w:r w:rsidRPr="001469C7">
              <w:rPr>
                <w:rFonts w:asciiTheme="minorHAnsi" w:hAnsiTheme="minorHAnsi" w:cstheme="minorHAnsi"/>
                <w:b/>
                <w:sz w:val="18"/>
                <w:szCs w:val="18"/>
                <w:u w:val="single"/>
              </w:rPr>
              <w:t>Indicator definition and description</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Element</w:t>
            </w:r>
          </w:p>
        </w:tc>
        <w:tc>
          <w:tcPr>
            <w:tcW w:w="7169" w:type="dxa"/>
          </w:tcPr>
          <w:p w:rsidR="00950E2C" w:rsidRPr="001469C7" w:rsidRDefault="00950E2C" w:rsidP="009E4756">
            <w:pPr>
              <w:pStyle w:val="TableBodyText"/>
              <w:keepNext w:val="0"/>
              <w:keepLines w:val="0"/>
              <w:widowControl w:val="0"/>
              <w:jc w:val="both"/>
              <w:rPr>
                <w:rFonts w:asciiTheme="minorHAnsi" w:hAnsiTheme="minorHAnsi" w:cstheme="minorHAnsi"/>
                <w:szCs w:val="18"/>
              </w:rPr>
            </w:pPr>
            <w:r w:rsidRPr="001469C7">
              <w:rPr>
                <w:rFonts w:asciiTheme="minorHAnsi" w:hAnsiTheme="minorHAnsi" w:cstheme="minorHAnsi"/>
                <w:szCs w:val="18"/>
              </w:rPr>
              <w:t>Outcome</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Indicator</w:t>
            </w:r>
          </w:p>
        </w:tc>
        <w:tc>
          <w:tcPr>
            <w:tcW w:w="7169" w:type="dxa"/>
          </w:tcPr>
          <w:p w:rsidR="00950E2C" w:rsidRPr="001469C7" w:rsidRDefault="00950E2C" w:rsidP="009E4756">
            <w:pPr>
              <w:pStyle w:val="TableBodyText"/>
              <w:keepNext w:val="0"/>
              <w:keepLines w:val="0"/>
              <w:widowControl w:val="0"/>
              <w:jc w:val="both"/>
              <w:rPr>
                <w:rFonts w:asciiTheme="minorHAnsi" w:hAnsiTheme="minorHAnsi" w:cstheme="minorHAnsi"/>
                <w:szCs w:val="18"/>
              </w:rPr>
            </w:pPr>
            <w:r w:rsidRPr="001469C7">
              <w:rPr>
                <w:rFonts w:asciiTheme="minorHAnsi" w:hAnsiTheme="minorHAnsi" w:cstheme="minorHAnsi"/>
                <w:szCs w:val="18"/>
              </w:rPr>
              <w:t>Patient satisfaction</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Measure</w:t>
            </w:r>
          </w:p>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(computation</w:t>
            </w:r>
          </w:p>
        </w:tc>
        <w:tc>
          <w:tcPr>
            <w:tcW w:w="7169" w:type="dxa"/>
          </w:tcPr>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Measure: Nationally comparable information that indicates levels of patient satisfaction around key aspects of care they received.</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Numerator: </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 xml:space="preserve">persons who had been to a hospital emergency department in the last 12 months reporting the doctors or specialists always or often: listened carefully, showed respect, </w:t>
            </w:r>
            <w:r w:rsidR="006077DD">
              <w:rPr>
                <w:rFonts w:asciiTheme="minorHAnsi" w:hAnsiTheme="minorHAnsi" w:cstheme="minorHAnsi"/>
                <w:szCs w:val="18"/>
              </w:rPr>
              <w:t>and spent enough time with them</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lastRenderedPageBreak/>
              <w:t xml:space="preserve">persons who had been to a hospital emergency department in the last 12 months reporting the nurses always or often: listened carefully, showed respect, </w:t>
            </w:r>
            <w:r w:rsidR="006077DD">
              <w:rPr>
                <w:rFonts w:asciiTheme="minorHAnsi" w:hAnsiTheme="minorHAnsi" w:cstheme="minorHAnsi"/>
                <w:szCs w:val="18"/>
              </w:rPr>
              <w:t>and spent enough time with them</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 xml:space="preserve">persons who had been admitted to a hospital in the last 12 months reporting the doctors or specialists always or often: listened carefully, showed respect, </w:t>
            </w:r>
            <w:r w:rsidR="006077DD">
              <w:rPr>
                <w:rFonts w:asciiTheme="minorHAnsi" w:hAnsiTheme="minorHAnsi" w:cstheme="minorHAnsi"/>
                <w:szCs w:val="18"/>
              </w:rPr>
              <w:t>and spent enough time with them</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 xml:space="preserve">persons who have been admitted to a hospital in the last 12 months reporting the nurses always or often: listened carefully, showed respect, </w:t>
            </w:r>
            <w:r w:rsidR="006077DD">
              <w:rPr>
                <w:rFonts w:asciiTheme="minorHAnsi" w:hAnsiTheme="minorHAnsi" w:cstheme="minorHAnsi"/>
                <w:szCs w:val="18"/>
              </w:rPr>
              <w:t>and spent enough time with them</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Denominator: </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persons who had been to a hospital emergency department in the last 12 months, excluding persons who were intervie</w:t>
            </w:r>
            <w:r w:rsidR="006077DD">
              <w:rPr>
                <w:rFonts w:asciiTheme="minorHAnsi" w:hAnsiTheme="minorHAnsi" w:cstheme="minorHAnsi"/>
                <w:szCs w:val="18"/>
              </w:rPr>
              <w:t>wed by proxy</w:t>
            </w:r>
          </w:p>
          <w:p w:rsidR="00950E2C"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persons who had been admitted to a hospital in the last 12 months, excluding person</w:t>
            </w:r>
            <w:r w:rsidR="006077DD">
              <w:rPr>
                <w:rFonts w:asciiTheme="minorHAnsi" w:hAnsiTheme="minorHAnsi" w:cstheme="minorHAnsi"/>
                <w:szCs w:val="18"/>
              </w:rPr>
              <w:t>s who were interviewed by proxy</w:t>
            </w:r>
          </w:p>
        </w:tc>
      </w:tr>
      <w:tr w:rsidR="001469C7" w:rsidRPr="001469C7" w:rsidTr="009F4002">
        <w:tc>
          <w:tcPr>
            <w:tcW w:w="1620" w:type="dxa"/>
          </w:tcPr>
          <w:p w:rsidR="00950E2C" w:rsidRPr="001469C7" w:rsidRDefault="00950E2C" w:rsidP="009E4756">
            <w:pPr>
              <w:widowControl w:val="0"/>
              <w:spacing w:after="40" w:line="200" w:lineRule="atLeast"/>
              <w:ind w:left="6" w:right="113"/>
              <w:rPr>
                <w:rFonts w:asciiTheme="minorHAnsi" w:hAnsiTheme="minorHAnsi" w:cstheme="minorHAnsi"/>
                <w:b/>
                <w:sz w:val="18"/>
                <w:szCs w:val="18"/>
              </w:rPr>
            </w:pPr>
            <w:r w:rsidRPr="001469C7">
              <w:rPr>
                <w:rFonts w:asciiTheme="minorHAnsi" w:hAnsiTheme="minorHAnsi" w:cstheme="minorHAnsi"/>
                <w:b/>
                <w:sz w:val="18"/>
                <w:szCs w:val="18"/>
              </w:rPr>
              <w:lastRenderedPageBreak/>
              <w:t>Data source/s</w:t>
            </w:r>
          </w:p>
        </w:tc>
        <w:tc>
          <w:tcPr>
            <w:tcW w:w="7169" w:type="dxa"/>
          </w:tcPr>
          <w:p w:rsidR="00950E2C" w:rsidRPr="001469C7" w:rsidRDefault="00950E2C" w:rsidP="009E4756">
            <w:pPr>
              <w:widowControl w:val="0"/>
              <w:spacing w:after="40" w:line="220" w:lineRule="atLeast"/>
              <w:ind w:left="6" w:right="113"/>
              <w:jc w:val="both"/>
              <w:rPr>
                <w:rFonts w:asciiTheme="minorHAnsi" w:hAnsiTheme="minorHAnsi" w:cstheme="minorHAnsi"/>
                <w:sz w:val="18"/>
                <w:szCs w:val="18"/>
              </w:rPr>
            </w:pPr>
            <w:r w:rsidRPr="001469C7">
              <w:rPr>
                <w:rFonts w:asciiTheme="minorHAnsi" w:hAnsiTheme="minorHAnsi" w:cstheme="minorHAnsi"/>
                <w:sz w:val="18"/>
                <w:szCs w:val="18"/>
              </w:rPr>
              <w:t>ABS Patient Experience Survey, 201</w:t>
            </w:r>
            <w:r w:rsidR="00634798" w:rsidRPr="001469C7">
              <w:rPr>
                <w:rFonts w:asciiTheme="minorHAnsi" w:hAnsiTheme="minorHAnsi" w:cstheme="minorHAnsi"/>
                <w:sz w:val="18"/>
                <w:szCs w:val="18"/>
              </w:rPr>
              <w:t>3</w:t>
            </w:r>
            <w:r w:rsidRPr="001469C7">
              <w:rPr>
                <w:rFonts w:asciiTheme="minorHAnsi" w:hAnsiTheme="minorHAnsi" w:cstheme="minorHAnsi"/>
                <w:sz w:val="18"/>
                <w:szCs w:val="18"/>
              </w:rPr>
              <w:t>-1</w:t>
            </w:r>
            <w:r w:rsidR="00634798" w:rsidRPr="001469C7">
              <w:rPr>
                <w:rFonts w:asciiTheme="minorHAnsi" w:hAnsiTheme="minorHAnsi" w:cstheme="minorHAnsi"/>
                <w:sz w:val="18"/>
                <w:szCs w:val="18"/>
              </w:rPr>
              <w:t>4</w:t>
            </w:r>
            <w:r w:rsidRPr="001469C7">
              <w:rPr>
                <w:rFonts w:asciiTheme="minorHAnsi" w:hAnsiTheme="minorHAnsi" w:cstheme="minorHAnsi"/>
                <w:sz w:val="18"/>
                <w:szCs w:val="18"/>
              </w:rPr>
              <w:t>.</w:t>
            </w:r>
          </w:p>
        </w:tc>
      </w:tr>
      <w:tr w:rsidR="001469C7" w:rsidRPr="001469C7" w:rsidTr="009F4002">
        <w:tc>
          <w:tcPr>
            <w:tcW w:w="8789" w:type="dxa"/>
            <w:gridSpan w:val="2"/>
            <w:vAlign w:val="bottom"/>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p>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u w:val="single"/>
              </w:rPr>
            </w:pPr>
            <w:r w:rsidRPr="001469C7">
              <w:rPr>
                <w:rFonts w:asciiTheme="minorHAnsi" w:hAnsiTheme="minorHAnsi" w:cstheme="minorHAnsi"/>
                <w:b/>
                <w:sz w:val="18"/>
                <w:szCs w:val="18"/>
                <w:u w:val="single"/>
              </w:rPr>
              <w:t>Data Quality Framework Dimensions</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Institutional environment</w:t>
            </w:r>
          </w:p>
        </w:tc>
        <w:tc>
          <w:tcPr>
            <w:tcW w:w="7169" w:type="dxa"/>
            <w:shd w:val="clear" w:color="auto" w:fill="auto"/>
          </w:tcPr>
          <w:p w:rsidR="00634798" w:rsidRPr="001469C7" w:rsidRDefault="00634798"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Data Collector(s): The Patient Experience Survey is a topic on the Multipurpose Household Survey. It is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634798" w:rsidRPr="001469C7" w:rsidRDefault="00634798"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For more information on the institutional environment of the ABS, including the legislative obligations of the ABS, financing and governance arrangements, and mechanisms for scrutiny of ABS operations, please see </w:t>
            </w:r>
            <w:r w:rsidRPr="001469C7">
              <w:rPr>
                <w:rFonts w:asciiTheme="minorHAnsi" w:hAnsiTheme="minorHAnsi" w:cstheme="minorHAnsi"/>
                <w:sz w:val="18"/>
                <w:szCs w:val="18"/>
                <w:u w:val="single"/>
              </w:rPr>
              <w:t>ABS Institutional Environment</w:t>
            </w:r>
          </w:p>
          <w:p w:rsidR="00634798" w:rsidRPr="001469C7" w:rsidRDefault="00634798"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Collection authority: The Census and Statistics Act 1905 and the Australian Bureau of Statistics Act 1975.</w:t>
            </w:r>
          </w:p>
          <w:p w:rsidR="00634798" w:rsidRPr="001469C7" w:rsidRDefault="00634798"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Data Compiler(s): Data is compiled by the Health section of the Australian Bureau of Statistics (ABS).</w:t>
            </w:r>
          </w:p>
          <w:p w:rsidR="00950E2C" w:rsidRPr="001469C7" w:rsidRDefault="00634798" w:rsidP="009E4756">
            <w:pPr>
              <w:pStyle w:val="TableBodyText"/>
              <w:keepNext w:val="0"/>
              <w:keepLines w:val="0"/>
              <w:widowControl w:val="0"/>
              <w:jc w:val="both"/>
              <w:rPr>
                <w:rFonts w:asciiTheme="minorHAnsi" w:hAnsiTheme="minorHAnsi" w:cstheme="minorHAnsi"/>
                <w:szCs w:val="18"/>
              </w:rPr>
            </w:pPr>
            <w:r w:rsidRPr="001469C7">
              <w:rPr>
                <w:rFonts w:asciiTheme="minorHAnsi" w:hAnsiTheme="minorHAnsi" w:cstheme="minorHAnsi"/>
                <w:szCs w:val="18"/>
              </w:rPr>
              <w:t>Statistical confidentiality is guaranteed under the Census and Statistics Act 1905 and the Australian Bureau of Statistics Act 1975. The ABS notifies the public through a note on the website when an error in data has been identified. The data is withdrawn, and the publication is re-released with the correct data. Key users are also notified where possible.</w:t>
            </w:r>
          </w:p>
        </w:tc>
      </w:tr>
      <w:tr w:rsidR="00634798" w:rsidRPr="00634798"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Relevance</w:t>
            </w:r>
          </w:p>
        </w:tc>
        <w:tc>
          <w:tcPr>
            <w:tcW w:w="7169" w:type="dxa"/>
            <w:shd w:val="clear" w:color="auto" w:fill="auto"/>
          </w:tcPr>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Level of Geography: Data is available by State/Territory, Sex, 2011 SEIFA (Index of Relative Socio-economic Disadvantage) and 2011 Remoteness (major cities, inner and outer regional, remote and very remote Australia).</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Data Completeness: All data is available for this indicator from this source.</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Numerator/Denominator Source: Same data source.</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Data for this indicator was collected for all persons in Australia aged 15 years and over, excluding the following people: </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 xml:space="preserve">members of the Australian permanent defence forces </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 xml:space="preserve">diplomatic personnel of overseas governments, customarily excluded from census and estimated population counts </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 xml:space="preserve">overseas residents in Australia </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members of non-Australian defence forces (and their dependents)</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people living in non-private dwellings such as hotels, university residences, boarding schools, hospitals, retirement homes, homes for people with disabilities, and prisons.</w:t>
            </w:r>
          </w:p>
          <w:p w:rsidR="003F167A" w:rsidRPr="001469C7" w:rsidRDefault="003F167A" w:rsidP="009E4756">
            <w:pPr>
              <w:pStyle w:val="TableBullet"/>
              <w:keepNext w:val="0"/>
              <w:keepLines w:val="0"/>
              <w:widowControl w:val="0"/>
              <w:rPr>
                <w:rFonts w:asciiTheme="minorHAnsi" w:hAnsiTheme="minorHAnsi" w:cstheme="minorHAnsi"/>
                <w:szCs w:val="18"/>
              </w:rPr>
            </w:pPr>
            <w:r w:rsidRPr="001469C7">
              <w:rPr>
                <w:rFonts w:asciiTheme="minorHAnsi" w:hAnsiTheme="minorHAnsi" w:cstheme="minorHAnsi"/>
                <w:szCs w:val="18"/>
              </w:rPr>
              <w:t>People living in discrete indigenous communities</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The 2011-12 iteration of the Patient Experience survey was the first to include households in very remote areas, (although it still excluded discrete indigenous communities). The 2013-14 iteration continues to include data from very remote areas. The inclusion of very remote areas will serve to improve the coverage of the estimates, particularly for the Northern Territory. Small differences evident in the NT estimates between 2010-11 and 2011-12 may in part be due to the inclusion of households in very remote areas. </w:t>
            </w:r>
          </w:p>
          <w:p w:rsidR="00950E2C" w:rsidRPr="001469C7" w:rsidRDefault="003F167A" w:rsidP="009E4756">
            <w:pPr>
              <w:pStyle w:val="TableBodyText"/>
              <w:keepNext w:val="0"/>
              <w:keepLines w:val="0"/>
              <w:widowControl w:val="0"/>
              <w:autoSpaceDE w:val="0"/>
              <w:autoSpaceDN w:val="0"/>
              <w:adjustRightInd w:val="0"/>
              <w:spacing w:line="240" w:lineRule="auto"/>
              <w:ind w:left="0" w:right="0"/>
              <w:jc w:val="left"/>
              <w:rPr>
                <w:rFonts w:asciiTheme="minorHAnsi" w:hAnsiTheme="minorHAnsi" w:cstheme="minorHAnsi"/>
                <w:szCs w:val="18"/>
              </w:rPr>
            </w:pPr>
            <w:r w:rsidRPr="001469C7">
              <w:rPr>
                <w:rFonts w:asciiTheme="minorHAnsi" w:hAnsiTheme="minorHAnsi" w:cstheme="minorHAnsi"/>
                <w:szCs w:val="18"/>
              </w:rPr>
              <w:t xml:space="preserve">Data was self-reported for this indicator. Persons who were interviewed by proxy were </w:t>
            </w:r>
            <w:r w:rsidRPr="001469C7">
              <w:rPr>
                <w:rFonts w:asciiTheme="minorHAnsi" w:hAnsiTheme="minorHAnsi" w:cstheme="minorHAnsi"/>
                <w:szCs w:val="18"/>
              </w:rPr>
              <w:lastRenderedPageBreak/>
              <w:t>excluded.</w:t>
            </w:r>
          </w:p>
        </w:tc>
      </w:tr>
      <w:tr w:rsidR="00634798" w:rsidRPr="00634798"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lastRenderedPageBreak/>
              <w:t>Timeliness</w:t>
            </w:r>
          </w:p>
        </w:tc>
        <w:tc>
          <w:tcPr>
            <w:tcW w:w="7169" w:type="dxa"/>
          </w:tcPr>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Collection interval/s: Patient Experience data is collected annually.</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Data available: The 2013-14 data used for this indicator became available from 28 November 2014.</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Referenced Period: July 2013 to June 2014.</w:t>
            </w:r>
          </w:p>
          <w:p w:rsidR="00950E2C" w:rsidRPr="001469C7" w:rsidRDefault="003F167A" w:rsidP="009E4756">
            <w:pPr>
              <w:pStyle w:val="TableBodyText"/>
              <w:keepNext w:val="0"/>
              <w:keepLines w:val="0"/>
              <w:widowControl w:val="0"/>
              <w:autoSpaceDE w:val="0"/>
              <w:autoSpaceDN w:val="0"/>
              <w:adjustRightInd w:val="0"/>
              <w:spacing w:line="240" w:lineRule="auto"/>
              <w:ind w:left="0" w:right="0"/>
              <w:jc w:val="left"/>
              <w:rPr>
                <w:rFonts w:asciiTheme="minorHAnsi" w:hAnsiTheme="minorHAnsi" w:cstheme="minorHAnsi"/>
                <w:szCs w:val="18"/>
              </w:rPr>
            </w:pPr>
            <w:r w:rsidRPr="001469C7">
              <w:rPr>
                <w:rFonts w:asciiTheme="minorHAnsi" w:hAnsiTheme="minorHAnsi" w:cstheme="minorHAnsi"/>
                <w:szCs w:val="18"/>
              </w:rPr>
              <w:t>There are not likely to be revisions to this data after its release.</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Accuracy</w:t>
            </w:r>
          </w:p>
        </w:tc>
        <w:tc>
          <w:tcPr>
            <w:tcW w:w="7169" w:type="dxa"/>
          </w:tcPr>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r w:rsidRPr="001469C7">
              <w:rPr>
                <w:rFonts w:asciiTheme="minorHAnsi" w:hAnsiTheme="minorHAnsi" w:cstheme="minorHAnsi"/>
                <w:sz w:val="18"/>
                <w:szCs w:val="18"/>
              </w:rPr>
              <w:br/>
              <w:t>The data was predominantly collected by computer assisted telephone interview, although the HSS interviews were predominantly conducted face-to-face. MPHS PEx included one person aged 15 years and over from each household, while the HSS included two persons aged 15 and over from each household.</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face-to-face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Response rate and sample size: The response rate in 2013-14 to the MPHS PEx was 77</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w:t>
            </w:r>
            <w:r w:rsidR="00A55480" w:rsidRPr="001469C7">
              <w:rPr>
                <w:rFonts w:asciiTheme="minorHAnsi" w:hAnsiTheme="minorHAnsi" w:cstheme="minorHAnsi"/>
                <w:sz w:val="18"/>
                <w:szCs w:val="18"/>
              </w:rPr>
              <w:t>27 </w:t>
            </w:r>
            <w:r w:rsidRPr="001469C7">
              <w:rPr>
                <w:rFonts w:asciiTheme="minorHAnsi" w:hAnsiTheme="minorHAnsi" w:cstheme="minorHAnsi"/>
                <w:sz w:val="18"/>
                <w:szCs w:val="18"/>
              </w:rPr>
              <w:t>327 fully responding persons) while the response rate to HSS was 83</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(8</w:t>
            </w:r>
            <w:r w:rsidR="00A55480" w:rsidRPr="001469C7">
              <w:rPr>
                <w:rFonts w:asciiTheme="minorHAnsi" w:hAnsiTheme="minorHAnsi" w:cstheme="minorHAnsi"/>
                <w:sz w:val="18"/>
                <w:szCs w:val="18"/>
              </w:rPr>
              <w:t> </w:t>
            </w:r>
            <w:r w:rsidRPr="001469C7">
              <w:rPr>
                <w:rFonts w:asciiTheme="minorHAnsi" w:hAnsiTheme="minorHAnsi" w:cstheme="minorHAnsi"/>
                <w:sz w:val="18"/>
                <w:szCs w:val="18"/>
              </w:rPr>
              <w:t>541 fully responding persons) resulting in a total sample size of 35</w:t>
            </w:r>
            <w:r w:rsidR="00A55480" w:rsidRPr="001469C7">
              <w:rPr>
                <w:rFonts w:asciiTheme="minorHAnsi" w:hAnsiTheme="minorHAnsi" w:cstheme="minorHAnsi"/>
                <w:sz w:val="18"/>
                <w:szCs w:val="18"/>
              </w:rPr>
              <w:t> </w:t>
            </w:r>
            <w:r w:rsidRPr="001469C7">
              <w:rPr>
                <w:rFonts w:asciiTheme="minorHAnsi" w:hAnsiTheme="minorHAnsi" w:cstheme="minorHAnsi"/>
                <w:sz w:val="18"/>
                <w:szCs w:val="18"/>
              </w:rPr>
              <w:t xml:space="preserve">868 fully responding persons. This included 629 proxy interviews for people aged 15 to 17 where permission was not given by a parent or guardian for a personal interview.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Note this is a substantial increase from the 2012-13 sample size of 30</w:t>
            </w:r>
            <w:r w:rsidR="00A55480" w:rsidRPr="001469C7">
              <w:rPr>
                <w:rFonts w:asciiTheme="minorHAnsi" w:hAnsiTheme="minorHAnsi" w:cstheme="minorHAnsi"/>
                <w:sz w:val="18"/>
                <w:szCs w:val="18"/>
              </w:rPr>
              <w:t> </w:t>
            </w:r>
            <w:r w:rsidRPr="001469C7">
              <w:rPr>
                <w:rFonts w:asciiTheme="minorHAnsi" w:hAnsiTheme="minorHAnsi" w:cstheme="minorHAnsi"/>
                <w:sz w:val="18"/>
                <w:szCs w:val="18"/>
              </w:rPr>
              <w:t xml:space="preserve">749. This increase will improve the reliability of the data, particularly at finer levels of disaggregation.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Data Adjustments: Data was weighted to represent the total in scope Australian population, and was adjusted to account for confidentiality and non-response. Data for MPHS PEx and HSS were weighted separately.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Confidentiality:</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For the first time in 2013-14,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3F167A" w:rsidRPr="001469C7" w:rsidRDefault="003F167A" w:rsidP="009E4756">
            <w:pPr>
              <w:widowControl w:val="0"/>
              <w:tabs>
                <w:tab w:val="left" w:pos="-1332"/>
                <w:tab w:val="left" w:pos="-612"/>
                <w:tab w:val="left" w:pos="108"/>
                <w:tab w:val="left" w:pos="828"/>
                <w:tab w:val="left" w:pos="1548"/>
                <w:tab w:val="left" w:pos="2268"/>
                <w:tab w:val="left" w:pos="2988"/>
                <w:tab w:val="left" w:pos="31327"/>
              </w:tabs>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After perturbation, a given published cell value will be consistent across all tables. However, adding up cell values to derive a total will not necessarily give the same result as published totals.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confidence intervals. Estimates with a relative standard error between 25</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and 50</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should be used with caution, and estimates with a relative standard error over 50</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are considered too unreliable for general use.</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This indicator generally has acceptable levels of sampling error and provides reliable data for most breakdowns.  However, RSEs for remote/very remote breakdowns are mostly greater than 25</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and should either be used with caution or are considered too unreliable for general use. Similarly, data for the “other” remoteness category has high RSEs when cross classified by State. Caution should be used when interpreting these data.</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The data for this indicator is attitudinal, as it collects whether people felt they waited too </w:t>
            </w:r>
            <w:r w:rsidRPr="001469C7">
              <w:rPr>
                <w:rFonts w:asciiTheme="minorHAnsi" w:hAnsiTheme="minorHAnsi" w:cstheme="minorHAnsi"/>
                <w:sz w:val="18"/>
                <w:szCs w:val="18"/>
              </w:rPr>
              <w:lastRenderedPageBreak/>
              <w:t xml:space="preserve">long to get an appointment with a GP, and whether the person felt the health professional in question spent enough time with them, listened carefully and showed them respect (the ‘patient satisfaction’ questions).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Data is used from personal interviews only (i.e. excluding proxy interviews).</w:t>
            </w:r>
          </w:p>
          <w:p w:rsidR="00950E2C" w:rsidRPr="001469C7" w:rsidRDefault="003F167A" w:rsidP="009E4756">
            <w:pPr>
              <w:pStyle w:val="TableBodyText"/>
              <w:keepNext w:val="0"/>
              <w:keepLines w:val="0"/>
              <w:widowControl w:val="0"/>
              <w:autoSpaceDE w:val="0"/>
              <w:autoSpaceDN w:val="0"/>
              <w:adjustRightInd w:val="0"/>
              <w:spacing w:line="240" w:lineRule="auto"/>
              <w:ind w:left="0" w:right="0"/>
              <w:jc w:val="left"/>
              <w:rPr>
                <w:rFonts w:asciiTheme="minorHAnsi" w:hAnsiTheme="minorHAnsi" w:cstheme="minorHAnsi"/>
                <w:szCs w:val="18"/>
              </w:rPr>
            </w:pPr>
            <w:r w:rsidRPr="001469C7">
              <w:rPr>
                <w:rFonts w:asciiTheme="minorHAnsi" w:hAnsiTheme="minorHAnsi" w:cstheme="minorHAnsi"/>
                <w:szCs w:val="18"/>
              </w:rPr>
              <w:t>Explanatory footnotes are provided for each table.</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lastRenderedPageBreak/>
              <w:t>Coherence</w:t>
            </w:r>
          </w:p>
        </w:tc>
        <w:tc>
          <w:tcPr>
            <w:tcW w:w="7169" w:type="dxa"/>
          </w:tcPr>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Consistency over time: 2009 was the first year data was collected for this indicator.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Time series issues for unacceptable waiting times for GPs: Data for  2013-14 is comparable to 2012-13, but not prior to this (ie not comparable to 2011-12 or 2010-11). While the question wording itself did not change, the position in the survey (ie where the question was asked) changed in 2011-12 and again in 2012-13. There has been a noticeable contextual effect with this change in question ordering, and ABS recommends that this data item is not comparable over time. This has been footnoted in the relevant tables.</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Numerator/denominator: The numerator and denominator are directly comparable, one being a sub-population of the other.</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The numerator and denominator are compiled from a single source.</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Jurisdiction estimate calculation: Jurisdiction estimates are calculated the same way, although the exclusion of discrete indigenous communities in the sample will affect the NT more than it affects other jurisdictions.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Jurisdiction/Australia estimate calculation: All estimates are compiled the same way.</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Collections across populations: Data is collected the same way across all jurisdictions.</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The Patient Experience survey provides the only national data available for this indicator. At this stage, there are no other comparable data sources.</w:t>
            </w:r>
          </w:p>
          <w:p w:rsidR="00950E2C"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Due to differences in survey scope, collection methodology and question wording, these data are not comparable to data from the 2012-13 Australian Aboriginal and Torres Strait Islander Health Survey (AATSIHS).</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Accessibility</w:t>
            </w:r>
          </w:p>
        </w:tc>
        <w:tc>
          <w:tcPr>
            <w:tcW w:w="7169" w:type="dxa"/>
          </w:tcPr>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Data publicly available. Tables showing patients experiences with health professionals are available in Health Services: Patient Experiences in Australia, 2009 (cat. no. 4839.0.55.001), Patient Experiences in Australia: Summary of Findings, 2010-11, Patient Experiences in Australia: Summary of Findings, 2011-12, Patient Experiences in Australia: Summary of Findings, 2012-13 and Patient Experiences in Australia: Summary of Findings, 2013-14 (cat. no. 4839.0).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Data for this indicator is shown by age, sex, SEIFA and remoteness. Jurisdictional data is not currently publicly available but may be made available in the future.</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Data is not available prior to public access.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Supplementary data is available. Additional data from the Patient Experience Survey is available upon request.</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Access permission/Restrictions: Customised data requests may incur a charge.</w:t>
            </w:r>
          </w:p>
          <w:p w:rsidR="00950E2C"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Contact Details: For more information, please call the ABS National Information and Referral Service on 1300 135 070.</w:t>
            </w:r>
          </w:p>
        </w:tc>
      </w:tr>
      <w:tr w:rsidR="001469C7" w:rsidRPr="001469C7" w:rsidTr="009F4002">
        <w:tc>
          <w:tcPr>
            <w:tcW w:w="1620" w:type="dxa"/>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Interpretability</w:t>
            </w:r>
          </w:p>
        </w:tc>
        <w:tc>
          <w:tcPr>
            <w:tcW w:w="7169" w:type="dxa"/>
          </w:tcPr>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Context: This data was collected from a representative sample of the Australian population and questions were asked in context of the year prior to the survey. The data was collected over a twelve month period and therefore should minimise any seasonality effects in the data. </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Other Supporting information: The ABS Patient Experience data is published in Patient Experiences in Australia: Summary of Findings, 2013-14 (cat. no. 4839.0). This publication includes explanatory and technical notes.</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Socioeconomic status definition: The SEIFA Index of Relative Socio-economic Disadvantage uses a broad definition of relative socio-economic disadvantage in terms of people's access to material and social resources, and their ability to participate in society. While SEIFA represents an average of all people living in an area, it does not represent the individual situation of each person. Larger areas are more likely to have greater diversity of people and households.</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Socioeconomic status derivation: The 2011 SEIFA index of relative socio-economic disadvantage is derived from Census variables related to disadvantage, such as low income, low educational attainment, unemployment, and dwellings without motor vehicles.</w:t>
            </w:r>
          </w:p>
          <w:p w:rsidR="003F167A"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Socioeconomic status deciles derivation: Deciles are based on an equal number of areas. A score for a collection district (CD) is created by adding together the weighted characteristics of that CD. The scores for all CDs are then standardised to a distribution where the average equals 1000 and roughly two-thirds of the scores lie between 900 </w:t>
            </w:r>
            <w:r w:rsidRPr="001469C7">
              <w:rPr>
                <w:rFonts w:asciiTheme="minorHAnsi" w:hAnsiTheme="minorHAnsi" w:cstheme="minorHAnsi"/>
                <w:sz w:val="18"/>
                <w:szCs w:val="18"/>
              </w:rPr>
              <w:lastRenderedPageBreak/>
              <w:t>and 1100.The CDs are ranked in order of their score, from lowest to highest. Decile 1 contains the bottom 10</w:t>
            </w:r>
            <w:r w:rsidR="00A55480" w:rsidRPr="001469C7">
              <w:rPr>
                <w:rFonts w:asciiTheme="minorHAnsi" w:hAnsiTheme="minorHAnsi" w:cstheme="minorHAnsi"/>
                <w:sz w:val="18"/>
                <w:szCs w:val="18"/>
              </w:rPr>
              <w:t xml:space="preserve"> per cent </w:t>
            </w:r>
            <w:r w:rsidRPr="001469C7">
              <w:rPr>
                <w:rFonts w:asciiTheme="minorHAnsi" w:hAnsiTheme="minorHAnsi" w:cstheme="minorHAnsi"/>
                <w:sz w:val="18"/>
                <w:szCs w:val="18"/>
              </w:rPr>
              <w:t>of CDs, Decile 2 contains the next 10</w:t>
            </w:r>
            <w:r w:rsidR="00A55480" w:rsidRPr="001469C7">
              <w:rPr>
                <w:rFonts w:asciiTheme="minorHAnsi" w:hAnsiTheme="minorHAnsi" w:cstheme="minorHAnsi"/>
                <w:sz w:val="18"/>
                <w:szCs w:val="18"/>
              </w:rPr>
              <w:t xml:space="preserve"> per cent</w:t>
            </w:r>
            <w:r w:rsidRPr="001469C7">
              <w:rPr>
                <w:rFonts w:asciiTheme="minorHAnsi" w:hAnsiTheme="minorHAnsi" w:cstheme="minorHAnsi"/>
                <w:sz w:val="18"/>
                <w:szCs w:val="18"/>
              </w:rPr>
              <w:t xml:space="preserve"> of CDs and so on. Further information on SEIFA can be found in the ABS Technical paper </w:t>
            </w:r>
            <w:r w:rsidRPr="001469C7">
              <w:rPr>
                <w:rFonts w:asciiTheme="minorHAnsi" w:hAnsiTheme="minorHAnsi" w:cstheme="minorHAnsi"/>
                <w:i/>
                <w:sz w:val="18"/>
                <w:szCs w:val="18"/>
                <w:u w:val="single"/>
              </w:rPr>
              <w:t xml:space="preserve">Socio-Economic Indexes for Areas 2011 </w:t>
            </w:r>
            <w:r w:rsidRPr="001469C7">
              <w:rPr>
                <w:rFonts w:asciiTheme="minorHAnsi" w:hAnsiTheme="minorHAnsi" w:cstheme="minorHAnsi"/>
                <w:sz w:val="18"/>
                <w:szCs w:val="18"/>
                <w:u w:val="single"/>
              </w:rPr>
              <w:t>(cat. No. 2033.0.55.001).</w:t>
            </w:r>
          </w:p>
          <w:p w:rsidR="00950E2C" w:rsidRPr="001469C7" w:rsidRDefault="003F167A" w:rsidP="009E4756">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Any ambiguous or technical terms for the data are available from the Technical Note, Glossary and Explanatory Notes in Patient Experiences in Australia: Summary of Findings, 2013-14 (cat. no. 4839.0).</w:t>
            </w:r>
          </w:p>
        </w:tc>
      </w:tr>
      <w:tr w:rsidR="001469C7" w:rsidRPr="001469C7" w:rsidTr="009F4002">
        <w:tc>
          <w:tcPr>
            <w:tcW w:w="8789" w:type="dxa"/>
            <w:gridSpan w:val="2"/>
            <w:vAlign w:val="bottom"/>
          </w:tcPr>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rPr>
            </w:pPr>
          </w:p>
          <w:p w:rsidR="00950E2C" w:rsidRPr="001469C7" w:rsidRDefault="00950E2C" w:rsidP="009E4756">
            <w:pPr>
              <w:widowControl w:val="0"/>
              <w:spacing w:after="40" w:line="200" w:lineRule="atLeast"/>
              <w:ind w:left="6" w:right="113"/>
              <w:jc w:val="both"/>
              <w:rPr>
                <w:rFonts w:asciiTheme="minorHAnsi" w:hAnsiTheme="minorHAnsi" w:cstheme="minorHAnsi"/>
                <w:b/>
                <w:sz w:val="18"/>
                <w:szCs w:val="18"/>
                <w:u w:val="single"/>
              </w:rPr>
            </w:pPr>
            <w:r w:rsidRPr="001469C7">
              <w:rPr>
                <w:rFonts w:asciiTheme="minorHAnsi" w:hAnsiTheme="minorHAnsi" w:cstheme="minorHAnsi"/>
                <w:b/>
                <w:sz w:val="18"/>
                <w:szCs w:val="18"/>
                <w:u w:val="single"/>
              </w:rPr>
              <w:t>Data Gaps/Issues Analysis</w:t>
            </w:r>
          </w:p>
        </w:tc>
      </w:tr>
      <w:tr w:rsidR="001469C7" w:rsidRPr="001469C7" w:rsidTr="009F4002">
        <w:tc>
          <w:tcPr>
            <w:tcW w:w="1620" w:type="dxa"/>
          </w:tcPr>
          <w:p w:rsidR="00950E2C" w:rsidRPr="001469C7" w:rsidRDefault="00950E2C" w:rsidP="009E4756">
            <w:pPr>
              <w:widowControl w:val="0"/>
              <w:spacing w:after="40" w:line="200" w:lineRule="atLeast"/>
              <w:ind w:left="6" w:right="113"/>
              <w:rPr>
                <w:rFonts w:asciiTheme="minorHAnsi" w:hAnsiTheme="minorHAnsi" w:cstheme="minorHAnsi"/>
                <w:b/>
                <w:sz w:val="18"/>
                <w:szCs w:val="18"/>
              </w:rPr>
            </w:pPr>
            <w:r w:rsidRPr="001469C7">
              <w:rPr>
                <w:rFonts w:asciiTheme="minorHAnsi" w:hAnsiTheme="minorHAnsi" w:cstheme="minorHAnsi"/>
                <w:b/>
                <w:sz w:val="18"/>
                <w:szCs w:val="18"/>
              </w:rPr>
              <w:t>Key data gaps/issues</w:t>
            </w:r>
          </w:p>
        </w:tc>
        <w:tc>
          <w:tcPr>
            <w:tcW w:w="7169" w:type="dxa"/>
          </w:tcPr>
          <w:p w:rsidR="00950E2C" w:rsidRPr="001469C7" w:rsidRDefault="00950E2C" w:rsidP="009E4756">
            <w:pPr>
              <w:pStyle w:val="TableBodyText"/>
              <w:keepNext w:val="0"/>
              <w:keepLines w:val="0"/>
              <w:widowControl w:val="0"/>
              <w:jc w:val="both"/>
              <w:rPr>
                <w:rFonts w:asciiTheme="minorHAnsi" w:hAnsiTheme="minorHAnsi" w:cstheme="minorHAnsi"/>
                <w:szCs w:val="18"/>
              </w:rPr>
            </w:pPr>
            <w:r w:rsidRPr="001469C7">
              <w:rPr>
                <w:rFonts w:asciiTheme="minorHAnsi" w:hAnsiTheme="minorHAnsi" w:cstheme="minorHAnsi"/>
                <w:szCs w:val="18"/>
              </w:rPr>
              <w:t>The Steering Committee notes the following key data gaps/issues:</w:t>
            </w:r>
          </w:p>
          <w:p w:rsidR="00950E2C" w:rsidRDefault="00950E2C" w:rsidP="009E4756">
            <w:pPr>
              <w:pStyle w:val="TableBullet"/>
              <w:keepNext w:val="0"/>
              <w:keepLines w:val="0"/>
              <w:widowControl w:val="0"/>
              <w:jc w:val="both"/>
              <w:rPr>
                <w:rFonts w:asciiTheme="minorHAnsi" w:hAnsiTheme="minorHAnsi" w:cstheme="minorHAnsi"/>
                <w:szCs w:val="18"/>
              </w:rPr>
            </w:pPr>
            <w:r w:rsidRPr="001469C7">
              <w:rPr>
                <w:rFonts w:asciiTheme="minorHAnsi" w:hAnsiTheme="minorHAnsi" w:cstheme="minorHAnsi"/>
                <w:szCs w:val="18"/>
              </w:rPr>
              <w:t>State and Territory disaggregation of this indicator by Indigenous status is a priority.</w:t>
            </w:r>
          </w:p>
          <w:p w:rsidR="00950E2C" w:rsidRPr="001469C7" w:rsidRDefault="009E4756" w:rsidP="009E4756">
            <w:pPr>
              <w:pStyle w:val="TableBullet"/>
              <w:keepNext w:val="0"/>
              <w:keepLines w:val="0"/>
              <w:widowControl w:val="0"/>
              <w:rPr>
                <w:rFonts w:asciiTheme="minorHAnsi" w:hAnsiTheme="minorHAnsi" w:cstheme="minorHAnsi"/>
                <w:szCs w:val="18"/>
              </w:rPr>
            </w:pPr>
            <w:r w:rsidRPr="009E4756">
              <w:rPr>
                <w:rFonts w:asciiTheme="minorHAnsi" w:hAnsiTheme="minorHAnsi" w:cstheme="minorHAnsi"/>
                <w:szCs w:val="18"/>
              </w:rPr>
              <w:t>State and Territory disaggregation of this indicator by SES is a priority.</w:t>
            </w:r>
          </w:p>
        </w:tc>
      </w:tr>
    </w:tbl>
    <w:p w:rsidR="0090363E" w:rsidRDefault="0090363E" w:rsidP="0090363E">
      <w:pPr>
        <w:pStyle w:val="Heading3"/>
      </w:pPr>
      <w:bookmarkStart w:id="15" w:name="_Toc401912932"/>
      <w:r>
        <w:t>Caesareans and inductions for selected primiparae</w:t>
      </w:r>
      <w:bookmarkEnd w:id="15"/>
    </w:p>
    <w:p w:rsidR="0090363E" w:rsidRDefault="0090363E" w:rsidP="0090363E">
      <w:pPr>
        <w:pStyle w:val="BodyText"/>
      </w:pPr>
      <w:r>
        <w:t>Data quality information for this indicator has been sourced from states and territories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7957BE" w:rsidRPr="003846CE" w:rsidTr="009F4002">
        <w:tc>
          <w:tcPr>
            <w:tcW w:w="1620" w:type="dxa"/>
          </w:tcPr>
          <w:p w:rsidR="007957BE" w:rsidRPr="003846CE" w:rsidRDefault="007957BE"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7957BE" w:rsidRPr="00512C7C" w:rsidRDefault="007957BE" w:rsidP="007957BE">
            <w:pPr>
              <w:pStyle w:val="TableBodyText"/>
              <w:jc w:val="both"/>
              <w:rPr>
                <w:rFonts w:cs="Arial"/>
              </w:rPr>
            </w:pPr>
            <w:r w:rsidRPr="00FA0878">
              <w:rPr>
                <w:rFonts w:cs="Arial"/>
              </w:rPr>
              <w:t>Effectiveness — appropriateness</w:t>
            </w:r>
          </w:p>
        </w:tc>
      </w:tr>
      <w:tr w:rsidR="007957BE" w:rsidRPr="003846CE" w:rsidTr="009F4002">
        <w:tc>
          <w:tcPr>
            <w:tcW w:w="1620" w:type="dxa"/>
          </w:tcPr>
          <w:p w:rsidR="007957BE" w:rsidRPr="003846CE" w:rsidRDefault="007957BE"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7957BE" w:rsidRPr="002B1286" w:rsidRDefault="007957BE" w:rsidP="007957BE">
            <w:pPr>
              <w:pStyle w:val="TableBodyText"/>
              <w:jc w:val="both"/>
            </w:pPr>
            <w:r w:rsidRPr="00FA0878">
              <w:t>Caesareans and inductions for selected primiparae</w:t>
            </w:r>
          </w:p>
        </w:tc>
      </w:tr>
      <w:tr w:rsidR="007957BE" w:rsidRPr="003846CE" w:rsidTr="009F4002">
        <w:tc>
          <w:tcPr>
            <w:tcW w:w="1620" w:type="dxa"/>
          </w:tcPr>
          <w:p w:rsidR="007957BE" w:rsidRDefault="007957B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7957BE" w:rsidRPr="003846CE" w:rsidRDefault="007957B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7957BE" w:rsidRPr="00430A27" w:rsidRDefault="007957BE" w:rsidP="007957BE">
            <w:pPr>
              <w:pStyle w:val="TableBodyText"/>
              <w:jc w:val="both"/>
            </w:pPr>
            <w:r w:rsidRPr="00430A27">
              <w:t xml:space="preserve">Caesareans and inductions for selected primiparae’ are defined as the number of inductions or caesareans for the selected primiparae divided respectively by the number of the selected primiparae who gave birth. </w:t>
            </w:r>
          </w:p>
          <w:p w:rsidR="007957BE" w:rsidRDefault="007957BE" w:rsidP="007957BE">
            <w:pPr>
              <w:pStyle w:val="TableBodyText"/>
              <w:jc w:val="both"/>
            </w:pPr>
            <w:r w:rsidRPr="00430A27">
              <w:t>Rates are reported for women aged between 2</w:t>
            </w:r>
            <w:r w:rsidR="00FE2943">
              <w:t>0</w:t>
            </w:r>
            <w:r w:rsidRPr="00430A27">
              <w:t xml:space="preserve"> and </w:t>
            </w:r>
            <w:r w:rsidR="00FE2943">
              <w:t>34</w:t>
            </w:r>
            <w:r w:rsidRPr="00430A27">
              <w:t xml:space="preserve"> years who have had no previous deliveries, with a vertex presentation (that is, the crown of the baby’s head is at the lower segment of the mother’s uterus) and a gestation length of 37 to 41 weeks. This group is considered to be low risk parturients, so caesarean or induction rates should be low in their population.</w:t>
            </w:r>
          </w:p>
          <w:p w:rsidR="007957BE" w:rsidRPr="00430A27" w:rsidRDefault="007957BE" w:rsidP="007957BE">
            <w:pPr>
              <w:pStyle w:val="TableBodyText"/>
              <w:jc w:val="both"/>
            </w:pPr>
            <w:r w:rsidRPr="008D23EB">
              <w:t xml:space="preserve">Primiparae refers to a woman who has given birth to a liveborn or stillborn infant for the first time. </w:t>
            </w:r>
            <w:r w:rsidRPr="00430A27">
              <w:t>Parturient means ‘about to give birth’</w:t>
            </w:r>
          </w:p>
        </w:tc>
      </w:tr>
      <w:tr w:rsidR="007957BE" w:rsidRPr="003846CE" w:rsidTr="009F4002">
        <w:tc>
          <w:tcPr>
            <w:tcW w:w="1620" w:type="dxa"/>
          </w:tcPr>
          <w:p w:rsidR="007957BE" w:rsidRPr="003846CE" w:rsidRDefault="007957BE"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7957BE" w:rsidRPr="00430A27" w:rsidRDefault="007957BE" w:rsidP="007957BE">
            <w:pPr>
              <w:pStyle w:val="TableBodyText"/>
              <w:jc w:val="both"/>
            </w:pPr>
            <w:r w:rsidRPr="00430A27">
              <w:t xml:space="preserve">This indicator is calculated using data from states and territories. </w:t>
            </w:r>
          </w:p>
        </w:tc>
      </w:tr>
      <w:tr w:rsidR="007957BE" w:rsidRPr="003846CE" w:rsidTr="009F4002">
        <w:tc>
          <w:tcPr>
            <w:tcW w:w="8789" w:type="dxa"/>
            <w:gridSpan w:val="2"/>
            <w:vAlign w:val="bottom"/>
          </w:tcPr>
          <w:p w:rsidR="007957BE" w:rsidRDefault="007957BE" w:rsidP="00905501">
            <w:pPr>
              <w:widowControl w:val="0"/>
              <w:spacing w:after="40" w:line="200" w:lineRule="atLeast"/>
              <w:ind w:left="6" w:right="113"/>
              <w:jc w:val="both"/>
              <w:rPr>
                <w:rFonts w:ascii="Arial" w:hAnsi="Arial"/>
                <w:b/>
                <w:color w:val="000000"/>
                <w:sz w:val="18"/>
                <w:szCs w:val="20"/>
              </w:rPr>
            </w:pPr>
          </w:p>
          <w:p w:rsidR="007957BE" w:rsidRPr="003846CE" w:rsidRDefault="007957BE"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7957BE" w:rsidRPr="003846CE" w:rsidTr="009F4002">
        <w:tc>
          <w:tcPr>
            <w:tcW w:w="1620" w:type="dxa"/>
          </w:tcPr>
          <w:p w:rsidR="007957BE" w:rsidRPr="003846CE" w:rsidRDefault="007957BE"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7957BE" w:rsidRPr="00430A27" w:rsidRDefault="007957BE" w:rsidP="007957BE">
            <w:pPr>
              <w:pStyle w:val="TableBodyText"/>
              <w:jc w:val="both"/>
            </w:pPr>
            <w:r w:rsidRPr="00430A27">
              <w:t>Data were supplied by State and Territory health authorities.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7957BE" w:rsidRPr="00430A27" w:rsidRDefault="007957BE" w:rsidP="0037635B">
            <w:pPr>
              <w:pStyle w:val="TableBodyText"/>
              <w:keepNext w:val="0"/>
              <w:keepLines w:val="0"/>
              <w:widowControl w:val="0"/>
              <w:jc w:val="both"/>
            </w:pPr>
            <w:r w:rsidRPr="00430A27">
              <w:t xml:space="preserve">High intervention rates can indicate a need for investigation, although labour inductions and birth by caesarean section are interventions that are appropriate in some circumstances, depending on the health and wellbeing of mothers and babies.  </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7957BE" w:rsidRPr="00430A27" w:rsidRDefault="007957BE" w:rsidP="00FE2943">
            <w:pPr>
              <w:pStyle w:val="TableBodyText"/>
              <w:keepNext w:val="0"/>
              <w:keepLines w:val="0"/>
              <w:widowControl w:val="0"/>
              <w:jc w:val="both"/>
            </w:pPr>
            <w:r w:rsidRPr="00430A27">
              <w:t>The reference period for the data is 201</w:t>
            </w:r>
            <w:r w:rsidR="00FE2943">
              <w:t>3</w:t>
            </w:r>
            <w:r w:rsidRPr="00430A27">
              <w:t>. Collection of data is annual.</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7957BE" w:rsidRPr="0030504C" w:rsidRDefault="007957BE" w:rsidP="0037635B">
            <w:pPr>
              <w:pStyle w:val="TableBodyText"/>
              <w:keepNext w:val="0"/>
              <w:keepLines w:val="0"/>
              <w:widowControl w:val="0"/>
              <w:tabs>
                <w:tab w:val="left" w:pos="434"/>
                <w:tab w:val="left" w:pos="1316"/>
              </w:tabs>
              <w:jc w:val="both"/>
            </w:pPr>
            <w:r w:rsidRPr="0030504C">
              <w:t>Inaccurate responses may occur in all data provided to the Review. The Review does not have direct access to perinatal records to determine the accuracy of the data provided. However, the Review undertakes validation on receipt of data. Data received from states and territories are checked for completeness, validity and logical errors. Potential errors are queried with jurisdictions, and corrections and resubmissions are made in response to these edit queries. The Review does not adjust data to account for possible data errors.</w:t>
            </w:r>
          </w:p>
          <w:p w:rsidR="007957BE" w:rsidRPr="0030504C" w:rsidRDefault="007957BE" w:rsidP="0037635B">
            <w:pPr>
              <w:pStyle w:val="TableBodyText"/>
              <w:keepNext w:val="0"/>
              <w:keepLines w:val="0"/>
              <w:widowControl w:val="0"/>
              <w:tabs>
                <w:tab w:val="left" w:pos="434"/>
                <w:tab w:val="left" w:pos="1316"/>
              </w:tabs>
              <w:jc w:val="both"/>
            </w:pPr>
            <w:r w:rsidRPr="0030504C">
              <w:t xml:space="preserve">Errors may occur during the processing of data by the states and territories or at the Review. Processing errors prior to data supply may be found through the validation checks applied by the Review. This indicator is calculated on data that has been reported to the Review. Prior to publication, these data are referred back to jurisdictions for checking and review. The Review does not adjust the data to correct for missing values. </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FE2943" w:rsidRDefault="00FE2943" w:rsidP="0037635B">
            <w:pPr>
              <w:pStyle w:val="TableBodyText"/>
              <w:keepNext w:val="0"/>
              <w:keepLines w:val="0"/>
              <w:widowControl w:val="0"/>
              <w:jc w:val="both"/>
            </w:pPr>
            <w:r>
              <w:t>T</w:t>
            </w:r>
            <w:r w:rsidRPr="00FE2943">
              <w:t xml:space="preserve">he age group of women used for this indicator has been changed from 25–29 years </w:t>
            </w:r>
            <w:r w:rsidRPr="00FE2943">
              <w:lastRenderedPageBreak/>
              <w:t xml:space="preserve">to 20–34 years </w:t>
            </w:r>
            <w:r>
              <w:t xml:space="preserve">in the 2015 Report </w:t>
            </w:r>
            <w:r w:rsidRPr="00FE2943">
              <w:t xml:space="preserve">to align with national data definitions. All time series data in attachment tables for </w:t>
            </w:r>
            <w:r w:rsidR="00DC466C">
              <w:t>the 2015</w:t>
            </w:r>
            <w:r w:rsidRPr="00FE2943">
              <w:t xml:space="preserve"> Report have been backcast by states and territories using the 20–34 year age group. However, data for this indicator are not comparable with data in previous report editions.</w:t>
            </w:r>
          </w:p>
          <w:p w:rsidR="007957BE" w:rsidRPr="0030504C" w:rsidRDefault="007957BE" w:rsidP="0037635B">
            <w:pPr>
              <w:pStyle w:val="TableBodyText"/>
              <w:keepNext w:val="0"/>
              <w:keepLines w:val="0"/>
              <w:widowControl w:val="0"/>
              <w:jc w:val="both"/>
            </w:pPr>
            <w:r w:rsidRPr="0030504C">
              <w:t xml:space="preserve">Note that because of data editing and subsequent updates of State/Territory databases, numbers reported for this indicator can differ from those in reports published by the states and territories. </w:t>
            </w:r>
          </w:p>
          <w:p w:rsidR="007957BE" w:rsidRPr="0030504C" w:rsidRDefault="007957BE" w:rsidP="0037635B">
            <w:pPr>
              <w:pStyle w:val="TableBodyText"/>
              <w:keepNext w:val="0"/>
              <w:keepLines w:val="0"/>
              <w:widowControl w:val="0"/>
              <w:jc w:val="both"/>
            </w:pPr>
            <w:r w:rsidRPr="0030504C">
              <w:t>Changing levels of Indigenous identification over time and across jurisdictions may also affect the accuracy of compiling a consistent time series in future years.</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lastRenderedPageBreak/>
              <w:t>Accessibility</w:t>
            </w:r>
          </w:p>
        </w:tc>
        <w:tc>
          <w:tcPr>
            <w:tcW w:w="7169" w:type="dxa"/>
          </w:tcPr>
          <w:p w:rsidR="007957BE" w:rsidRPr="00681391" w:rsidRDefault="007957BE" w:rsidP="00F227D6">
            <w:pPr>
              <w:pStyle w:val="TableBodyText"/>
              <w:keepNext w:val="0"/>
              <w:keepLines w:val="0"/>
              <w:widowControl w:val="0"/>
              <w:jc w:val="both"/>
            </w:pPr>
            <w:r w:rsidRPr="00681391">
              <w:t xml:space="preserve">Data are published by states and territories and are also collected by the AIHW as part of the National Perinatal Data Collection. Note that the AIHW data are available to the Review one year later than that available to the Review by collecting data direct from states and territories. </w:t>
            </w:r>
          </w:p>
          <w:p w:rsidR="007957BE" w:rsidRPr="00681391" w:rsidRDefault="007957BE" w:rsidP="00F227D6">
            <w:pPr>
              <w:pStyle w:val="TableBodyText"/>
              <w:keepNext w:val="0"/>
              <w:keepLines w:val="0"/>
              <w:widowControl w:val="0"/>
              <w:jc w:val="both"/>
            </w:pPr>
            <w:r w:rsidRPr="00681391">
              <w:t>The AIHW provides a variety of products that draw upon the NPDC. Published products available on the AIHW website are:</w:t>
            </w:r>
          </w:p>
          <w:p w:rsidR="007957BE" w:rsidRPr="00681391" w:rsidRDefault="007957BE" w:rsidP="00F227D6">
            <w:pPr>
              <w:pStyle w:val="TableBullet"/>
              <w:jc w:val="both"/>
            </w:pPr>
            <w:r w:rsidRPr="00681391">
              <w:t>Australia’s mothers and babies annual report</w:t>
            </w:r>
          </w:p>
          <w:p w:rsidR="007957BE" w:rsidRPr="00681391" w:rsidRDefault="006B0096" w:rsidP="006B0096">
            <w:pPr>
              <w:pStyle w:val="TableBullet"/>
            </w:pPr>
            <w:r w:rsidRPr="006B0096">
              <w:t xml:space="preserve">Aboriginal and Torres Strait Islander </w:t>
            </w:r>
            <w:r w:rsidR="007957BE" w:rsidRPr="00681391">
              <w:t>mothers and their babies, Australia 2001–2004</w:t>
            </w:r>
          </w:p>
          <w:p w:rsidR="007957BE" w:rsidRPr="00681391" w:rsidRDefault="007957BE" w:rsidP="00F227D6">
            <w:pPr>
              <w:pStyle w:val="TableBullet"/>
              <w:jc w:val="both"/>
            </w:pPr>
            <w:r w:rsidRPr="00681391">
              <w:t>METeOR – online metadata repository</w:t>
            </w:r>
          </w:p>
          <w:p w:rsidR="007957BE" w:rsidRPr="00681391" w:rsidRDefault="007957BE" w:rsidP="00F227D6">
            <w:pPr>
              <w:pStyle w:val="TableBullet"/>
              <w:jc w:val="both"/>
            </w:pPr>
            <w:r w:rsidRPr="00681391">
              <w:t>National health data dictionary.</w:t>
            </w:r>
          </w:p>
          <w:p w:rsidR="007957BE" w:rsidRPr="00681391" w:rsidRDefault="007957BE" w:rsidP="00F227D6">
            <w:pPr>
              <w:pStyle w:val="TableBodyText"/>
              <w:keepNext w:val="0"/>
              <w:keepLines w:val="0"/>
              <w:widowControl w:val="0"/>
              <w:jc w:val="both"/>
            </w:pPr>
            <w:r w:rsidRPr="00681391">
              <w:t>Ad-hoc data are also available on request (charges apply to recover costs).</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7957BE" w:rsidRPr="009071B2" w:rsidRDefault="007957BE" w:rsidP="0037635B">
            <w:pPr>
              <w:pStyle w:val="TableBodyText"/>
              <w:keepNext w:val="0"/>
              <w:keepLines w:val="0"/>
              <w:widowControl w:val="0"/>
              <w:jc w:val="both"/>
            </w:pPr>
            <w:r w:rsidRPr="009071B2">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2001 to 2005. Readers are advised to read caveat information to ensure appropriate interpretation of the performance indicator. More detailed information on the quality of </w:t>
            </w:r>
            <w:r w:rsidR="006B0096" w:rsidRPr="006B0096">
              <w:t xml:space="preserve">Aboriginal and Torres Strait Islander </w:t>
            </w:r>
            <w:r w:rsidRPr="009071B2">
              <w:t xml:space="preserve">data that might affect interpretation of the indicator was published in </w:t>
            </w:r>
            <w:r w:rsidR="006B0096" w:rsidRPr="006B0096">
              <w:t xml:space="preserve">Aboriginal and Torres Strait Islander </w:t>
            </w:r>
            <w:r w:rsidRPr="009071B2">
              <w:t xml:space="preserve">mothers and their babies, Australia 2001–2004 (Chapter 1 and Chapter 5). </w:t>
            </w:r>
          </w:p>
          <w:p w:rsidR="007957BE" w:rsidRPr="009071B2" w:rsidRDefault="007957BE" w:rsidP="0037635B">
            <w:pPr>
              <w:pStyle w:val="TableBodyText"/>
              <w:keepNext w:val="0"/>
              <w:keepLines w:val="0"/>
              <w:widowControl w:val="0"/>
              <w:jc w:val="both"/>
            </w:pPr>
            <w:r w:rsidRPr="009071B2">
              <w:t>Metadata information for this indicator has been published in the AIHW’s online metadata repository — METeOR. Metadata information for the Perinatal NMDS are also published in METeOR, and the National health data dictionary.</w:t>
            </w:r>
          </w:p>
        </w:tc>
      </w:tr>
      <w:tr w:rsidR="007957BE" w:rsidRPr="003846CE" w:rsidTr="009F4002">
        <w:tc>
          <w:tcPr>
            <w:tcW w:w="8789" w:type="dxa"/>
            <w:gridSpan w:val="2"/>
            <w:vAlign w:val="bottom"/>
          </w:tcPr>
          <w:p w:rsidR="007957BE" w:rsidRDefault="007957BE" w:rsidP="0037635B">
            <w:pPr>
              <w:widowControl w:val="0"/>
              <w:spacing w:after="40" w:line="200" w:lineRule="atLeast"/>
              <w:ind w:left="6" w:right="113"/>
              <w:jc w:val="both"/>
              <w:rPr>
                <w:rFonts w:ascii="Arial" w:hAnsi="Arial"/>
                <w:b/>
                <w:color w:val="000000"/>
                <w:sz w:val="18"/>
                <w:szCs w:val="20"/>
              </w:rPr>
            </w:pPr>
          </w:p>
          <w:p w:rsidR="007957BE" w:rsidRPr="003846CE" w:rsidRDefault="007957BE"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7957BE" w:rsidRPr="003846CE" w:rsidTr="009F4002">
        <w:tc>
          <w:tcPr>
            <w:tcW w:w="1620" w:type="dxa"/>
          </w:tcPr>
          <w:p w:rsidR="007957BE" w:rsidRPr="003846CE" w:rsidRDefault="007957BE"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7957BE" w:rsidRPr="000609EE" w:rsidRDefault="007957BE" w:rsidP="00F227D6">
            <w:pPr>
              <w:pStyle w:val="TableBodyText"/>
              <w:keepNext w:val="0"/>
              <w:keepLines w:val="0"/>
              <w:widowControl w:val="0"/>
              <w:jc w:val="both"/>
            </w:pPr>
            <w:r w:rsidRPr="000609EE">
              <w:rPr>
                <w:rFonts w:cs="Arial"/>
              </w:rPr>
              <w:t>The Steering Committee notes the following issues:</w:t>
            </w:r>
          </w:p>
          <w:p w:rsidR="007957BE" w:rsidRPr="000609EE" w:rsidRDefault="007957BE" w:rsidP="00F227D6">
            <w:pPr>
              <w:pStyle w:val="TableBullet"/>
              <w:jc w:val="both"/>
            </w:pPr>
            <w:r>
              <w:t xml:space="preserve">Data are collected direct from states and territories and are not reliable as they are not collected under a NMDS and have had minimal validation. </w:t>
            </w:r>
            <w:r w:rsidRPr="00380DC2">
              <w:t>The AIHW data</w:t>
            </w:r>
            <w:r>
              <w:t>, however, are less timely and</w:t>
            </w:r>
            <w:r w:rsidRPr="00380DC2">
              <w:t xml:space="preserve"> are available to the Review one year later than that available to the Review by collecting data direct from states and territories.</w:t>
            </w:r>
          </w:p>
          <w:p w:rsidR="007957BE" w:rsidRPr="00512C7C" w:rsidRDefault="007957BE" w:rsidP="00F227D6">
            <w:pPr>
              <w:pStyle w:val="TableBullet"/>
              <w:jc w:val="both"/>
              <w:rPr>
                <w:rStyle w:val="DraftingNote"/>
                <w:b w:val="0"/>
                <w:color w:val="auto"/>
                <w:sz w:val="22"/>
                <w:szCs w:val="22"/>
                <w:u w:val="none"/>
              </w:rPr>
            </w:pPr>
            <w:r w:rsidRPr="000609EE">
              <w:t>Disaggregation of this indicator for Indigenous status and remoteness by State and Territory is a priority. Further development work on the current data source is required.</w:t>
            </w:r>
          </w:p>
        </w:tc>
      </w:tr>
    </w:tbl>
    <w:p w:rsidR="0090363E" w:rsidRDefault="0090363E" w:rsidP="0090363E">
      <w:pPr>
        <w:pStyle w:val="Heading3"/>
      </w:pPr>
      <w:bookmarkStart w:id="16" w:name="_Toc401912933"/>
      <w:r>
        <w:t>Instrument vaginal births</w:t>
      </w:r>
      <w:bookmarkEnd w:id="16"/>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37635B" w:rsidRPr="00E35AC8" w:rsidRDefault="0037635B" w:rsidP="0037635B">
            <w:pPr>
              <w:pStyle w:val="TableBodyText"/>
              <w:jc w:val="both"/>
            </w:pPr>
            <w:r w:rsidRPr="007953B0">
              <w:t>Effectiveness—appropriateness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37635B" w:rsidRPr="0088235D" w:rsidRDefault="0037635B" w:rsidP="0037635B">
            <w:pPr>
              <w:pStyle w:val="TableBodyText"/>
              <w:keepNext w:val="0"/>
              <w:keepLines w:val="0"/>
              <w:widowControl w:val="0"/>
              <w:jc w:val="both"/>
            </w:pPr>
            <w:r>
              <w:t>Instrument vaginal births</w:t>
            </w:r>
          </w:p>
        </w:tc>
      </w:tr>
      <w:tr w:rsidR="0037635B" w:rsidRPr="003846CE" w:rsidTr="009F4002">
        <w:tc>
          <w:tcPr>
            <w:tcW w:w="1620" w:type="dxa"/>
          </w:tcPr>
          <w:p w:rsidR="0037635B"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37635B" w:rsidRPr="003846CE"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37635B" w:rsidRPr="001858B3" w:rsidRDefault="0037635B" w:rsidP="0037635B">
            <w:pPr>
              <w:pStyle w:val="TableBodyText"/>
              <w:keepNext w:val="0"/>
              <w:keepLines w:val="0"/>
              <w:widowControl w:val="0"/>
              <w:jc w:val="both"/>
            </w:pPr>
            <w:r w:rsidRPr="001858B3">
              <w:t>‘Instrument vaginal births’ is defined as the number of instrument vaginal births as a percentage of total births. Instrument vaginal births includes forceps and vacuum extraction. The indicator is calculated for women aged 20 to 34 years, with a singleton baby positioned with head towards the cervix at the onset of labour born between 37 and 41 weeks gestation.</w:t>
            </w:r>
          </w:p>
        </w:tc>
      </w:tr>
      <w:tr w:rsidR="0037635B" w:rsidRPr="003846CE" w:rsidTr="009F4002">
        <w:tc>
          <w:tcPr>
            <w:tcW w:w="1620" w:type="dxa"/>
          </w:tcPr>
          <w:p w:rsidR="0037635B" w:rsidRPr="003846CE" w:rsidRDefault="0037635B"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37635B" w:rsidRPr="001858B3" w:rsidRDefault="0037635B" w:rsidP="0037635B">
            <w:pPr>
              <w:pStyle w:val="TableBodyText"/>
              <w:widowControl w:val="0"/>
              <w:jc w:val="both"/>
            </w:pPr>
            <w:r w:rsidRPr="001858B3">
              <w:t xml:space="preserve">This indicator is calculated using data from the AIHW National Perinatal Data </w:t>
            </w:r>
            <w:r w:rsidRPr="001858B3">
              <w:lastRenderedPageBreak/>
              <w:t xml:space="preserve">Collection (NPDC). </w:t>
            </w:r>
          </w:p>
        </w:tc>
      </w:tr>
      <w:tr w:rsidR="0037635B" w:rsidRPr="003846CE" w:rsidTr="009F4002">
        <w:tc>
          <w:tcPr>
            <w:tcW w:w="8789" w:type="dxa"/>
            <w:gridSpan w:val="2"/>
            <w:vAlign w:val="bottom"/>
          </w:tcPr>
          <w:p w:rsidR="0037635B" w:rsidRDefault="0037635B" w:rsidP="00905501">
            <w:pPr>
              <w:widowControl w:val="0"/>
              <w:spacing w:after="40" w:line="200" w:lineRule="atLeast"/>
              <w:ind w:left="6" w:right="113"/>
              <w:jc w:val="both"/>
              <w:rPr>
                <w:rFonts w:ascii="Arial" w:hAnsi="Arial"/>
                <w:b/>
                <w:color w:val="000000"/>
                <w:sz w:val="18"/>
                <w:szCs w:val="20"/>
              </w:rPr>
            </w:pPr>
          </w:p>
          <w:p w:rsidR="0037635B" w:rsidRPr="003846CE" w:rsidRDefault="0037635B"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37635B" w:rsidRPr="009206D3" w:rsidRDefault="0037635B" w:rsidP="0037635B">
            <w:pPr>
              <w:pStyle w:val="TableBodyText"/>
              <w:keepNext w:val="0"/>
              <w:keepLines w:val="0"/>
              <w:widowControl w:val="0"/>
              <w:jc w:val="both"/>
            </w:pPr>
            <w:r w:rsidRPr="004821B4">
              <w:t>The Australian Institute of Health and Welfare (AIHW) has calculated this indicator. Data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37635B" w:rsidRPr="0065344B" w:rsidRDefault="0037635B" w:rsidP="0037635B">
            <w:pPr>
              <w:pStyle w:val="TableBodyText"/>
              <w:widowControl w:val="0"/>
              <w:tabs>
                <w:tab w:val="left" w:pos="434"/>
                <w:tab w:val="left" w:pos="1316"/>
              </w:tabs>
              <w:jc w:val="both"/>
            </w:pPr>
            <w:r w:rsidRPr="0065344B">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37635B" w:rsidRPr="0065344B" w:rsidRDefault="0037635B" w:rsidP="0037635B">
            <w:pPr>
              <w:pStyle w:val="TableBodyText"/>
              <w:widowControl w:val="0"/>
              <w:tabs>
                <w:tab w:val="left" w:pos="434"/>
                <w:tab w:val="left" w:pos="1316"/>
              </w:tabs>
              <w:jc w:val="both"/>
            </w:pPr>
            <w:r w:rsidRPr="0065344B">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37635B" w:rsidRPr="0052494B" w:rsidRDefault="0037635B" w:rsidP="0037635B">
            <w:pPr>
              <w:pStyle w:val="TableBodyText"/>
              <w:keepNext w:val="0"/>
              <w:keepLines w:val="0"/>
              <w:widowControl w:val="0"/>
              <w:jc w:val="both"/>
            </w:pPr>
            <w:r w:rsidRPr="0052494B">
              <w:t>The reference period for the data is 2011. Collection of data for the NPDC is annual.</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37635B" w:rsidRPr="0065344B" w:rsidRDefault="0037635B" w:rsidP="0037635B">
            <w:pPr>
              <w:pStyle w:val="TableBodyText"/>
              <w:widowControl w:val="0"/>
              <w:tabs>
                <w:tab w:val="left" w:pos="434"/>
                <w:tab w:val="left" w:pos="1316"/>
              </w:tabs>
              <w:jc w:val="both"/>
            </w:pPr>
            <w:r w:rsidRPr="0065344B">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7635B" w:rsidRPr="0065344B" w:rsidRDefault="0037635B" w:rsidP="0037635B">
            <w:pPr>
              <w:pStyle w:val="TableBodyText"/>
              <w:widowControl w:val="0"/>
              <w:tabs>
                <w:tab w:val="left" w:pos="434"/>
                <w:tab w:val="left" w:pos="1316"/>
              </w:tabs>
              <w:jc w:val="both"/>
            </w:pPr>
            <w:r w:rsidRPr="0065344B">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37635B" w:rsidRPr="0052494B" w:rsidRDefault="0037635B" w:rsidP="0037635B">
            <w:pPr>
              <w:pStyle w:val="TableBodyText"/>
              <w:widowControl w:val="0"/>
              <w:jc w:val="both"/>
            </w:pPr>
            <w:r w:rsidRPr="0052494B">
              <w:t xml:space="preserve">Data for this indicator are published in the AIHW National Perinatal Epidemiology and Statistics Unit report </w:t>
            </w:r>
            <w:r w:rsidRPr="0052494B">
              <w:rPr>
                <w:i/>
              </w:rPr>
              <w:t>National core maternity indicators</w:t>
            </w:r>
            <w:r w:rsidRPr="0052494B">
              <w:t>.</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37635B" w:rsidRPr="005E27C5" w:rsidRDefault="0037635B" w:rsidP="0037635B">
            <w:pPr>
              <w:pStyle w:val="TableBodyText"/>
              <w:widowControl w:val="0"/>
              <w:jc w:val="both"/>
            </w:pPr>
            <w:r w:rsidRPr="005E27C5">
              <w:t>The AIHW provides a variety of products that draw upon the NPDC. Published products available on the AIHW website are:</w:t>
            </w:r>
          </w:p>
          <w:p w:rsidR="0037635B" w:rsidRPr="005E27C5" w:rsidRDefault="0037635B" w:rsidP="00CE22FE">
            <w:pPr>
              <w:pStyle w:val="TableBullet"/>
            </w:pPr>
            <w:r w:rsidRPr="005E27C5">
              <w:t>Australia’s mothers and babies annual report</w:t>
            </w:r>
          </w:p>
          <w:p w:rsidR="0037635B" w:rsidRPr="005E27C5" w:rsidRDefault="006B0096" w:rsidP="006B0096">
            <w:pPr>
              <w:pStyle w:val="TableBullet"/>
            </w:pPr>
            <w:r w:rsidRPr="006B0096">
              <w:t xml:space="preserve">Aboriginal and Torres Strait Islander </w:t>
            </w:r>
            <w:r w:rsidR="0037635B" w:rsidRPr="005E27C5">
              <w:t>mothers and their babies, Australia 2001–2004</w:t>
            </w:r>
          </w:p>
          <w:p w:rsidR="0037635B" w:rsidRPr="005E27C5" w:rsidRDefault="0037635B" w:rsidP="00CE22FE">
            <w:pPr>
              <w:pStyle w:val="TableBullet"/>
            </w:pPr>
            <w:r w:rsidRPr="005E27C5">
              <w:t>National core maternity indicators</w:t>
            </w:r>
          </w:p>
          <w:p w:rsidR="0037635B" w:rsidRPr="005E27C5" w:rsidRDefault="0037635B" w:rsidP="00CE22FE">
            <w:pPr>
              <w:pStyle w:val="TableBullet"/>
            </w:pPr>
            <w:r w:rsidRPr="005E27C5">
              <w:t>METeOR – online metadata repository</w:t>
            </w:r>
          </w:p>
          <w:p w:rsidR="0037635B" w:rsidRPr="005E27C5" w:rsidRDefault="0037635B" w:rsidP="00CE22FE">
            <w:pPr>
              <w:pStyle w:val="TableBullet"/>
            </w:pPr>
            <w:r w:rsidRPr="005E27C5">
              <w:t>National health data dictionary.</w:t>
            </w:r>
          </w:p>
          <w:p w:rsidR="0037635B" w:rsidRPr="005E27C5" w:rsidRDefault="0037635B" w:rsidP="0037635B">
            <w:pPr>
              <w:pStyle w:val="TableBodyText"/>
              <w:keepNext w:val="0"/>
              <w:keepLines w:val="0"/>
              <w:widowControl w:val="0"/>
              <w:jc w:val="both"/>
            </w:pPr>
            <w:r w:rsidRPr="005E27C5">
              <w:t>Ad-hoc data are also available on request (charges apply to recover costs).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37635B" w:rsidRPr="005E27C5" w:rsidRDefault="0037635B" w:rsidP="0037635B">
            <w:pPr>
              <w:pStyle w:val="TableBodyText"/>
              <w:widowControl w:val="0"/>
              <w:jc w:val="both"/>
            </w:pPr>
            <w:r w:rsidRPr="005E27C5">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w:t>
            </w:r>
            <w:r w:rsidR="006B0096" w:rsidRPr="006B0096">
              <w:t xml:space="preserve">Aboriginal and Torres Strait Islander </w:t>
            </w:r>
            <w:r w:rsidRPr="005E27C5">
              <w:t xml:space="preserve">data that might affect interpretation of the indicator was published in </w:t>
            </w:r>
            <w:r w:rsidR="006B0096" w:rsidRPr="006B0096">
              <w:t xml:space="preserve">Aboriginal and Torres Strait Islander </w:t>
            </w:r>
            <w:r w:rsidRPr="005E27C5">
              <w:t xml:space="preserve">mothers and their babies, Australia 2001–2004 (Chapter 1 and Chapter 5). </w:t>
            </w:r>
          </w:p>
          <w:p w:rsidR="0037635B" w:rsidRPr="005E27C5" w:rsidRDefault="0037635B" w:rsidP="0037635B">
            <w:pPr>
              <w:pStyle w:val="TableBodyText"/>
              <w:keepNext w:val="0"/>
              <w:keepLines w:val="0"/>
              <w:widowControl w:val="0"/>
              <w:jc w:val="both"/>
            </w:pPr>
            <w:r w:rsidRPr="005E27C5">
              <w:t>Metadata information for this indicator has been published in the AIHW’s online metadata repository — METeOR. Metadata information for the Perinatal NMDS are also published in METeOR, and the National health data dictionary.</w:t>
            </w:r>
          </w:p>
        </w:tc>
      </w:tr>
      <w:tr w:rsidR="0037635B" w:rsidRPr="003846CE" w:rsidTr="009F4002">
        <w:tc>
          <w:tcPr>
            <w:tcW w:w="8789" w:type="dxa"/>
            <w:gridSpan w:val="2"/>
            <w:vAlign w:val="bottom"/>
          </w:tcPr>
          <w:p w:rsidR="0037635B" w:rsidRDefault="0037635B" w:rsidP="0037635B">
            <w:pPr>
              <w:widowControl w:val="0"/>
              <w:spacing w:after="40" w:line="200" w:lineRule="atLeast"/>
              <w:ind w:left="6" w:right="113"/>
              <w:jc w:val="both"/>
              <w:rPr>
                <w:rFonts w:ascii="Arial" w:hAnsi="Arial"/>
                <w:b/>
                <w:color w:val="000000"/>
                <w:sz w:val="18"/>
                <w:szCs w:val="20"/>
              </w:rPr>
            </w:pPr>
          </w:p>
          <w:p w:rsidR="0037635B" w:rsidRPr="003846CE" w:rsidRDefault="0037635B"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lastRenderedPageBreak/>
              <w:t>Data Gaps/Issues Analysis</w:t>
            </w:r>
          </w:p>
        </w:tc>
      </w:tr>
      <w:tr w:rsidR="0037635B" w:rsidRPr="003846CE" w:rsidTr="009F4002">
        <w:tc>
          <w:tcPr>
            <w:tcW w:w="1620" w:type="dxa"/>
          </w:tcPr>
          <w:p w:rsidR="0037635B" w:rsidRPr="003846CE" w:rsidRDefault="0037635B" w:rsidP="0037635B">
            <w:pPr>
              <w:widowControl w:val="0"/>
              <w:spacing w:after="40" w:line="200" w:lineRule="atLeast"/>
              <w:ind w:left="6" w:right="113"/>
              <w:rPr>
                <w:rFonts w:ascii="Arial" w:hAnsi="Arial"/>
                <w:b/>
                <w:sz w:val="18"/>
                <w:szCs w:val="20"/>
              </w:rPr>
            </w:pPr>
            <w:r w:rsidRPr="007D0D79">
              <w:rPr>
                <w:rFonts w:ascii="Arial" w:hAnsi="Arial"/>
                <w:b/>
                <w:sz w:val="18"/>
                <w:szCs w:val="20"/>
              </w:rPr>
              <w:lastRenderedPageBreak/>
              <w:t>Key data gaps/issues</w:t>
            </w:r>
          </w:p>
        </w:tc>
        <w:tc>
          <w:tcPr>
            <w:tcW w:w="7169" w:type="dxa"/>
          </w:tcPr>
          <w:p w:rsidR="0037635B" w:rsidRPr="002075BE" w:rsidRDefault="0037635B" w:rsidP="00F227D6">
            <w:pPr>
              <w:pStyle w:val="TableBodyText"/>
              <w:jc w:val="both"/>
              <w:rPr>
                <w:rFonts w:cs="Arial"/>
              </w:rPr>
            </w:pPr>
            <w:r w:rsidRPr="002075BE">
              <w:rPr>
                <w:rFonts w:cs="Arial"/>
              </w:rPr>
              <w:t>The Steering Committee notes the following issues:</w:t>
            </w:r>
          </w:p>
          <w:p w:rsidR="0037635B" w:rsidRPr="002075BE" w:rsidRDefault="0037635B" w:rsidP="00F227D6">
            <w:pPr>
              <w:pStyle w:val="TableBullet"/>
              <w:jc w:val="both"/>
            </w:pPr>
            <w:r w:rsidRPr="002075BE">
              <w:t>Data are relatively old and may not be representative of current outcomes. Further work is required to ensure availability of more timely data.</w:t>
            </w:r>
          </w:p>
          <w:p w:rsidR="0037635B" w:rsidRPr="002075BE" w:rsidRDefault="0037635B" w:rsidP="00F227D6">
            <w:pPr>
              <w:pStyle w:val="TableBullet"/>
              <w:jc w:val="both"/>
              <w:rPr>
                <w:rStyle w:val="DraftingNote"/>
                <w:b w:val="0"/>
                <w:color w:val="auto"/>
                <w:sz w:val="22"/>
                <w:szCs w:val="22"/>
                <w:u w:val="none"/>
              </w:rPr>
            </w:pPr>
            <w:r w:rsidRPr="002075BE">
              <w:t>Disaggregation of this indicator for Indigenous status and remoteness by State and Territory is a priority. Further development work on the current data source is required.</w:t>
            </w:r>
          </w:p>
        </w:tc>
      </w:tr>
    </w:tbl>
    <w:p w:rsidR="0090363E" w:rsidRDefault="00DC466C" w:rsidP="0090363E">
      <w:pPr>
        <w:pStyle w:val="Heading3"/>
      </w:pPr>
      <w:bookmarkStart w:id="17" w:name="_Toc401912934"/>
      <w:r w:rsidRPr="00746E4F">
        <w:t>Vaginal birth after caesarean section</w:t>
      </w:r>
      <w:bookmarkEnd w:id="17"/>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37635B" w:rsidRPr="00E35AC8" w:rsidRDefault="0037635B" w:rsidP="0037635B">
            <w:pPr>
              <w:pStyle w:val="TableBodyText"/>
              <w:jc w:val="both"/>
            </w:pPr>
            <w:r w:rsidRPr="007953B0">
              <w:t>Effectiveness—appropriateness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37635B" w:rsidRPr="0088235D" w:rsidRDefault="00DC466C" w:rsidP="0037635B">
            <w:pPr>
              <w:pStyle w:val="TableBodyText"/>
              <w:keepNext w:val="0"/>
              <w:keepLines w:val="0"/>
              <w:widowControl w:val="0"/>
              <w:jc w:val="both"/>
            </w:pPr>
            <w:r w:rsidRPr="00746E4F">
              <w:t>Vaginal birth after caesarean section</w:t>
            </w:r>
          </w:p>
        </w:tc>
      </w:tr>
      <w:tr w:rsidR="0037635B" w:rsidRPr="003846CE" w:rsidTr="009F4002">
        <w:tc>
          <w:tcPr>
            <w:tcW w:w="1620" w:type="dxa"/>
          </w:tcPr>
          <w:p w:rsidR="0037635B"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37635B" w:rsidRPr="003846CE"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37635B" w:rsidRDefault="0037635B" w:rsidP="0037635B">
            <w:pPr>
              <w:pStyle w:val="TableBodyText"/>
              <w:keepNext w:val="0"/>
              <w:keepLines w:val="0"/>
              <w:widowControl w:val="0"/>
              <w:jc w:val="both"/>
            </w:pPr>
            <w:r w:rsidRPr="0013243D">
              <w:t>‘Vaginal delivery following a previous caesarean’ is defined as the percentage of multiparous mothers who have had a previous caesarean, whose current method of birth was either an instrumental or non-instrumental vaginal delivery.</w:t>
            </w:r>
            <w:r>
              <w:t xml:space="preserve"> </w:t>
            </w:r>
            <w:r w:rsidRPr="0013243D">
              <w:t>Multiparous means a pregnant woman who had at least one previous pregnancy resulting in a live birth or stillbirth.</w:t>
            </w:r>
          </w:p>
          <w:p w:rsidR="0037635B" w:rsidRPr="000471D2" w:rsidRDefault="0037635B" w:rsidP="0037635B">
            <w:pPr>
              <w:pStyle w:val="TableBodyText"/>
              <w:keepNext w:val="0"/>
              <w:keepLines w:val="0"/>
              <w:widowControl w:val="0"/>
              <w:jc w:val="both"/>
            </w:pPr>
            <w:r w:rsidRPr="006515CA">
              <w:t>For multiple births, the method of birth of the first born baby was used.</w:t>
            </w:r>
          </w:p>
        </w:tc>
      </w:tr>
      <w:tr w:rsidR="0037635B" w:rsidRPr="003846CE" w:rsidTr="009F4002">
        <w:tc>
          <w:tcPr>
            <w:tcW w:w="1620" w:type="dxa"/>
          </w:tcPr>
          <w:p w:rsidR="0037635B" w:rsidRPr="003846CE" w:rsidRDefault="0037635B"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37635B" w:rsidRPr="002B1286" w:rsidRDefault="0037635B" w:rsidP="0037635B">
            <w:pPr>
              <w:pStyle w:val="TableBodyText"/>
              <w:widowControl w:val="0"/>
              <w:jc w:val="both"/>
            </w:pPr>
            <w:r>
              <w:t xml:space="preserve">This indicator is calculated using data from the AIHW National Perinatal Data Collection (NPDC). </w:t>
            </w:r>
          </w:p>
        </w:tc>
      </w:tr>
      <w:tr w:rsidR="0037635B" w:rsidRPr="003846CE" w:rsidTr="009F4002">
        <w:tc>
          <w:tcPr>
            <w:tcW w:w="8789" w:type="dxa"/>
            <w:gridSpan w:val="2"/>
            <w:vAlign w:val="bottom"/>
          </w:tcPr>
          <w:p w:rsidR="0037635B" w:rsidRDefault="0037635B" w:rsidP="00905501">
            <w:pPr>
              <w:widowControl w:val="0"/>
              <w:spacing w:after="40" w:line="200" w:lineRule="atLeast"/>
              <w:ind w:left="6" w:right="113"/>
              <w:jc w:val="both"/>
              <w:rPr>
                <w:rFonts w:ascii="Arial" w:hAnsi="Arial"/>
                <w:b/>
                <w:color w:val="000000"/>
                <w:sz w:val="18"/>
                <w:szCs w:val="20"/>
              </w:rPr>
            </w:pPr>
          </w:p>
          <w:p w:rsidR="0037635B" w:rsidRPr="003846CE" w:rsidRDefault="0037635B"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37635B" w:rsidRPr="009206D3" w:rsidRDefault="0037635B" w:rsidP="0037635B">
            <w:pPr>
              <w:pStyle w:val="TableBodyText"/>
              <w:keepNext w:val="0"/>
              <w:keepLines w:val="0"/>
              <w:widowControl w:val="0"/>
              <w:jc w:val="both"/>
            </w:pPr>
            <w:r w:rsidRPr="00CA6C53">
              <w:t>The Australian Institute of Health and Welfare (AIHW) has calculated this indicator. Data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37635B" w:rsidRDefault="0037635B" w:rsidP="0037635B">
            <w:pPr>
              <w:pStyle w:val="TableBodyText"/>
              <w:keepNext w:val="0"/>
              <w:keepLines w:val="0"/>
              <w:widowControl w:val="0"/>
              <w:tabs>
                <w:tab w:val="left" w:pos="434"/>
                <w:tab w:val="left" w:pos="1316"/>
              </w:tabs>
              <w:jc w:val="both"/>
            </w:pPr>
            <w:r>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37635B" w:rsidRPr="002B1286" w:rsidRDefault="0037635B" w:rsidP="0037635B">
            <w:pPr>
              <w:pStyle w:val="TableBodyText"/>
              <w:keepNext w:val="0"/>
              <w:keepLines w:val="0"/>
              <w:widowControl w:val="0"/>
              <w:tabs>
                <w:tab w:val="left" w:pos="434"/>
                <w:tab w:val="left" w:pos="1316"/>
              </w:tabs>
              <w:jc w:val="both"/>
            </w:pPr>
            <w:r>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37635B" w:rsidRPr="002B1286" w:rsidRDefault="0037635B" w:rsidP="00DC466C">
            <w:pPr>
              <w:pStyle w:val="TableBodyText"/>
              <w:keepNext w:val="0"/>
              <w:keepLines w:val="0"/>
              <w:widowControl w:val="0"/>
              <w:jc w:val="both"/>
            </w:pPr>
            <w:r w:rsidRPr="002F6B2E">
              <w:t>The reference period for the data is 20</w:t>
            </w:r>
            <w:r>
              <w:t>1</w:t>
            </w:r>
            <w:r w:rsidR="00DC466C">
              <w:t>2</w:t>
            </w:r>
            <w:r w:rsidRPr="002F6B2E">
              <w:t>. Collection of data for the NPDC is annual.</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37635B" w:rsidRDefault="0037635B" w:rsidP="0037635B">
            <w:pPr>
              <w:pStyle w:val="TableBodyText"/>
              <w:keepNext w:val="0"/>
              <w:keepLines w:val="0"/>
              <w:widowControl w:val="0"/>
              <w:tabs>
                <w:tab w:val="left" w:pos="434"/>
                <w:tab w:val="left" w:pos="1316"/>
              </w:tabs>
              <w:jc w:val="both"/>
            </w:pPr>
            <w:r>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7635B" w:rsidRPr="002B1286" w:rsidRDefault="0037635B" w:rsidP="0037635B">
            <w:pPr>
              <w:pStyle w:val="TableBodyText"/>
              <w:keepNext w:val="0"/>
              <w:keepLines w:val="0"/>
              <w:widowControl w:val="0"/>
              <w:tabs>
                <w:tab w:val="left" w:pos="434"/>
                <w:tab w:val="left" w:pos="1316"/>
              </w:tabs>
              <w:jc w:val="both"/>
            </w:pPr>
            <w:r>
              <w:t xml:space="preserve">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w:t>
            </w:r>
            <w:r>
              <w:lastRenderedPageBreak/>
              <w:t>databases, and because data are being reported by place of residence rather than place of birth the numbers reported for this indicator differ from those in reports published by the states and territories. The data are not rounded.</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37635B" w:rsidRPr="009206D3" w:rsidRDefault="0037635B" w:rsidP="0037635B">
            <w:pPr>
              <w:pStyle w:val="TableBodyText"/>
              <w:keepNext w:val="0"/>
              <w:keepLines w:val="0"/>
              <w:widowControl w:val="0"/>
              <w:jc w:val="both"/>
            </w:pPr>
            <w:r w:rsidRPr="00FA6796">
              <w:t>Data for this indicator are published in the annual report Australia’s mothers and babies.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37635B" w:rsidRDefault="0037635B" w:rsidP="00F227D6">
            <w:pPr>
              <w:pStyle w:val="TableBodyText"/>
              <w:keepNext w:val="0"/>
              <w:keepLines w:val="0"/>
              <w:widowControl w:val="0"/>
              <w:jc w:val="both"/>
            </w:pPr>
            <w:r>
              <w:t>The AIHW provides a variety of products that draw upon the NPDC. Published products available on the AIHW website are:</w:t>
            </w:r>
          </w:p>
          <w:p w:rsidR="0037635B" w:rsidRPr="00DA2730" w:rsidRDefault="0037635B" w:rsidP="00F227D6">
            <w:pPr>
              <w:pStyle w:val="TableBullet"/>
              <w:jc w:val="both"/>
            </w:pPr>
            <w:r w:rsidRPr="00DA2730">
              <w:t>Australia’s mothers and babies annual report</w:t>
            </w:r>
          </w:p>
          <w:p w:rsidR="0037635B" w:rsidRPr="00DA2730" w:rsidRDefault="006B0096" w:rsidP="006B0096">
            <w:pPr>
              <w:pStyle w:val="TableBullet"/>
            </w:pPr>
            <w:r w:rsidRPr="006B0096">
              <w:t xml:space="preserve">Aboriginal and Torres Strait Islander </w:t>
            </w:r>
            <w:r w:rsidR="0037635B" w:rsidRPr="00DA2730">
              <w:t>mothers and their babies, Australia 2001–2004</w:t>
            </w:r>
          </w:p>
          <w:p w:rsidR="0037635B" w:rsidRPr="00DA2730" w:rsidRDefault="0037635B" w:rsidP="00F227D6">
            <w:pPr>
              <w:pStyle w:val="TableBullet"/>
              <w:jc w:val="both"/>
            </w:pPr>
            <w:r w:rsidRPr="00DA2730">
              <w:t>METeOR – online metadata repository</w:t>
            </w:r>
          </w:p>
          <w:p w:rsidR="0037635B" w:rsidRPr="00DA2730" w:rsidRDefault="0037635B" w:rsidP="00F227D6">
            <w:pPr>
              <w:pStyle w:val="TableBullet"/>
              <w:jc w:val="both"/>
            </w:pPr>
            <w:r w:rsidRPr="00DA2730">
              <w:t>National health data dictionary.</w:t>
            </w:r>
          </w:p>
          <w:p w:rsidR="0037635B" w:rsidRPr="009206D3" w:rsidRDefault="0037635B" w:rsidP="00F227D6">
            <w:pPr>
              <w:pStyle w:val="TableBodyText"/>
              <w:keepNext w:val="0"/>
              <w:keepLines w:val="0"/>
              <w:widowControl w:val="0"/>
              <w:jc w:val="both"/>
            </w:pPr>
            <w:r>
              <w:t>Ad-hoc data are also available on request (charges apply to recover costs).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37635B" w:rsidRDefault="0037635B" w:rsidP="0037635B">
            <w:pPr>
              <w:pStyle w:val="TableBodyText"/>
              <w:keepNext w:val="0"/>
              <w:keepLines w:val="0"/>
              <w:widowControl w:val="0"/>
              <w:jc w:val="both"/>
            </w:pPr>
            <w:r>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w:t>
            </w:r>
            <w:r w:rsidR="006B0096" w:rsidRPr="006B0096">
              <w:t xml:space="preserve">Aboriginal and Torres Strait Islander </w:t>
            </w:r>
            <w:r>
              <w:t xml:space="preserve">data that might affect interpretation of the indicator was published in </w:t>
            </w:r>
            <w:r w:rsidR="006B0096" w:rsidRPr="006B0096">
              <w:t xml:space="preserve">Aboriginal and Torres Strait Islander </w:t>
            </w:r>
            <w:r>
              <w:t xml:space="preserve">mothers and their babies, Australia 2001–2004 (Chapter 1 and Chapter 5). </w:t>
            </w:r>
          </w:p>
          <w:p w:rsidR="0037635B" w:rsidRPr="009206D3" w:rsidRDefault="0037635B" w:rsidP="0037635B">
            <w:pPr>
              <w:pStyle w:val="TableBodyText"/>
              <w:keepNext w:val="0"/>
              <w:keepLines w:val="0"/>
              <w:widowControl w:val="0"/>
              <w:jc w:val="both"/>
            </w:pPr>
            <w:r>
              <w:t>Metadata information for this indicator has been published in the AIHW’s online metadata repository — METeOR. Metadata information for the Perinatal NMDS are also published in METeOR, and the National health data dictionary.</w:t>
            </w:r>
          </w:p>
        </w:tc>
      </w:tr>
      <w:tr w:rsidR="0037635B" w:rsidRPr="003846CE" w:rsidTr="009F4002">
        <w:tc>
          <w:tcPr>
            <w:tcW w:w="8789" w:type="dxa"/>
            <w:gridSpan w:val="2"/>
            <w:vAlign w:val="bottom"/>
          </w:tcPr>
          <w:p w:rsidR="0037635B" w:rsidRDefault="0037635B" w:rsidP="0037635B">
            <w:pPr>
              <w:widowControl w:val="0"/>
              <w:spacing w:after="40" w:line="200" w:lineRule="atLeast"/>
              <w:ind w:left="6" w:right="113"/>
              <w:jc w:val="both"/>
              <w:rPr>
                <w:rFonts w:ascii="Arial" w:hAnsi="Arial"/>
                <w:b/>
                <w:color w:val="000000"/>
                <w:sz w:val="18"/>
                <w:szCs w:val="20"/>
              </w:rPr>
            </w:pPr>
          </w:p>
          <w:p w:rsidR="0037635B" w:rsidRPr="003846CE" w:rsidRDefault="0037635B"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37635B" w:rsidRPr="003846CE" w:rsidTr="009F4002">
        <w:tc>
          <w:tcPr>
            <w:tcW w:w="1620" w:type="dxa"/>
          </w:tcPr>
          <w:p w:rsidR="0037635B" w:rsidRPr="003846CE" w:rsidRDefault="0037635B"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37635B" w:rsidRPr="00512C7C" w:rsidRDefault="0037635B" w:rsidP="00F227D6">
            <w:pPr>
              <w:pStyle w:val="TableBodyText"/>
              <w:keepNext w:val="0"/>
              <w:keepLines w:val="0"/>
              <w:widowControl w:val="0"/>
              <w:jc w:val="both"/>
              <w:rPr>
                <w:rFonts w:cs="Arial"/>
              </w:rPr>
            </w:pPr>
            <w:r w:rsidRPr="00512C7C">
              <w:rPr>
                <w:rFonts w:cs="Arial"/>
              </w:rPr>
              <w:t>The Steering Committee notes the following issues:</w:t>
            </w:r>
          </w:p>
          <w:p w:rsidR="0037635B" w:rsidRPr="002B0257" w:rsidRDefault="0037635B" w:rsidP="00F227D6">
            <w:pPr>
              <w:pStyle w:val="TableBullet"/>
              <w:jc w:val="both"/>
            </w:pPr>
            <w:r w:rsidRPr="002B0257">
              <w:t>Interpretation of this indicator is ambiguous. There is ongoing debate about the relative risk to both mother and baby of a repeat caesarean section compared with a vaginal birth following a previous caesarean. Low rates of vaginal birth following a previous caesarean may warrant investigation, or on the other hand, they can indicate appropriate clinical caution. When interpreting this indicator, emphasis needs to be given to the potential for improvement.</w:t>
            </w:r>
          </w:p>
          <w:p w:rsidR="0037635B" w:rsidRPr="002B0257" w:rsidRDefault="0037635B" w:rsidP="00F227D6">
            <w:pPr>
              <w:pStyle w:val="TableBullet"/>
              <w:jc w:val="both"/>
            </w:pPr>
            <w:r w:rsidRPr="002B0257">
              <w:t>Data are relatively old and may not be representative of current outcomes. Further work is required to ensure availability of more timely data.</w:t>
            </w:r>
          </w:p>
          <w:p w:rsidR="0037635B" w:rsidRPr="002B0257" w:rsidRDefault="0037635B" w:rsidP="00F227D6">
            <w:pPr>
              <w:pStyle w:val="TableBullet"/>
              <w:jc w:val="both"/>
            </w:pPr>
            <w:r w:rsidRPr="002B0257">
              <w:t>A formal assessment of the extent of under-identification of Indigenous status in the NPDC is required. This will identify whether the data require adjustment, and contribute to improved time series reporting.</w:t>
            </w:r>
          </w:p>
          <w:p w:rsidR="0037635B" w:rsidRPr="00512C7C" w:rsidRDefault="0037635B" w:rsidP="00F227D6">
            <w:pPr>
              <w:pStyle w:val="TableBullet"/>
              <w:jc w:val="both"/>
              <w:rPr>
                <w:rStyle w:val="DraftingNote"/>
                <w:b w:val="0"/>
                <w:color w:val="auto"/>
                <w:sz w:val="22"/>
                <w:szCs w:val="22"/>
                <w:u w:val="none"/>
              </w:rPr>
            </w:pPr>
            <w:r w:rsidRPr="002B0257">
              <w:t>Disaggregation of this indicator for SES and remoteness by State and Territory is a priority. Further development work on the current data source is required.</w:t>
            </w:r>
          </w:p>
        </w:tc>
      </w:tr>
    </w:tbl>
    <w:p w:rsidR="0090363E" w:rsidRDefault="0090363E" w:rsidP="0090363E">
      <w:pPr>
        <w:pStyle w:val="Heading3"/>
      </w:pPr>
      <w:bookmarkStart w:id="18" w:name="_Toc401912935"/>
      <w:r>
        <w:t>Perineal status after vaginal birth</w:t>
      </w:r>
      <w:bookmarkEnd w:id="18"/>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37635B" w:rsidRPr="00C91B6B" w:rsidRDefault="0037635B" w:rsidP="0037635B">
            <w:pPr>
              <w:pStyle w:val="TableBodyText"/>
              <w:jc w:val="both"/>
            </w:pPr>
            <w:r w:rsidRPr="007953B0">
              <w:t>Effectiveness — quality/safety</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37635B" w:rsidRPr="00AF3FE3" w:rsidRDefault="0037635B" w:rsidP="0037635B">
            <w:pPr>
              <w:pStyle w:val="TableBodyText"/>
              <w:jc w:val="both"/>
            </w:pPr>
            <w:r w:rsidRPr="007953B0">
              <w:t>Perineal status after vaginal birth</w:t>
            </w:r>
          </w:p>
        </w:tc>
      </w:tr>
      <w:tr w:rsidR="0037635B" w:rsidRPr="003846CE" w:rsidTr="009F4002">
        <w:tc>
          <w:tcPr>
            <w:tcW w:w="1620" w:type="dxa"/>
          </w:tcPr>
          <w:p w:rsidR="0037635B"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37635B" w:rsidRPr="003846CE"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37635B" w:rsidRDefault="0037635B" w:rsidP="0037635B">
            <w:pPr>
              <w:pStyle w:val="TableBodyText"/>
              <w:jc w:val="both"/>
            </w:pPr>
            <w:r>
              <w:t xml:space="preserve">‘Perineal status after vaginal birth’ is the percentage of mothers with third or fourth degree lacerations to their </w:t>
            </w:r>
            <w:r w:rsidRPr="006515CA">
              <w:t xml:space="preserve">perineum </w:t>
            </w:r>
            <w:r>
              <w:t xml:space="preserve">after a vaginal birth. </w:t>
            </w:r>
          </w:p>
          <w:p w:rsidR="0037635B" w:rsidRDefault="0037635B" w:rsidP="0037635B">
            <w:pPr>
              <w:pStyle w:val="TableBodyText"/>
              <w:jc w:val="both"/>
            </w:pPr>
            <w:r w:rsidRPr="000B2ED3">
              <w:t>A ‘third degree’ laceration or rupture during birth (or a tear following episiotomy) involves the anal sphincter, rectovaginal septum and sphincter NOS. A ‘fourth degree’ laceration, rupture or tear also involves the anal mucosa and rectal mucosa.</w:t>
            </w:r>
          </w:p>
          <w:p w:rsidR="0037635B" w:rsidRPr="000471D2" w:rsidRDefault="0037635B" w:rsidP="0037635B">
            <w:pPr>
              <w:pStyle w:val="TableBodyText"/>
              <w:jc w:val="both"/>
            </w:pPr>
            <w:r w:rsidRPr="006515CA">
              <w:t>For multiple births, the perineal status after birth of the first child was used.</w:t>
            </w:r>
          </w:p>
        </w:tc>
      </w:tr>
      <w:tr w:rsidR="0037635B" w:rsidRPr="003846CE" w:rsidTr="009F4002">
        <w:tc>
          <w:tcPr>
            <w:tcW w:w="1620" w:type="dxa"/>
          </w:tcPr>
          <w:p w:rsidR="0037635B" w:rsidRPr="003846CE" w:rsidRDefault="0037635B"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37635B" w:rsidRPr="002B1286" w:rsidRDefault="0037635B" w:rsidP="0037635B">
            <w:pPr>
              <w:pStyle w:val="TableBodyText"/>
              <w:jc w:val="both"/>
            </w:pPr>
            <w:r>
              <w:t xml:space="preserve">This indicator is calculated using data from the AIHW National Perinatal Data </w:t>
            </w:r>
            <w:r>
              <w:lastRenderedPageBreak/>
              <w:t xml:space="preserve">Collection (NPDC). </w:t>
            </w:r>
          </w:p>
        </w:tc>
      </w:tr>
      <w:tr w:rsidR="0037635B" w:rsidRPr="003846CE" w:rsidTr="009F4002">
        <w:tc>
          <w:tcPr>
            <w:tcW w:w="8789" w:type="dxa"/>
            <w:gridSpan w:val="2"/>
            <w:vAlign w:val="bottom"/>
          </w:tcPr>
          <w:p w:rsidR="0037635B" w:rsidRDefault="0037635B" w:rsidP="00905501">
            <w:pPr>
              <w:widowControl w:val="0"/>
              <w:spacing w:after="40" w:line="200" w:lineRule="atLeast"/>
              <w:ind w:left="6" w:right="113"/>
              <w:jc w:val="both"/>
              <w:rPr>
                <w:rFonts w:ascii="Arial" w:hAnsi="Arial"/>
                <w:b/>
                <w:color w:val="000000"/>
                <w:sz w:val="18"/>
                <w:szCs w:val="20"/>
              </w:rPr>
            </w:pPr>
          </w:p>
          <w:p w:rsidR="0037635B" w:rsidRPr="003846CE" w:rsidRDefault="0037635B"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37635B" w:rsidRPr="009206D3" w:rsidRDefault="0037635B" w:rsidP="0037635B">
            <w:pPr>
              <w:pStyle w:val="TableBodyText"/>
              <w:jc w:val="both"/>
            </w:pPr>
            <w:r w:rsidRPr="00CA6C53">
              <w:t>The Australian Institute of Health and Welfare (AIHW) has calculated this indicator. Data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37635B" w:rsidRDefault="0037635B" w:rsidP="0037635B">
            <w:pPr>
              <w:pStyle w:val="TableBodyText"/>
              <w:keepNext w:val="0"/>
              <w:keepLines w:val="0"/>
              <w:widowControl w:val="0"/>
              <w:jc w:val="both"/>
            </w:pPr>
            <w:r>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37635B" w:rsidRPr="002B1286" w:rsidRDefault="0037635B" w:rsidP="0037635B">
            <w:pPr>
              <w:pStyle w:val="TableBodyText"/>
              <w:keepNext w:val="0"/>
              <w:keepLines w:val="0"/>
              <w:widowControl w:val="0"/>
              <w:jc w:val="both"/>
            </w:pPr>
            <w:r>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37635B" w:rsidRPr="002B1286" w:rsidRDefault="0037635B" w:rsidP="00DC466C">
            <w:pPr>
              <w:pStyle w:val="TableBodyText"/>
              <w:keepNext w:val="0"/>
              <w:keepLines w:val="0"/>
              <w:widowControl w:val="0"/>
              <w:jc w:val="both"/>
            </w:pPr>
            <w:r w:rsidRPr="002F6B2E">
              <w:t>The reference period for the data is 20</w:t>
            </w:r>
            <w:r>
              <w:t>1</w:t>
            </w:r>
            <w:r w:rsidR="00DC466C">
              <w:t>2</w:t>
            </w:r>
            <w:r w:rsidRPr="002F6B2E">
              <w:t>. Collection of data for the NPDC is annual.</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37635B" w:rsidRDefault="0037635B" w:rsidP="0037635B">
            <w:pPr>
              <w:pStyle w:val="TableBodyText"/>
              <w:keepNext w:val="0"/>
              <w:keepLines w:val="0"/>
              <w:widowControl w:val="0"/>
              <w:jc w:val="both"/>
            </w:pPr>
            <w:r>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7635B" w:rsidRPr="002B1286" w:rsidRDefault="0037635B" w:rsidP="0037635B">
            <w:pPr>
              <w:pStyle w:val="TableBodyText"/>
              <w:keepNext w:val="0"/>
              <w:keepLines w:val="0"/>
              <w:widowControl w:val="0"/>
              <w:jc w:val="both"/>
            </w:pPr>
            <w:r>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37635B" w:rsidRPr="009206D3" w:rsidRDefault="0037635B" w:rsidP="0037635B">
            <w:pPr>
              <w:pStyle w:val="TableBodyText"/>
              <w:keepNext w:val="0"/>
              <w:keepLines w:val="0"/>
              <w:widowControl w:val="0"/>
              <w:jc w:val="both"/>
            </w:pPr>
            <w:r>
              <w:t xml:space="preserve">Data for this indicator are published in the annual report Australia’s mothers and babies.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37635B" w:rsidRDefault="0037635B" w:rsidP="0037635B">
            <w:pPr>
              <w:pStyle w:val="TableBodyText"/>
              <w:keepNext w:val="0"/>
              <w:keepLines w:val="0"/>
              <w:widowControl w:val="0"/>
              <w:jc w:val="both"/>
            </w:pPr>
            <w:r>
              <w:t>The AIHW provides a variety of products that draw upon the NPDC. Published products available on the AIHW website are:</w:t>
            </w:r>
          </w:p>
          <w:p w:rsidR="0037635B" w:rsidRPr="00CE0118" w:rsidRDefault="0037635B" w:rsidP="00CE22FE">
            <w:pPr>
              <w:pStyle w:val="TableBullet"/>
            </w:pPr>
            <w:r w:rsidRPr="00CE0118">
              <w:t>Australia’s mothers and babies annual report</w:t>
            </w:r>
          </w:p>
          <w:p w:rsidR="0037635B" w:rsidRPr="00CE0118" w:rsidRDefault="006B0096" w:rsidP="006B0096">
            <w:pPr>
              <w:pStyle w:val="TableBullet"/>
            </w:pPr>
            <w:r w:rsidRPr="006B0096">
              <w:t xml:space="preserve">Aboriginal and Torres Strait Islander </w:t>
            </w:r>
            <w:r w:rsidR="0037635B" w:rsidRPr="00CE0118">
              <w:t>mothers and their babies, Australia 2001–2004</w:t>
            </w:r>
          </w:p>
          <w:p w:rsidR="0037635B" w:rsidRPr="00CE0118" w:rsidRDefault="0037635B" w:rsidP="00CE22FE">
            <w:pPr>
              <w:pStyle w:val="TableBullet"/>
            </w:pPr>
            <w:r w:rsidRPr="00CE0118">
              <w:t>METeOR – online metadata repository</w:t>
            </w:r>
          </w:p>
          <w:p w:rsidR="0037635B" w:rsidRPr="00CE0118" w:rsidRDefault="0037635B" w:rsidP="00CE22FE">
            <w:pPr>
              <w:pStyle w:val="TableBullet"/>
            </w:pPr>
            <w:r w:rsidRPr="00CE0118">
              <w:t>National health data dictionary.</w:t>
            </w:r>
          </w:p>
          <w:p w:rsidR="0037635B" w:rsidRPr="009206D3" w:rsidRDefault="0037635B" w:rsidP="0037635B">
            <w:pPr>
              <w:pStyle w:val="TableBodyText"/>
              <w:keepNext w:val="0"/>
              <w:keepLines w:val="0"/>
              <w:widowControl w:val="0"/>
              <w:jc w:val="both"/>
            </w:pPr>
            <w:r>
              <w:t>Ad-hoc data are also available on request (charges apply to recover costs).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37635B" w:rsidRDefault="0037635B" w:rsidP="0037635B">
            <w:pPr>
              <w:pStyle w:val="TableBodyText"/>
              <w:keepNext w:val="0"/>
              <w:keepLines w:val="0"/>
              <w:widowControl w:val="0"/>
              <w:jc w:val="both"/>
            </w:pPr>
            <w:r>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w:t>
            </w:r>
            <w:r w:rsidR="006B0096" w:rsidRPr="006B0096">
              <w:t xml:space="preserve">Aboriginal and Torres Strait Islander </w:t>
            </w:r>
            <w:r>
              <w:t xml:space="preserve">data that might affect interpretation of the indicator was published in </w:t>
            </w:r>
            <w:r w:rsidR="006B0096" w:rsidRPr="006B0096">
              <w:t xml:space="preserve">Aboriginal and Torres Strait Islander </w:t>
            </w:r>
            <w:r>
              <w:t xml:space="preserve">mothers and their babies, Australia 2001–2004 (Chapter 1 and Chapter 5). </w:t>
            </w:r>
          </w:p>
          <w:p w:rsidR="0037635B" w:rsidRPr="009206D3" w:rsidRDefault="0037635B" w:rsidP="0037635B">
            <w:pPr>
              <w:pStyle w:val="TableBodyText"/>
              <w:keepNext w:val="0"/>
              <w:keepLines w:val="0"/>
              <w:widowControl w:val="0"/>
              <w:jc w:val="both"/>
            </w:pPr>
            <w:r>
              <w:t>Metadata information for this indicator has been published in the AIHW’s online metadata repository — METeOR. Metadata information for the Perinatal NMDS are also published in METeOR, and the National health data dictionary.</w:t>
            </w:r>
          </w:p>
        </w:tc>
      </w:tr>
      <w:tr w:rsidR="0037635B" w:rsidRPr="003846CE" w:rsidTr="009F4002">
        <w:tc>
          <w:tcPr>
            <w:tcW w:w="8789" w:type="dxa"/>
            <w:gridSpan w:val="2"/>
            <w:vAlign w:val="bottom"/>
          </w:tcPr>
          <w:p w:rsidR="0037635B" w:rsidRDefault="0037635B" w:rsidP="0037635B">
            <w:pPr>
              <w:widowControl w:val="0"/>
              <w:spacing w:after="40" w:line="200" w:lineRule="atLeast"/>
              <w:ind w:left="6" w:right="113"/>
              <w:jc w:val="both"/>
              <w:rPr>
                <w:rFonts w:ascii="Arial" w:hAnsi="Arial"/>
                <w:b/>
                <w:color w:val="000000"/>
                <w:sz w:val="18"/>
                <w:szCs w:val="20"/>
              </w:rPr>
            </w:pPr>
          </w:p>
          <w:p w:rsidR="0037635B" w:rsidRPr="003846CE" w:rsidRDefault="0037635B"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37635B" w:rsidRPr="003846CE" w:rsidTr="009F4002">
        <w:tc>
          <w:tcPr>
            <w:tcW w:w="1620" w:type="dxa"/>
          </w:tcPr>
          <w:p w:rsidR="0037635B" w:rsidRPr="003846CE" w:rsidRDefault="0037635B" w:rsidP="0037635B">
            <w:pPr>
              <w:widowControl w:val="0"/>
              <w:spacing w:after="40" w:line="200" w:lineRule="atLeast"/>
              <w:ind w:left="6" w:right="113"/>
              <w:rPr>
                <w:rFonts w:ascii="Arial" w:hAnsi="Arial"/>
                <w:b/>
                <w:sz w:val="18"/>
                <w:szCs w:val="20"/>
              </w:rPr>
            </w:pPr>
            <w:r w:rsidRPr="007D0D79">
              <w:rPr>
                <w:rFonts w:ascii="Arial" w:hAnsi="Arial"/>
                <w:b/>
                <w:sz w:val="18"/>
                <w:szCs w:val="20"/>
              </w:rPr>
              <w:lastRenderedPageBreak/>
              <w:t>Key data gaps/issues</w:t>
            </w:r>
          </w:p>
        </w:tc>
        <w:tc>
          <w:tcPr>
            <w:tcW w:w="7169" w:type="dxa"/>
          </w:tcPr>
          <w:p w:rsidR="0037635B" w:rsidRDefault="0037635B" w:rsidP="00F227D6">
            <w:pPr>
              <w:pStyle w:val="TableBodyText"/>
              <w:keepNext w:val="0"/>
              <w:keepLines w:val="0"/>
              <w:widowControl w:val="0"/>
              <w:jc w:val="both"/>
              <w:rPr>
                <w:rFonts w:cs="Arial"/>
              </w:rPr>
            </w:pPr>
            <w:r w:rsidRPr="00512C7C">
              <w:rPr>
                <w:rFonts w:cs="Arial"/>
              </w:rPr>
              <w:t>The Steering Committee notes the following issues:</w:t>
            </w:r>
          </w:p>
          <w:p w:rsidR="0037635B" w:rsidRPr="002B0257" w:rsidRDefault="0037635B" w:rsidP="00F227D6">
            <w:pPr>
              <w:pStyle w:val="TableBullet"/>
              <w:jc w:val="both"/>
            </w:pPr>
            <w:r w:rsidRPr="002B0257">
              <w:t>Data include all women who gave birth vaginally, including births in public hospitals, private hospitals and outside of hospital, such as homebirths.</w:t>
            </w:r>
          </w:p>
          <w:p w:rsidR="0037635B" w:rsidRPr="002B0257" w:rsidRDefault="0037635B" w:rsidP="00F227D6">
            <w:pPr>
              <w:pStyle w:val="TableBullet"/>
              <w:jc w:val="both"/>
            </w:pPr>
            <w:r w:rsidRPr="002B0257">
              <w:t>Data are relatively old and may not be representative of current outcomes. Further work is required to ensure availability of more timely data.</w:t>
            </w:r>
          </w:p>
          <w:p w:rsidR="0037635B" w:rsidRPr="002B0257" w:rsidRDefault="0037635B" w:rsidP="00F227D6">
            <w:pPr>
              <w:pStyle w:val="TableBullet"/>
              <w:jc w:val="both"/>
            </w:pPr>
            <w:r w:rsidRPr="002B0257">
              <w:t>A formal assessment of the extent of under-identification of Indigenous status in the NPDC is required. This will identify whether the data require adjustment, and contribute to improved time series reporting.</w:t>
            </w:r>
          </w:p>
          <w:p w:rsidR="0037635B" w:rsidRPr="00512C7C" w:rsidRDefault="0037635B" w:rsidP="00F227D6">
            <w:pPr>
              <w:pStyle w:val="TableBullet"/>
              <w:jc w:val="both"/>
              <w:rPr>
                <w:rStyle w:val="DraftingNote"/>
                <w:b w:val="0"/>
                <w:color w:val="auto"/>
                <w:sz w:val="22"/>
                <w:szCs w:val="22"/>
                <w:u w:val="none"/>
              </w:rPr>
            </w:pPr>
            <w:r w:rsidRPr="002B0257">
              <w:t>Disaggregation of this indicator for SES and remoteness by State and Territory is a priority. Further development work on the current data source is required.</w:t>
            </w:r>
          </w:p>
        </w:tc>
      </w:tr>
    </w:tbl>
    <w:p w:rsidR="0090363E" w:rsidRPr="007B7074" w:rsidRDefault="0090363E" w:rsidP="0090363E">
      <w:pPr>
        <w:pStyle w:val="Heading3"/>
      </w:pPr>
      <w:bookmarkStart w:id="19" w:name="_Toc401912936"/>
      <w:r w:rsidRPr="007B7074">
        <w:t>Mother’s average length of stay</w:t>
      </w:r>
      <w:bookmarkEnd w:id="19"/>
    </w:p>
    <w:p w:rsidR="0090363E" w:rsidRPr="007B7074" w:rsidRDefault="0090363E" w:rsidP="0090363E">
      <w:pPr>
        <w:pStyle w:val="BodyText"/>
      </w:pPr>
      <w:r w:rsidRPr="007B7074">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7B7074" w:rsidTr="009F4002">
        <w:tc>
          <w:tcPr>
            <w:tcW w:w="8789" w:type="dxa"/>
            <w:gridSpan w:val="2"/>
            <w:vAlign w:val="bottom"/>
          </w:tcPr>
          <w:p w:rsidR="007D0D79" w:rsidRPr="007B7074" w:rsidRDefault="007D0D79" w:rsidP="00905501">
            <w:pPr>
              <w:widowControl w:val="0"/>
              <w:spacing w:after="40" w:line="200" w:lineRule="atLeast"/>
              <w:ind w:left="6" w:right="113"/>
              <w:jc w:val="both"/>
              <w:rPr>
                <w:rFonts w:ascii="Arial" w:hAnsi="Arial"/>
                <w:b/>
                <w:sz w:val="18"/>
                <w:szCs w:val="20"/>
              </w:rPr>
            </w:pPr>
          </w:p>
          <w:p w:rsidR="007D0D79" w:rsidRPr="007B7074" w:rsidRDefault="007D0D79" w:rsidP="00905501">
            <w:pPr>
              <w:widowControl w:val="0"/>
              <w:spacing w:after="40" w:line="200" w:lineRule="atLeast"/>
              <w:ind w:left="6" w:right="113"/>
              <w:jc w:val="both"/>
              <w:rPr>
                <w:rFonts w:ascii="Arial" w:hAnsi="Arial"/>
                <w:b/>
                <w:sz w:val="18"/>
                <w:szCs w:val="20"/>
                <w:u w:val="single"/>
              </w:rPr>
            </w:pPr>
            <w:r w:rsidRPr="007B7074">
              <w:rPr>
                <w:rFonts w:ascii="Arial" w:hAnsi="Arial"/>
                <w:b/>
                <w:sz w:val="18"/>
                <w:szCs w:val="20"/>
                <w:u w:val="single"/>
              </w:rPr>
              <w:t>Indicator definition and description</w:t>
            </w:r>
          </w:p>
        </w:tc>
      </w:tr>
      <w:tr w:rsidR="007D0D79" w:rsidRPr="007B7074" w:rsidTr="009F4002">
        <w:tc>
          <w:tcPr>
            <w:tcW w:w="1620" w:type="dxa"/>
          </w:tcPr>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Element</w:t>
            </w:r>
          </w:p>
        </w:tc>
        <w:tc>
          <w:tcPr>
            <w:tcW w:w="7169" w:type="dxa"/>
          </w:tcPr>
          <w:p w:rsidR="007D0D79" w:rsidRPr="007B7074" w:rsidRDefault="007B7074" w:rsidP="00905501">
            <w:pPr>
              <w:widowControl w:val="0"/>
              <w:spacing w:after="40" w:line="200" w:lineRule="atLeast"/>
              <w:ind w:left="6" w:right="113"/>
              <w:jc w:val="both"/>
              <w:rPr>
                <w:rFonts w:ascii="Arial" w:hAnsi="Arial"/>
                <w:sz w:val="18"/>
                <w:szCs w:val="20"/>
              </w:rPr>
            </w:pPr>
            <w:r w:rsidRPr="007B7074">
              <w:rPr>
                <w:rFonts w:ascii="Arial" w:hAnsi="Arial"/>
                <w:sz w:val="18"/>
                <w:szCs w:val="20"/>
              </w:rPr>
              <w:t>Efficiency</w:t>
            </w:r>
          </w:p>
        </w:tc>
      </w:tr>
      <w:tr w:rsidR="007D0D79" w:rsidRPr="007B7074" w:rsidTr="009F4002">
        <w:tc>
          <w:tcPr>
            <w:tcW w:w="1620" w:type="dxa"/>
          </w:tcPr>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Indicator</w:t>
            </w:r>
          </w:p>
        </w:tc>
        <w:tc>
          <w:tcPr>
            <w:tcW w:w="7169" w:type="dxa"/>
            <w:vAlign w:val="bottom"/>
          </w:tcPr>
          <w:p w:rsidR="007D0D79" w:rsidRPr="007B7074" w:rsidRDefault="007B7074" w:rsidP="00905501">
            <w:pPr>
              <w:widowControl w:val="0"/>
              <w:spacing w:after="40" w:line="200" w:lineRule="atLeast"/>
              <w:ind w:left="6" w:right="113"/>
              <w:jc w:val="both"/>
              <w:rPr>
                <w:rFonts w:ascii="Arial" w:hAnsi="Arial"/>
                <w:sz w:val="18"/>
                <w:szCs w:val="20"/>
              </w:rPr>
            </w:pPr>
            <w:r w:rsidRPr="007B7074">
              <w:rPr>
                <w:rFonts w:ascii="Arial" w:hAnsi="Arial"/>
                <w:sz w:val="18"/>
                <w:szCs w:val="20"/>
              </w:rPr>
              <w:t>Mother’s average length of stay</w:t>
            </w:r>
          </w:p>
        </w:tc>
      </w:tr>
      <w:tr w:rsidR="007B7074" w:rsidRPr="007B7074" w:rsidTr="009F4002">
        <w:tc>
          <w:tcPr>
            <w:tcW w:w="1620" w:type="dxa"/>
          </w:tcPr>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Measure</w:t>
            </w:r>
          </w:p>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(computation</w:t>
            </w:r>
          </w:p>
        </w:tc>
        <w:tc>
          <w:tcPr>
            <w:tcW w:w="7169" w:type="dxa"/>
            <w:vAlign w:val="bottom"/>
          </w:tcPr>
          <w:p w:rsidR="007D0D79" w:rsidRPr="007B7074" w:rsidRDefault="007B7074" w:rsidP="00905501">
            <w:pPr>
              <w:widowControl w:val="0"/>
              <w:spacing w:after="40" w:line="200" w:lineRule="atLeast"/>
              <w:ind w:left="6" w:right="113"/>
              <w:jc w:val="both"/>
              <w:rPr>
                <w:rFonts w:ascii="Arial" w:hAnsi="Arial"/>
                <w:sz w:val="18"/>
                <w:szCs w:val="20"/>
              </w:rPr>
            </w:pPr>
            <w:r w:rsidRPr="007B7074">
              <w:rPr>
                <w:rFonts w:ascii="Arial" w:hAnsi="Arial"/>
                <w:sz w:val="18"/>
                <w:szCs w:val="20"/>
              </w:rPr>
              <w:t>‘Mother’s average length of stay’ is defined as the total number of patient days for the selected maternity AR-DRG, divided by the number of separations for that AR-DRG. The AR-DRGs are:</w:t>
            </w:r>
          </w:p>
          <w:p w:rsidR="007B7074" w:rsidRPr="007B7074" w:rsidRDefault="007B7074" w:rsidP="007B7074">
            <w:pPr>
              <w:pStyle w:val="TableBullet"/>
            </w:pPr>
            <w:r w:rsidRPr="007B7074">
              <w:t>caesarean delivery without catastrophic or severe complications and comorbidities</w:t>
            </w:r>
          </w:p>
          <w:p w:rsidR="007B7074" w:rsidRPr="007B7074" w:rsidRDefault="007B7074" w:rsidP="007B7074">
            <w:pPr>
              <w:pStyle w:val="TableBullet"/>
            </w:pPr>
            <w:r w:rsidRPr="007B7074">
              <w:t xml:space="preserve">vaginal delivery single uncomplicated. </w:t>
            </w:r>
          </w:p>
        </w:tc>
      </w:tr>
      <w:tr w:rsidR="007607C7" w:rsidRPr="007607C7" w:rsidTr="009F4002">
        <w:tc>
          <w:tcPr>
            <w:tcW w:w="1620" w:type="dxa"/>
          </w:tcPr>
          <w:p w:rsidR="007D0D79" w:rsidRPr="007607C7" w:rsidRDefault="007D0D79" w:rsidP="00905501">
            <w:pPr>
              <w:widowControl w:val="0"/>
              <w:spacing w:after="40" w:line="200" w:lineRule="atLeast"/>
              <w:ind w:left="6" w:right="113"/>
              <w:rPr>
                <w:rFonts w:ascii="Arial" w:hAnsi="Arial"/>
                <w:b/>
                <w:sz w:val="18"/>
                <w:szCs w:val="20"/>
              </w:rPr>
            </w:pPr>
            <w:r w:rsidRPr="007607C7">
              <w:rPr>
                <w:rFonts w:ascii="Arial" w:hAnsi="Arial"/>
                <w:b/>
                <w:sz w:val="18"/>
                <w:szCs w:val="20"/>
              </w:rPr>
              <w:t>Data source/s</w:t>
            </w:r>
          </w:p>
        </w:tc>
        <w:tc>
          <w:tcPr>
            <w:tcW w:w="7169" w:type="dxa"/>
          </w:tcPr>
          <w:p w:rsidR="007D0D79" w:rsidRPr="007607C7" w:rsidRDefault="007607C7" w:rsidP="00905501">
            <w:pPr>
              <w:widowControl w:val="0"/>
              <w:spacing w:after="40" w:line="200" w:lineRule="atLeast"/>
              <w:ind w:left="6" w:right="113"/>
              <w:jc w:val="both"/>
              <w:rPr>
                <w:rFonts w:ascii="Arial" w:hAnsi="Arial"/>
                <w:sz w:val="18"/>
                <w:szCs w:val="20"/>
              </w:rPr>
            </w:pPr>
            <w:r w:rsidRPr="007607C7">
              <w:rPr>
                <w:rFonts w:ascii="Arial" w:hAnsi="Arial"/>
                <w:sz w:val="18"/>
                <w:szCs w:val="20"/>
              </w:rPr>
              <w:t>This indicator is calculated using data from the National Hospital Morbidity Database (NHMD), based on the national minimum data set (NMDS) for Admitted patient care.</w:t>
            </w:r>
          </w:p>
        </w:tc>
      </w:tr>
      <w:tr w:rsidR="007607C7" w:rsidRPr="007607C7" w:rsidTr="009F4002">
        <w:tc>
          <w:tcPr>
            <w:tcW w:w="8789" w:type="dxa"/>
            <w:gridSpan w:val="2"/>
            <w:vAlign w:val="bottom"/>
          </w:tcPr>
          <w:p w:rsidR="007D0D79" w:rsidRPr="007607C7" w:rsidRDefault="007D0D79" w:rsidP="00905501">
            <w:pPr>
              <w:widowControl w:val="0"/>
              <w:spacing w:after="40" w:line="200" w:lineRule="atLeast"/>
              <w:ind w:left="6" w:right="113"/>
              <w:jc w:val="both"/>
              <w:rPr>
                <w:rFonts w:ascii="Arial" w:hAnsi="Arial"/>
                <w:b/>
                <w:sz w:val="18"/>
                <w:szCs w:val="20"/>
              </w:rPr>
            </w:pPr>
          </w:p>
          <w:p w:rsidR="007D0D79" w:rsidRPr="007607C7" w:rsidRDefault="007D0D79" w:rsidP="00905501">
            <w:pPr>
              <w:widowControl w:val="0"/>
              <w:spacing w:after="40" w:line="200" w:lineRule="atLeast"/>
              <w:ind w:left="6" w:right="113"/>
              <w:jc w:val="both"/>
              <w:rPr>
                <w:rFonts w:ascii="Arial" w:hAnsi="Arial"/>
                <w:b/>
                <w:sz w:val="18"/>
                <w:szCs w:val="20"/>
                <w:u w:val="single"/>
              </w:rPr>
            </w:pPr>
            <w:r w:rsidRPr="007607C7">
              <w:rPr>
                <w:rFonts w:ascii="Arial" w:hAnsi="Arial"/>
                <w:b/>
                <w:sz w:val="18"/>
                <w:szCs w:val="20"/>
                <w:u w:val="single"/>
              </w:rPr>
              <w:t>Data Quality Framework Dimensions</w:t>
            </w:r>
          </w:p>
        </w:tc>
      </w:tr>
      <w:tr w:rsidR="007607C7" w:rsidRPr="007607C7" w:rsidTr="009F4002">
        <w:tc>
          <w:tcPr>
            <w:tcW w:w="1620" w:type="dxa"/>
          </w:tcPr>
          <w:p w:rsidR="007607C7" w:rsidRPr="007607C7" w:rsidRDefault="007607C7" w:rsidP="00905501">
            <w:pPr>
              <w:widowControl w:val="0"/>
              <w:spacing w:after="40" w:line="200" w:lineRule="atLeast"/>
              <w:ind w:left="6" w:right="113"/>
              <w:jc w:val="both"/>
              <w:rPr>
                <w:rFonts w:ascii="Arial" w:hAnsi="Arial"/>
                <w:b/>
                <w:sz w:val="18"/>
                <w:szCs w:val="20"/>
              </w:rPr>
            </w:pPr>
            <w:r w:rsidRPr="007607C7">
              <w:rPr>
                <w:rFonts w:ascii="Arial" w:hAnsi="Arial"/>
                <w:b/>
                <w:sz w:val="18"/>
                <w:szCs w:val="20"/>
              </w:rPr>
              <w:t>Institutional environment</w:t>
            </w:r>
          </w:p>
        </w:tc>
        <w:tc>
          <w:tcPr>
            <w:tcW w:w="7169" w:type="dxa"/>
            <w:shd w:val="clear" w:color="auto" w:fill="auto"/>
          </w:tcPr>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For further information see the AIHW website www.aihw.gov.au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Data for the NESWTDC were supplied to the AIHW by state and territory health authorities under the terms of the National Health Information Agreement (see the following links):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lastRenderedPageBreak/>
              <w:t xml:space="preserve">http://www.aihw.gov.au/nhissc/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http://meteor.aihw.gov.au/content/index.phtml/itemId/182135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lastRenderedPageBreak/>
              <w:t>Relevance</w:t>
            </w:r>
          </w:p>
        </w:tc>
        <w:tc>
          <w:tcPr>
            <w:tcW w:w="7169" w:type="dxa"/>
            <w:shd w:val="clear" w:color="auto" w:fill="auto"/>
          </w:tcPr>
          <w:p w:rsidR="007607C7" w:rsidRPr="001A48A4" w:rsidRDefault="007607C7" w:rsidP="007607C7">
            <w:pPr>
              <w:widowControl w:val="0"/>
              <w:spacing w:after="40" w:line="200" w:lineRule="atLeast"/>
              <w:ind w:left="6" w:right="113"/>
              <w:jc w:val="both"/>
              <w:rPr>
                <w:rFonts w:ascii="Arial" w:hAnsi="Arial"/>
                <w:sz w:val="18"/>
                <w:szCs w:val="20"/>
              </w:rPr>
            </w:pPr>
            <w:r w:rsidRPr="001A48A4">
              <w:rPr>
                <w:rFonts w:ascii="Arial" w:hAnsi="Arial"/>
                <w:sz w:val="18"/>
                <w:szCs w:val="20"/>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7607C7" w:rsidRPr="001A48A4" w:rsidRDefault="007607C7" w:rsidP="007607C7">
            <w:pPr>
              <w:widowControl w:val="0"/>
              <w:spacing w:after="40" w:line="200" w:lineRule="atLeast"/>
              <w:ind w:left="6" w:right="113"/>
              <w:jc w:val="both"/>
              <w:rPr>
                <w:rFonts w:ascii="Arial" w:hAnsi="Arial"/>
                <w:sz w:val="18"/>
                <w:szCs w:val="20"/>
              </w:rPr>
            </w:pPr>
            <w:r w:rsidRPr="001A48A4">
              <w:rPr>
                <w:rFonts w:ascii="Arial" w:hAnsi="Arial"/>
                <w:sz w:val="18"/>
                <w:szCs w:val="20"/>
              </w:rPr>
              <w:t>The hospital separations data do not include episodes of non-admitted patient care provided in outpatient clinics or emergency departments.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Timeliness</w:t>
            </w:r>
          </w:p>
        </w:tc>
        <w:tc>
          <w:tcPr>
            <w:tcW w:w="7169" w:type="dxa"/>
          </w:tcPr>
          <w:p w:rsidR="007607C7" w:rsidRPr="001A48A4" w:rsidRDefault="007607C7" w:rsidP="007607C7">
            <w:pPr>
              <w:widowControl w:val="0"/>
              <w:spacing w:after="40" w:line="200" w:lineRule="atLeast"/>
              <w:ind w:left="6" w:right="113"/>
              <w:jc w:val="both"/>
              <w:rPr>
                <w:rFonts w:ascii="Arial" w:hAnsi="Arial"/>
                <w:sz w:val="18"/>
                <w:szCs w:val="20"/>
              </w:rPr>
            </w:pPr>
            <w:r w:rsidRPr="001A48A4">
              <w:rPr>
                <w:rFonts w:ascii="Arial" w:hAnsi="Arial"/>
                <w:sz w:val="18"/>
                <w:szCs w:val="20"/>
              </w:rPr>
              <w:t>The reference period for this data set is 2012–13.</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Accuracy</w:t>
            </w:r>
          </w:p>
        </w:tc>
        <w:tc>
          <w:tcPr>
            <w:tcW w:w="7169" w:type="dxa"/>
          </w:tcPr>
          <w:p w:rsidR="007607C7" w:rsidRPr="001A48A4" w:rsidRDefault="007607C7" w:rsidP="007607C7">
            <w:pPr>
              <w:pStyle w:val="TableBodyText"/>
              <w:jc w:val="both"/>
            </w:pPr>
            <w:r w:rsidRPr="001A48A4">
              <w:t xml:space="preserve">For 2012–13, almost all public hospitals provided data for the NHMD. The exception was a mothercraft hospital in the </w:t>
            </w:r>
            <w:r w:rsidR="00FA5C46">
              <w:t>ACT</w:t>
            </w:r>
            <w:r w:rsidRPr="001A48A4">
              <w:t xml:space="preserve">. The great majority of private hospitals also provided data, the exceptions being the private free-standing day hospital facilities in the </w:t>
            </w:r>
            <w:r w:rsidR="00FA5C46">
              <w:t>ACT</w:t>
            </w:r>
            <w:r w:rsidRPr="001A48A4">
              <w:t xml:space="preserve">, the single private free-standing day hospital in the </w:t>
            </w:r>
            <w:r w:rsidR="00FA5C46">
              <w:t>NT</w:t>
            </w:r>
            <w:r w:rsidRPr="001A48A4">
              <w:t>, and a private free-standing day hospital in Victoria.</w:t>
            </w:r>
          </w:p>
          <w:p w:rsidR="007607C7" w:rsidRPr="001A48A4" w:rsidRDefault="007607C7" w:rsidP="00EE0B95">
            <w:pPr>
              <w:pStyle w:val="TableBodyText"/>
              <w:jc w:val="both"/>
            </w:pPr>
            <w:r w:rsidRPr="001A48A4">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Coherence</w:t>
            </w:r>
          </w:p>
        </w:tc>
        <w:tc>
          <w:tcPr>
            <w:tcW w:w="7169" w:type="dxa"/>
          </w:tcPr>
          <w:p w:rsidR="007607C7" w:rsidRPr="001A48A4" w:rsidRDefault="007607C7" w:rsidP="007607C7">
            <w:pPr>
              <w:pStyle w:val="TableBodyText"/>
              <w:keepNext w:val="0"/>
              <w:keepLines w:val="0"/>
              <w:widowControl w:val="0"/>
              <w:jc w:val="both"/>
            </w:pPr>
            <w:r w:rsidRPr="001A48A4">
              <w:t xml:space="preserve">The information presented for this indicator is calculated using the same methodology as data published in </w:t>
            </w:r>
            <w:r w:rsidRPr="001A48A4">
              <w:rPr>
                <w:i/>
              </w:rPr>
              <w:t>Australian hospital statistics 2012–13</w:t>
            </w:r>
            <w:r w:rsidRPr="001A48A4">
              <w:t>.</w:t>
            </w:r>
          </w:p>
          <w:p w:rsidR="007607C7" w:rsidRDefault="007607C7" w:rsidP="007607C7">
            <w:pPr>
              <w:pStyle w:val="TableBodyText"/>
              <w:keepNext w:val="0"/>
              <w:keepLines w:val="0"/>
              <w:widowControl w:val="0"/>
              <w:jc w:val="both"/>
            </w:pPr>
            <w:r w:rsidRPr="001A48A4">
              <w:t>The data can be meaningfully compared across all jurisdictions.</w:t>
            </w:r>
          </w:p>
          <w:p w:rsidR="00ED5D8F" w:rsidRPr="001A48A4" w:rsidRDefault="00ED5D8F" w:rsidP="00ED5D8F">
            <w:pPr>
              <w:pStyle w:val="TableBodyText"/>
              <w:widowControl w:val="0"/>
              <w:jc w:val="both"/>
            </w:pPr>
            <w:r>
              <w:t>Due to changes in the classification between AR-DRG version 5.2, AR-DRG version 6.0 and AR-DRG version 6.0x, the data presented here are not comparable with the data presented in previous reports.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Accessibility</w:t>
            </w:r>
          </w:p>
        </w:tc>
        <w:tc>
          <w:tcPr>
            <w:tcW w:w="7169" w:type="dxa"/>
          </w:tcPr>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The AIHW provides a variety of products that draw upon the NHMD. Published products available on the AIHW website are:</w:t>
            </w:r>
          </w:p>
          <w:p w:rsidR="007607C7" w:rsidRPr="001A48A4" w:rsidRDefault="007607C7" w:rsidP="007607C7">
            <w:pPr>
              <w:widowControl w:val="0"/>
              <w:numPr>
                <w:ilvl w:val="0"/>
                <w:numId w:val="8"/>
              </w:numPr>
              <w:spacing w:after="40" w:line="220" w:lineRule="atLeast"/>
              <w:ind w:right="113"/>
              <w:rPr>
                <w:rFonts w:ascii="Arial" w:hAnsi="Arial"/>
                <w:sz w:val="18"/>
                <w:szCs w:val="18"/>
              </w:rPr>
            </w:pPr>
            <w:r w:rsidRPr="001A48A4">
              <w:rPr>
                <w:rFonts w:ascii="Arial" w:hAnsi="Arial"/>
                <w:sz w:val="18"/>
                <w:szCs w:val="18"/>
              </w:rPr>
              <w:t xml:space="preserve">Australian hospital statistics with associated Excel tables </w:t>
            </w:r>
          </w:p>
          <w:p w:rsidR="007607C7" w:rsidRPr="001A48A4" w:rsidRDefault="007607C7" w:rsidP="007607C7">
            <w:pPr>
              <w:widowControl w:val="0"/>
              <w:numPr>
                <w:ilvl w:val="0"/>
                <w:numId w:val="8"/>
              </w:numPr>
              <w:spacing w:after="40" w:line="220" w:lineRule="atLeast"/>
              <w:ind w:right="113"/>
              <w:rPr>
                <w:rFonts w:ascii="Arial" w:hAnsi="Arial"/>
                <w:sz w:val="18"/>
                <w:szCs w:val="18"/>
              </w:rPr>
            </w:pPr>
            <w:r w:rsidRPr="001A48A4">
              <w:rPr>
                <w:rFonts w:ascii="Arial" w:hAnsi="Arial"/>
                <w:sz w:val="18"/>
                <w:szCs w:val="18"/>
              </w:rPr>
              <w:t>interactive data cubes for Admitted patient care (for Principal diagnoses, Procedures and Diagnosis Related Groups).</w:t>
            </w:r>
          </w:p>
          <w:p w:rsidR="007607C7" w:rsidRPr="001A48A4" w:rsidRDefault="007607C7" w:rsidP="007607C7">
            <w:pPr>
              <w:pStyle w:val="TableBodyText"/>
              <w:jc w:val="both"/>
            </w:pPr>
            <w:r w:rsidRPr="001A48A4">
              <w:rPr>
                <w:rFonts w:cs="Arial"/>
                <w:szCs w:val="18"/>
              </w:rPr>
              <w:t xml:space="preserve">These products may be accessed on the AIHW website at: </w:t>
            </w:r>
            <w:r w:rsidRPr="001A48A4">
              <w:rPr>
                <w:rFonts w:cs="Arial"/>
                <w:szCs w:val="18"/>
                <w:u w:val="single"/>
              </w:rPr>
              <w:t>http://www.aihw.gov.au/hospitals/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Interpretability</w:t>
            </w:r>
          </w:p>
        </w:tc>
        <w:tc>
          <w:tcPr>
            <w:tcW w:w="7169" w:type="dxa"/>
          </w:tcPr>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rPr>
                <w:rFonts w:ascii="Arial" w:hAnsi="Arial"/>
                <w:sz w:val="18"/>
                <w:szCs w:val="18"/>
              </w:rPr>
              <w:t xml:space="preserve">Aboriginal and Torres Strait Islander </w:t>
            </w:r>
            <w:r w:rsidRPr="001A48A4">
              <w:rPr>
                <w:rFonts w:ascii="Arial" w:hAnsi="Arial"/>
                <w:sz w:val="18"/>
                <w:szCs w:val="18"/>
              </w:rPr>
              <w:t>data, and changes in service delivery that might affect interpretation of the published data. Metadata information for the National Minimum Data Set (NMDS) for Admitted patient care is published in the AIHW’s online metadata repository, METeOR, and the National health data dictionary.</w:t>
            </w:r>
          </w:p>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The National health data dictionary can be accessed online at:</w:t>
            </w:r>
          </w:p>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u w:val="single"/>
              </w:rPr>
              <w:t>http://www.aihw.gov.au/publication-detail/?id=10737422826</w:t>
            </w:r>
            <w:r w:rsidRPr="001A48A4">
              <w:rPr>
                <w:rFonts w:ascii="Arial" w:hAnsi="Arial"/>
                <w:sz w:val="18"/>
                <w:szCs w:val="18"/>
              </w:rPr>
              <w:t xml:space="preserve"> </w:t>
            </w:r>
          </w:p>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The Data Quality Statement for the National Hospital Morbidity Database can be accessed on the AIHW website at:</w:t>
            </w:r>
          </w:p>
          <w:p w:rsidR="007607C7" w:rsidRPr="001A48A4" w:rsidRDefault="007607C7" w:rsidP="007607C7">
            <w:pPr>
              <w:pStyle w:val="TableBodyText"/>
              <w:jc w:val="both"/>
            </w:pPr>
            <w:r w:rsidRPr="001A48A4">
              <w:rPr>
                <w:rFonts w:cs="Arial"/>
                <w:szCs w:val="18"/>
                <w:u w:val="single"/>
              </w:rPr>
              <w:t>http://meteor.aihw.gov.au/content/index.phtml/itemId/529483</w:t>
            </w:r>
          </w:p>
        </w:tc>
      </w:tr>
      <w:tr w:rsidR="007607C7" w:rsidRPr="001A48A4" w:rsidTr="009F4002">
        <w:tc>
          <w:tcPr>
            <w:tcW w:w="8789" w:type="dxa"/>
            <w:gridSpan w:val="2"/>
            <w:vAlign w:val="bottom"/>
          </w:tcPr>
          <w:p w:rsidR="007607C7" w:rsidRPr="001A48A4" w:rsidRDefault="007607C7" w:rsidP="00FD5CF8">
            <w:pPr>
              <w:widowControl w:val="0"/>
              <w:spacing w:after="40" w:line="200" w:lineRule="atLeast"/>
              <w:ind w:left="6" w:right="113"/>
              <w:jc w:val="both"/>
              <w:rPr>
                <w:rFonts w:ascii="Arial" w:hAnsi="Arial"/>
                <w:b/>
                <w:sz w:val="18"/>
                <w:szCs w:val="20"/>
              </w:rPr>
            </w:pPr>
          </w:p>
          <w:p w:rsidR="007607C7" w:rsidRPr="001A48A4" w:rsidRDefault="007607C7" w:rsidP="00FD5CF8">
            <w:pPr>
              <w:widowControl w:val="0"/>
              <w:spacing w:after="40" w:line="200" w:lineRule="atLeast"/>
              <w:ind w:left="6" w:right="113"/>
              <w:jc w:val="both"/>
              <w:rPr>
                <w:rFonts w:ascii="Arial" w:hAnsi="Arial"/>
                <w:b/>
                <w:sz w:val="18"/>
                <w:szCs w:val="20"/>
                <w:u w:val="single"/>
              </w:rPr>
            </w:pPr>
            <w:r w:rsidRPr="001A48A4">
              <w:rPr>
                <w:rFonts w:ascii="Arial" w:hAnsi="Arial"/>
                <w:b/>
                <w:sz w:val="18"/>
                <w:szCs w:val="20"/>
                <w:u w:val="single"/>
              </w:rPr>
              <w:t>Data Gaps/Issues Analysis</w:t>
            </w:r>
          </w:p>
        </w:tc>
      </w:tr>
      <w:tr w:rsidR="007607C7" w:rsidRPr="001A48A4" w:rsidTr="009F4002">
        <w:tc>
          <w:tcPr>
            <w:tcW w:w="1620" w:type="dxa"/>
          </w:tcPr>
          <w:p w:rsidR="007607C7" w:rsidRPr="001A48A4" w:rsidRDefault="007607C7" w:rsidP="00FD5CF8">
            <w:pPr>
              <w:widowControl w:val="0"/>
              <w:spacing w:after="40" w:line="200" w:lineRule="atLeast"/>
              <w:ind w:left="6" w:right="113"/>
              <w:rPr>
                <w:rFonts w:ascii="Arial" w:hAnsi="Arial"/>
                <w:b/>
                <w:sz w:val="18"/>
                <w:szCs w:val="20"/>
              </w:rPr>
            </w:pPr>
            <w:r w:rsidRPr="001A48A4">
              <w:rPr>
                <w:rFonts w:ascii="Arial" w:hAnsi="Arial"/>
                <w:b/>
                <w:sz w:val="18"/>
                <w:szCs w:val="20"/>
              </w:rPr>
              <w:lastRenderedPageBreak/>
              <w:t>Key data gaps/issues</w:t>
            </w:r>
          </w:p>
        </w:tc>
        <w:tc>
          <w:tcPr>
            <w:tcW w:w="7169" w:type="dxa"/>
          </w:tcPr>
          <w:p w:rsidR="00EE0B95" w:rsidRDefault="00EE0B95" w:rsidP="00FD5CF8">
            <w:pPr>
              <w:widowControl w:val="0"/>
              <w:spacing w:after="40" w:line="200" w:lineRule="atLeast"/>
              <w:ind w:left="6" w:right="113"/>
              <w:jc w:val="both"/>
              <w:rPr>
                <w:rFonts w:ascii="Arial" w:hAnsi="Arial"/>
                <w:sz w:val="18"/>
                <w:szCs w:val="20"/>
              </w:rPr>
            </w:pPr>
            <w:r w:rsidRPr="00EE0B95">
              <w:rPr>
                <w:rFonts w:ascii="Arial" w:hAnsi="Arial"/>
                <w:sz w:val="18"/>
                <w:szCs w:val="20"/>
              </w:rPr>
              <w:t>The Steering Committee notes the following issues:</w:t>
            </w:r>
          </w:p>
          <w:p w:rsidR="007607C7" w:rsidRPr="001A48A4" w:rsidRDefault="00EE0B95" w:rsidP="00FD5CF8">
            <w:pPr>
              <w:widowControl w:val="0"/>
              <w:spacing w:after="40" w:line="200" w:lineRule="atLeast"/>
              <w:ind w:left="6" w:right="113"/>
              <w:jc w:val="both"/>
              <w:rPr>
                <w:rFonts w:ascii="Arial" w:hAnsi="Arial"/>
                <w:sz w:val="18"/>
                <w:szCs w:val="20"/>
              </w:rPr>
            </w:pPr>
            <w:r w:rsidRPr="00EE0B95">
              <w:rPr>
                <w:rFonts w:ascii="Arial" w:hAnsi="Arial"/>
                <w:sz w:val="18"/>
                <w:szCs w:val="20"/>
              </w:rPr>
              <w:t>Shorter stays for mothers reduce hospital costs but whether they represent genuine efficiency improvements depends on a number of factors. Shorter stays can, for example, have an adverse effect on the health of some mothers and result in additional costs for in-home care and potential readmissions. The indicator is not adjusted for multiple births born vaginally and without complications but requiring a longer stay to manage breastfeeding.</w:t>
            </w:r>
          </w:p>
        </w:tc>
      </w:tr>
    </w:tbl>
    <w:p w:rsidR="0090363E" w:rsidRDefault="0090363E" w:rsidP="0090363E">
      <w:pPr>
        <w:pStyle w:val="Heading3"/>
      </w:pPr>
      <w:bookmarkStart w:id="20" w:name="_Toc401912937"/>
      <w:r>
        <w:t>Apgar score at five minutes</w:t>
      </w:r>
      <w:bookmarkEnd w:id="20"/>
    </w:p>
    <w:p w:rsidR="0090363E" w:rsidRDefault="0090363E" w:rsidP="0090363E">
      <w:pPr>
        <w:pStyle w:val="BodyText"/>
      </w:pPr>
      <w:r>
        <w:t>Data quality information for this indicator has been sourced from states and territories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CE22FE" w:rsidRPr="00512C7C" w:rsidRDefault="00CE22FE" w:rsidP="009F4002">
            <w:pPr>
              <w:pStyle w:val="TableBodyText"/>
              <w:jc w:val="both"/>
              <w:rPr>
                <w:rFonts w:cs="Arial"/>
              </w:rPr>
            </w:pPr>
            <w:r>
              <w:rPr>
                <w:rFonts w:cs="Arial"/>
              </w:rPr>
              <w:t>Outcome</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CE22FE" w:rsidRPr="002B1286" w:rsidRDefault="00CE22FE" w:rsidP="009F4002">
            <w:pPr>
              <w:pStyle w:val="TableBodyText"/>
              <w:jc w:val="both"/>
            </w:pPr>
            <w:r w:rsidRPr="007953B0">
              <w:t>Apgar score at five minutes</w:t>
            </w:r>
          </w:p>
        </w:tc>
      </w:tr>
      <w:tr w:rsidR="00CE22FE" w:rsidRPr="003846CE" w:rsidTr="009F4002">
        <w:tc>
          <w:tcPr>
            <w:tcW w:w="1620" w:type="dxa"/>
          </w:tcPr>
          <w:p w:rsidR="00CE22F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CE22FE" w:rsidRPr="003846C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CE22FE" w:rsidRDefault="00CE22FE" w:rsidP="009F4002">
            <w:pPr>
              <w:pStyle w:val="TableBodyText"/>
              <w:jc w:val="both"/>
            </w:pPr>
            <w:r>
              <w:t>This indicator is defined as the number of live births with an Apgar score of 3 or less, at five minutes post-delivery, as a proportion of the total number of live births by specified birthweight categories.</w:t>
            </w:r>
          </w:p>
          <w:p w:rsidR="00CE22FE" w:rsidRPr="000471D2" w:rsidRDefault="00CE22FE" w:rsidP="009F4002">
            <w:pPr>
              <w:pStyle w:val="TableBodyText"/>
              <w:jc w:val="both"/>
            </w:pPr>
            <w:r>
              <w:t xml:space="preserve">The Apgar score is a numerical score that indicates a baby’s condition shortly after birth. Apgar scores are based on an assessment of the baby’s heart rate, breathing, colour, muscle tone and reflex irritability. Between 0 and 2 points are given for each of these five characteristics and the total score is between 0 and 10. The Apgar score is routinely assessed at one and five minutes after birth, and subsequently at five minute intervals if it is still low at five minutes. </w:t>
            </w:r>
          </w:p>
        </w:tc>
      </w:tr>
      <w:tr w:rsidR="00CE22FE" w:rsidRPr="003846CE" w:rsidTr="009F4002">
        <w:tc>
          <w:tcPr>
            <w:tcW w:w="1620" w:type="dxa"/>
          </w:tcPr>
          <w:p w:rsidR="00CE22FE" w:rsidRPr="003846CE" w:rsidRDefault="00CE22FE"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CE22FE" w:rsidRPr="002B1286" w:rsidRDefault="00CE22FE" w:rsidP="009F4002">
            <w:pPr>
              <w:pStyle w:val="TableBodyText"/>
              <w:jc w:val="both"/>
            </w:pPr>
            <w:r>
              <w:t xml:space="preserve">This indicator is calculated using data from states and territories. </w:t>
            </w:r>
          </w:p>
        </w:tc>
      </w:tr>
      <w:tr w:rsidR="00CE22FE" w:rsidRPr="003846CE" w:rsidTr="009F4002">
        <w:tc>
          <w:tcPr>
            <w:tcW w:w="8789" w:type="dxa"/>
            <w:gridSpan w:val="2"/>
            <w:vAlign w:val="bottom"/>
          </w:tcPr>
          <w:p w:rsidR="00CE22FE" w:rsidRDefault="00CE22FE" w:rsidP="00905501">
            <w:pPr>
              <w:widowControl w:val="0"/>
              <w:spacing w:after="40" w:line="200" w:lineRule="atLeast"/>
              <w:ind w:left="6" w:right="113"/>
              <w:jc w:val="both"/>
              <w:rPr>
                <w:rFonts w:ascii="Arial" w:hAnsi="Arial"/>
                <w:b/>
                <w:color w:val="000000"/>
                <w:sz w:val="18"/>
                <w:szCs w:val="20"/>
              </w:rPr>
            </w:pPr>
          </w:p>
          <w:p w:rsidR="00CE22FE" w:rsidRPr="003846CE" w:rsidRDefault="00CE22FE"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CE22FE" w:rsidRPr="009206D3" w:rsidRDefault="00CE22FE" w:rsidP="009F4002">
            <w:pPr>
              <w:pStyle w:val="TableBodyText"/>
              <w:jc w:val="both"/>
            </w:pPr>
            <w:r w:rsidRPr="00CA6C53">
              <w:t>Data were supplied by State and Territory health authorities</w:t>
            </w:r>
            <w:r>
              <w:t>.</w:t>
            </w:r>
            <w:r w:rsidRPr="00CA6C53">
              <w:t xml:space="preserv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CE22FE" w:rsidRPr="00380DC2" w:rsidRDefault="00CE22FE" w:rsidP="009F4002">
            <w:pPr>
              <w:pStyle w:val="TableBodyText"/>
              <w:jc w:val="both"/>
            </w:pPr>
            <w:r w:rsidRPr="00380DC2">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CE22FE" w:rsidRPr="00380DC2" w:rsidRDefault="00CE22FE" w:rsidP="009F4002">
            <w:pPr>
              <w:pStyle w:val="TableBodyText"/>
              <w:jc w:val="both"/>
            </w:pPr>
            <w:r w:rsidRPr="00380DC2">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CE22FE" w:rsidRPr="00380DC2" w:rsidRDefault="00CE22FE" w:rsidP="00DC466C">
            <w:pPr>
              <w:pStyle w:val="TableBodyText"/>
              <w:jc w:val="both"/>
            </w:pPr>
            <w:r w:rsidRPr="00380DC2">
              <w:t>The reference period for the data is 201</w:t>
            </w:r>
            <w:r w:rsidR="00DC466C">
              <w:t>2</w:t>
            </w:r>
            <w:r w:rsidRPr="00380DC2">
              <w:t>. Collection of data is annual.</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CE22FE" w:rsidRPr="00380DC2" w:rsidRDefault="00CE22FE" w:rsidP="009F4002">
            <w:pPr>
              <w:pStyle w:val="TableBodyText"/>
              <w:widowControl w:val="0"/>
              <w:tabs>
                <w:tab w:val="left" w:pos="434"/>
                <w:tab w:val="left" w:pos="1316"/>
              </w:tabs>
              <w:jc w:val="both"/>
            </w:pPr>
            <w:r w:rsidRPr="00380DC2">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CE22FE" w:rsidRPr="00380DC2" w:rsidRDefault="00CE22FE" w:rsidP="009F4002">
            <w:pPr>
              <w:pStyle w:val="TableBodyText"/>
              <w:widowControl w:val="0"/>
              <w:tabs>
                <w:tab w:val="left" w:pos="434"/>
                <w:tab w:val="left" w:pos="1316"/>
              </w:tabs>
              <w:jc w:val="both"/>
            </w:pPr>
            <w:r w:rsidRPr="00380DC2">
              <w:t xml:space="preserve">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w:t>
            </w:r>
            <w:r w:rsidRPr="00380DC2">
              <w:lastRenderedPageBreak/>
              <w:t>databases, and because data are being reported by place of residence rather than place of birth the numbers reported for this indicator differ from those in reports published by the states and territories. The data are not rounded.</w:t>
            </w:r>
          </w:p>
          <w:p w:rsidR="00CE22FE" w:rsidRPr="00380DC2" w:rsidRDefault="00CE22FE" w:rsidP="009F4002">
            <w:pPr>
              <w:pStyle w:val="TableBodyText"/>
              <w:widowControl w:val="0"/>
              <w:tabs>
                <w:tab w:val="left" w:pos="434"/>
                <w:tab w:val="left" w:pos="1316"/>
              </w:tabs>
              <w:jc w:val="both"/>
            </w:pPr>
            <w:r w:rsidRPr="00380DC2">
              <w:t>The geographical location code for the area of usual residence of the mother is included in the Perinatal NMDS. Only 0.2 per cent of records were non-residents or could not be assigned to a state or territory of residence. There is no scope in the data element Area of usual residence of mother to discriminate temporary residence of mother for the purposes of accessing birthing services from usual residence. The former may differentially impact populations from remote and very remote areas, where services are not available locally.</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CE22FE" w:rsidRPr="00380DC2" w:rsidRDefault="00CE22FE" w:rsidP="009F4002">
            <w:pPr>
              <w:pStyle w:val="TableBodyText"/>
              <w:jc w:val="both"/>
            </w:pPr>
            <w:r w:rsidRPr="00380DC2">
              <w:t>Data for this indicator are published in the annual report Australia’s mothers and babies; and biennially in reports such as the Aboriginal and Torres Strait Islander Health Performance Framework report, the Health and Welfare of Australia’s Aboriginal and Torres Strait Islander Peoples, and the Overcoming Indigenous Disadvantage report. The numbers presented in these publications will differ slightly from those presented here as this measure excludes multiple births and stillbirths.</w:t>
            </w:r>
          </w:p>
          <w:p w:rsidR="00CE22FE" w:rsidRPr="00380DC2" w:rsidRDefault="00CE22FE" w:rsidP="009F4002">
            <w:pPr>
              <w:pStyle w:val="TableBodyText"/>
              <w:jc w:val="both"/>
            </w:pPr>
            <w:r w:rsidRPr="00380DC2">
              <w:t>Changing levels of Indigenous identification over time and across jurisdictions may also affect the accuracy of compiling a consistent time series in future years.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CE22FE" w:rsidRPr="00380DC2" w:rsidRDefault="00CE22FE" w:rsidP="00F227D6">
            <w:pPr>
              <w:pStyle w:val="TableBodyText"/>
              <w:jc w:val="both"/>
            </w:pPr>
            <w:r w:rsidRPr="00380DC2">
              <w:t>The AIHW provides a variety of products that draw upon the NPDC. Published products available on the AIHW website are:</w:t>
            </w:r>
          </w:p>
          <w:p w:rsidR="00CE22FE" w:rsidRPr="00380DC2" w:rsidRDefault="00CE22FE" w:rsidP="00F227D6">
            <w:pPr>
              <w:pStyle w:val="TableBullet"/>
              <w:jc w:val="both"/>
            </w:pPr>
            <w:r w:rsidRPr="00380DC2">
              <w:t>Australia’s mothers and babies annual report</w:t>
            </w:r>
          </w:p>
          <w:p w:rsidR="00CE22FE" w:rsidRPr="00380DC2" w:rsidRDefault="006B0096" w:rsidP="006B0096">
            <w:pPr>
              <w:pStyle w:val="TableBullet"/>
            </w:pPr>
            <w:r w:rsidRPr="006B0096">
              <w:t xml:space="preserve">Aboriginal and Torres Strait Islander </w:t>
            </w:r>
            <w:r w:rsidR="00CE22FE" w:rsidRPr="00380DC2">
              <w:t>mothers and their babies, Australia 2001–2004</w:t>
            </w:r>
          </w:p>
          <w:p w:rsidR="00CE22FE" w:rsidRPr="00380DC2" w:rsidRDefault="00CE22FE" w:rsidP="00F227D6">
            <w:pPr>
              <w:pStyle w:val="TableBullet"/>
              <w:jc w:val="both"/>
            </w:pPr>
            <w:r w:rsidRPr="00380DC2">
              <w:t>METeOR – online metadata repository</w:t>
            </w:r>
          </w:p>
          <w:p w:rsidR="00CE22FE" w:rsidRPr="00380DC2" w:rsidRDefault="00CE22FE" w:rsidP="00F227D6">
            <w:pPr>
              <w:pStyle w:val="TableBullet"/>
              <w:jc w:val="both"/>
            </w:pPr>
            <w:r w:rsidRPr="00380DC2">
              <w:t>National health data dictionary.</w:t>
            </w:r>
          </w:p>
          <w:p w:rsidR="00CE22FE" w:rsidRPr="00380DC2" w:rsidRDefault="00CE22FE" w:rsidP="00F227D6">
            <w:pPr>
              <w:pStyle w:val="TableBodyText"/>
              <w:jc w:val="both"/>
            </w:pPr>
            <w:r w:rsidRPr="00380DC2">
              <w:t>Ad-hoc data are also available on request (charges apply to recover costs).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CE22FE" w:rsidRPr="00380DC2" w:rsidRDefault="00CE22FE" w:rsidP="009F4002">
            <w:pPr>
              <w:pStyle w:val="TableBodyText"/>
              <w:jc w:val="both"/>
            </w:pPr>
            <w:r w:rsidRPr="00380DC2">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2001 to 2005. Readers are advised to read caveat information to ensure appropriate interpretation of the performance indicator. More detailed information on the quality of </w:t>
            </w:r>
            <w:r w:rsidR="006B0096" w:rsidRPr="006B0096">
              <w:t xml:space="preserve">Aboriginal and Torres Strait Islander </w:t>
            </w:r>
            <w:r w:rsidRPr="00380DC2">
              <w:t xml:space="preserve">data that might affect interpretation of the indicator was published in </w:t>
            </w:r>
            <w:r w:rsidR="006B0096" w:rsidRPr="006B0096">
              <w:t xml:space="preserve">Aboriginal and Torres Strait Islander </w:t>
            </w:r>
            <w:r w:rsidRPr="00380DC2">
              <w:t xml:space="preserve">mothers and their babies, Australia 2001–2004 (Chapter 1 and Chapter 5). </w:t>
            </w:r>
          </w:p>
          <w:p w:rsidR="00CE22FE" w:rsidRPr="009206D3" w:rsidRDefault="00CE22FE" w:rsidP="009F4002">
            <w:pPr>
              <w:pStyle w:val="TableBodyText"/>
              <w:jc w:val="both"/>
            </w:pPr>
            <w:r w:rsidRPr="00380DC2">
              <w:t>Metadata information for this indicator has been published in the AIHW’s online metadata repository — METeOR. Metadata information for the Perinatal NMDS are also published in METeOR, and the National health data dictionary.</w:t>
            </w:r>
          </w:p>
        </w:tc>
      </w:tr>
      <w:tr w:rsidR="00CE22FE" w:rsidRPr="003846CE" w:rsidTr="009F4002">
        <w:tc>
          <w:tcPr>
            <w:tcW w:w="8789" w:type="dxa"/>
            <w:gridSpan w:val="2"/>
            <w:vAlign w:val="bottom"/>
          </w:tcPr>
          <w:p w:rsidR="00CE22FE" w:rsidRDefault="00CE22FE" w:rsidP="00CE22FE">
            <w:pPr>
              <w:widowControl w:val="0"/>
              <w:spacing w:after="40" w:line="200" w:lineRule="atLeast"/>
              <w:ind w:left="6" w:right="113"/>
              <w:jc w:val="both"/>
              <w:rPr>
                <w:rFonts w:ascii="Arial" w:hAnsi="Arial"/>
                <w:b/>
                <w:color w:val="000000"/>
                <w:sz w:val="18"/>
                <w:szCs w:val="20"/>
              </w:rPr>
            </w:pPr>
          </w:p>
          <w:p w:rsidR="00CE22FE" w:rsidRPr="003846CE" w:rsidRDefault="00CE22FE" w:rsidP="00CE22FE">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CE22FE" w:rsidRPr="003846CE" w:rsidTr="009F4002">
        <w:tc>
          <w:tcPr>
            <w:tcW w:w="1620" w:type="dxa"/>
          </w:tcPr>
          <w:p w:rsidR="00CE22FE" w:rsidRPr="003846CE" w:rsidRDefault="00CE22FE" w:rsidP="00CE22FE">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CE22FE" w:rsidRDefault="00CE22FE" w:rsidP="00F227D6">
            <w:pPr>
              <w:pStyle w:val="TableBodyText"/>
              <w:jc w:val="both"/>
            </w:pPr>
            <w:r w:rsidRPr="00512C7C">
              <w:rPr>
                <w:rFonts w:cs="Arial"/>
              </w:rPr>
              <w:t>The Steering Committee notes the following issues:</w:t>
            </w:r>
          </w:p>
          <w:p w:rsidR="00CE22FE" w:rsidRPr="00D1107D" w:rsidRDefault="00CE22FE" w:rsidP="00F227D6">
            <w:pPr>
              <w:pStyle w:val="TableBullet"/>
              <w:jc w:val="both"/>
            </w:pPr>
            <w:r w:rsidRPr="00D1107D">
              <w:t>Data are relatively old and may not be representative of current outcomes. Further work is required to ensure availability of more timely data.</w:t>
            </w:r>
          </w:p>
          <w:p w:rsidR="00CE22FE" w:rsidRPr="00512C7C" w:rsidRDefault="00CE22FE" w:rsidP="00F227D6">
            <w:pPr>
              <w:pStyle w:val="TableBullet"/>
              <w:jc w:val="both"/>
              <w:rPr>
                <w:rStyle w:val="DraftingNote"/>
                <w:b w:val="0"/>
                <w:color w:val="auto"/>
                <w:sz w:val="22"/>
                <w:szCs w:val="22"/>
                <w:u w:val="none"/>
              </w:rPr>
            </w:pPr>
            <w:r w:rsidRPr="00D1107D">
              <w:t>Disaggregation of this indicator for Indigenous status and remoteness by State and Territory is a priority. Further development work on the current data source is required.</w:t>
            </w:r>
          </w:p>
        </w:tc>
      </w:tr>
    </w:tbl>
    <w:p w:rsidR="0090363E" w:rsidRDefault="0090363E" w:rsidP="0090363E">
      <w:pPr>
        <w:pStyle w:val="Heading3"/>
      </w:pPr>
      <w:bookmarkStart w:id="21" w:name="_Toc401912938"/>
      <w:r>
        <w:t>Fetal, neonatal and perinatal deaths</w:t>
      </w:r>
      <w:bookmarkEnd w:id="21"/>
    </w:p>
    <w:p w:rsidR="0090363E" w:rsidRDefault="0090363E" w:rsidP="0090363E">
      <w:pPr>
        <w:pStyle w:val="BodyText"/>
      </w:pPr>
      <w:r>
        <w:t>Data quality information for this indicator has been sourced from the ABS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CE22FE" w:rsidRPr="00E541AD" w:rsidRDefault="00CE22FE" w:rsidP="009F4002">
            <w:pPr>
              <w:pStyle w:val="TableBodyText"/>
              <w:jc w:val="both"/>
              <w:rPr>
                <w:rFonts w:cs="Arial"/>
              </w:rPr>
            </w:pPr>
            <w:r w:rsidRPr="00E541AD">
              <w:rPr>
                <w:rFonts w:cs="Arial"/>
              </w:rPr>
              <w:t>Outcome</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CE22FE" w:rsidRPr="00E541AD" w:rsidRDefault="00CE22FE" w:rsidP="009F4002">
            <w:pPr>
              <w:pStyle w:val="TableBodyText"/>
              <w:jc w:val="both"/>
              <w:rPr>
                <w:rFonts w:cs="Arial"/>
              </w:rPr>
            </w:pPr>
            <w:r w:rsidRPr="00E541AD">
              <w:rPr>
                <w:rFonts w:cs="Arial"/>
              </w:rPr>
              <w:t>Fetal, neonatal and perinatal deaths</w:t>
            </w:r>
          </w:p>
        </w:tc>
      </w:tr>
      <w:tr w:rsidR="00CE22FE" w:rsidRPr="003846CE" w:rsidTr="009F4002">
        <w:tc>
          <w:tcPr>
            <w:tcW w:w="1620" w:type="dxa"/>
          </w:tcPr>
          <w:p w:rsidR="00CE22F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CE22FE" w:rsidRPr="003846C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CE22FE" w:rsidRPr="00E541AD" w:rsidRDefault="00CE22FE" w:rsidP="009F4002">
            <w:pPr>
              <w:pStyle w:val="TableBodyText"/>
              <w:jc w:val="both"/>
              <w:rPr>
                <w:rFonts w:cs="Arial"/>
                <w:u w:val="single"/>
              </w:rPr>
            </w:pPr>
            <w:r w:rsidRPr="00E541AD">
              <w:rPr>
                <w:rFonts w:cs="Arial"/>
                <w:u w:val="single"/>
              </w:rPr>
              <w:t>Fetal deaths</w:t>
            </w:r>
          </w:p>
          <w:p w:rsidR="00CE22FE" w:rsidRDefault="00CE22FE" w:rsidP="009F4002">
            <w:pPr>
              <w:pStyle w:val="TableBodyText"/>
              <w:jc w:val="both"/>
            </w:pPr>
            <w:r w:rsidRPr="00E541AD">
              <w:rPr>
                <w:i/>
              </w:rPr>
              <w:t>Numerator:</w:t>
            </w:r>
            <w:r>
              <w:t xml:space="preserve"> Fetal deaths (stillbirth). The birth of a child who did not at any time after delivery breathe or show any other evidence of life, such as a heartbeat. Fetal deaths </w:t>
            </w:r>
            <w:r>
              <w:lastRenderedPageBreak/>
              <w:t>by definition include only infants weighing at least 400 grams or of a gestational age of at least 20 weeks.</w:t>
            </w:r>
          </w:p>
          <w:p w:rsidR="00CE22FE" w:rsidRDefault="00CE22FE" w:rsidP="009F4002">
            <w:pPr>
              <w:pStyle w:val="TableBodyText"/>
              <w:jc w:val="both"/>
            </w:pPr>
            <w:r w:rsidRPr="00E541AD">
              <w:rPr>
                <w:i/>
              </w:rPr>
              <w:t>Denominator:</w:t>
            </w:r>
            <w:r>
              <w:t xml:space="preserve"> Total number of births (live births and fetal deaths combined).</w:t>
            </w:r>
          </w:p>
          <w:p w:rsidR="00CE22FE" w:rsidRPr="00E541AD" w:rsidRDefault="00CE22FE" w:rsidP="009F4002">
            <w:pPr>
              <w:pStyle w:val="TableBodyText"/>
              <w:jc w:val="both"/>
              <w:rPr>
                <w:i/>
              </w:rPr>
            </w:pPr>
            <w:r w:rsidRPr="00E541AD">
              <w:rPr>
                <w:i/>
              </w:rPr>
              <w:t xml:space="preserve">Computation: </w:t>
            </w:r>
            <w:r>
              <w:t>The ‘fetal death rate’ is calculated as the number of fetal deaths divided by the total number of births expressed per 1000 total births, by State or Territory of usual residence of the mother.</w:t>
            </w:r>
          </w:p>
          <w:p w:rsidR="00CE22FE" w:rsidRPr="00E541AD" w:rsidRDefault="00CE22FE" w:rsidP="009F4002">
            <w:pPr>
              <w:pStyle w:val="TableBodyText"/>
              <w:jc w:val="both"/>
              <w:rPr>
                <w:rFonts w:cs="Arial"/>
                <w:u w:val="single"/>
              </w:rPr>
            </w:pPr>
            <w:r w:rsidRPr="00E541AD">
              <w:rPr>
                <w:rFonts w:cs="Arial"/>
                <w:u w:val="single"/>
              </w:rPr>
              <w:t>Neonatal deaths</w:t>
            </w:r>
          </w:p>
          <w:p w:rsidR="00CE22FE" w:rsidRPr="00A70E86" w:rsidRDefault="00CE22FE" w:rsidP="009F4002">
            <w:pPr>
              <w:pStyle w:val="TableBodyText"/>
              <w:jc w:val="both"/>
            </w:pPr>
            <w:r w:rsidRPr="00E541AD">
              <w:rPr>
                <w:i/>
              </w:rPr>
              <w:t xml:space="preserve">Numerator: </w:t>
            </w:r>
            <w:r w:rsidRPr="00A70E86">
              <w:t>Neonatal death</w:t>
            </w:r>
            <w:r>
              <w:t>s. The</w:t>
            </w:r>
            <w:r w:rsidRPr="00A70E86">
              <w:t xml:space="preserve"> death of a live born</w:t>
            </w:r>
            <w:r>
              <w:t xml:space="preserve"> infant within 28 days of birth.</w:t>
            </w:r>
          </w:p>
          <w:p w:rsidR="00CE22FE" w:rsidRDefault="00CE22FE" w:rsidP="009F4002">
            <w:pPr>
              <w:pStyle w:val="TableBodyText"/>
              <w:jc w:val="both"/>
            </w:pPr>
            <w:r w:rsidRPr="00E541AD">
              <w:rPr>
                <w:i/>
              </w:rPr>
              <w:t xml:space="preserve">Denominator: </w:t>
            </w:r>
            <w:r w:rsidRPr="00A70E86">
              <w:t xml:space="preserve">The number of live births registered. </w:t>
            </w:r>
          </w:p>
          <w:p w:rsidR="00CE22FE" w:rsidRDefault="00CE22FE" w:rsidP="009F4002">
            <w:pPr>
              <w:pStyle w:val="TableBodyText"/>
              <w:jc w:val="both"/>
            </w:pPr>
            <w:r w:rsidRPr="00E541AD">
              <w:rPr>
                <w:i/>
              </w:rPr>
              <w:t>Computation:</w:t>
            </w:r>
            <w:r w:rsidRPr="00A70E86">
              <w:t xml:space="preserve"> The ‘neonatal death rate’ is calculated as the number of neonatal deaths divided by the number of live births expressed per 1000 live births, by state or territory of usual residence of the mother</w:t>
            </w:r>
          </w:p>
          <w:p w:rsidR="00CE22FE" w:rsidRPr="00E541AD" w:rsidRDefault="00CE22FE" w:rsidP="009F4002">
            <w:pPr>
              <w:pStyle w:val="TableBodyText"/>
              <w:jc w:val="both"/>
              <w:rPr>
                <w:rFonts w:cs="Arial"/>
                <w:u w:val="single"/>
              </w:rPr>
            </w:pPr>
            <w:r w:rsidRPr="00E541AD">
              <w:rPr>
                <w:rFonts w:cs="Arial"/>
                <w:u w:val="single"/>
              </w:rPr>
              <w:t>Perinatal death</w:t>
            </w:r>
          </w:p>
          <w:p w:rsidR="00CE22FE" w:rsidRPr="00A70E86" w:rsidRDefault="00CE22FE" w:rsidP="009F4002">
            <w:pPr>
              <w:pStyle w:val="TableBodyText"/>
              <w:jc w:val="both"/>
            </w:pPr>
            <w:r w:rsidRPr="00E541AD">
              <w:rPr>
                <w:i/>
              </w:rPr>
              <w:t xml:space="preserve">Numerator: </w:t>
            </w:r>
            <w:r w:rsidRPr="00A70E86">
              <w:t>A perinatal dea</w:t>
            </w:r>
            <w:r>
              <w:t>th is a fetal or neonatal death.</w:t>
            </w:r>
          </w:p>
          <w:p w:rsidR="00CE22FE" w:rsidRPr="00E541AD" w:rsidRDefault="00CE22FE" w:rsidP="009F4002">
            <w:pPr>
              <w:pStyle w:val="TableBodyText"/>
              <w:jc w:val="both"/>
              <w:rPr>
                <w:i/>
              </w:rPr>
            </w:pPr>
            <w:r w:rsidRPr="00E541AD">
              <w:rPr>
                <w:i/>
              </w:rPr>
              <w:t xml:space="preserve">Denominator: </w:t>
            </w:r>
            <w:r w:rsidRPr="00141E15">
              <w:t>T</w:t>
            </w:r>
            <w:r w:rsidRPr="00A70E86">
              <w:t>he total number of births (live births and fetal deaths combined)</w:t>
            </w:r>
            <w:r>
              <w:t>.</w:t>
            </w:r>
          </w:p>
          <w:p w:rsidR="00CE22FE" w:rsidRPr="00E541AD" w:rsidRDefault="00CE22FE" w:rsidP="009F4002">
            <w:pPr>
              <w:pStyle w:val="TableBodyText"/>
              <w:jc w:val="both"/>
              <w:rPr>
                <w:rFonts w:cs="Arial"/>
                <w:u w:val="single"/>
              </w:rPr>
            </w:pPr>
            <w:r w:rsidRPr="00E541AD">
              <w:rPr>
                <w:i/>
              </w:rPr>
              <w:t xml:space="preserve">Computation: </w:t>
            </w:r>
            <w:r w:rsidRPr="00A70E86">
              <w:t xml:space="preserve">The ‘perinatal death rate’ is calculated as the number of perinatal deaths divided </w:t>
            </w:r>
            <w:r>
              <w:t>by t</w:t>
            </w:r>
            <w:r w:rsidRPr="00A70E86">
              <w:t>he total number of births expressed per 1000 total births</w:t>
            </w:r>
            <w:r>
              <w:t>, by State or Territory of usual residence of the mother</w:t>
            </w:r>
            <w:r w:rsidRPr="00A70E86">
              <w:t xml:space="preserve">. </w:t>
            </w:r>
          </w:p>
        </w:tc>
      </w:tr>
      <w:tr w:rsidR="00CE22FE" w:rsidRPr="003846CE" w:rsidTr="005E3998">
        <w:tc>
          <w:tcPr>
            <w:tcW w:w="1620" w:type="dxa"/>
          </w:tcPr>
          <w:p w:rsidR="00CE22FE" w:rsidRPr="003846CE" w:rsidRDefault="00CE22FE" w:rsidP="00905501">
            <w:pPr>
              <w:widowControl w:val="0"/>
              <w:spacing w:after="40" w:line="200" w:lineRule="atLeast"/>
              <w:ind w:left="6" w:right="113"/>
              <w:rPr>
                <w:rFonts w:ascii="Arial" w:hAnsi="Arial"/>
                <w:b/>
                <w:sz w:val="18"/>
                <w:szCs w:val="20"/>
              </w:rPr>
            </w:pPr>
            <w:r>
              <w:rPr>
                <w:rFonts w:ascii="Arial" w:hAnsi="Arial"/>
                <w:b/>
                <w:sz w:val="18"/>
                <w:szCs w:val="20"/>
              </w:rPr>
              <w:lastRenderedPageBreak/>
              <w:t>Data source/s</w:t>
            </w:r>
          </w:p>
        </w:tc>
        <w:tc>
          <w:tcPr>
            <w:tcW w:w="7169" w:type="dxa"/>
            <w:shd w:val="clear" w:color="auto" w:fill="FFFFFF" w:themeFill="background1"/>
          </w:tcPr>
          <w:p w:rsidR="00CE22FE" w:rsidRPr="00E541AD" w:rsidRDefault="00CE22FE" w:rsidP="002130FF">
            <w:pPr>
              <w:pStyle w:val="TableBodyText"/>
              <w:jc w:val="both"/>
              <w:rPr>
                <w:rFonts w:cs="Arial"/>
                <w:u w:val="single"/>
              </w:rPr>
            </w:pPr>
            <w:r w:rsidRPr="00924367">
              <w:t xml:space="preserve">ABS </w:t>
            </w:r>
            <w:r w:rsidR="002130FF" w:rsidRPr="00924367">
              <w:t xml:space="preserve">perinatal </w:t>
            </w:r>
            <w:r w:rsidRPr="00924367">
              <w:t xml:space="preserve">deaths </w:t>
            </w:r>
            <w:r w:rsidR="002130FF" w:rsidRPr="00924367">
              <w:t>are</w:t>
            </w:r>
            <w:r w:rsidRPr="00924367">
              <w:t xml:space="preserve"> </w:t>
            </w:r>
            <w:r w:rsidRPr="00924367">
              <w:rPr>
                <w:rFonts w:cs="Arial"/>
              </w:rPr>
              <w:t xml:space="preserve">sourced </w:t>
            </w:r>
            <w:r w:rsidRPr="00E541AD">
              <w:rPr>
                <w:rFonts w:cs="Arial"/>
              </w:rPr>
              <w:t xml:space="preserve">from death registrations administered by the various state and territory Registrars of Births, Deaths and Marriages. </w:t>
            </w:r>
          </w:p>
        </w:tc>
      </w:tr>
      <w:tr w:rsidR="00CE22FE" w:rsidRPr="003846CE" w:rsidTr="009F4002">
        <w:tc>
          <w:tcPr>
            <w:tcW w:w="8789" w:type="dxa"/>
            <w:gridSpan w:val="2"/>
            <w:vAlign w:val="bottom"/>
          </w:tcPr>
          <w:p w:rsidR="00CE22FE" w:rsidRDefault="00CE22FE" w:rsidP="00905501">
            <w:pPr>
              <w:widowControl w:val="0"/>
              <w:spacing w:after="40" w:line="200" w:lineRule="atLeast"/>
              <w:ind w:left="6" w:right="113"/>
              <w:jc w:val="both"/>
              <w:rPr>
                <w:rFonts w:ascii="Arial" w:hAnsi="Arial"/>
                <w:b/>
                <w:color w:val="000000"/>
                <w:sz w:val="18"/>
                <w:szCs w:val="20"/>
              </w:rPr>
            </w:pPr>
          </w:p>
          <w:p w:rsidR="00CE22FE" w:rsidRPr="003846CE" w:rsidRDefault="00CE22FE"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CE22FE" w:rsidRPr="00E541AD" w:rsidRDefault="002F7AF5" w:rsidP="009F4002">
            <w:pPr>
              <w:pStyle w:val="TableBodyText"/>
              <w:jc w:val="both"/>
              <w:rPr>
                <w:rFonts w:cs="Arial"/>
              </w:rPr>
            </w:pPr>
            <w:r w:rsidRPr="00924367">
              <w:rPr>
                <w:rFonts w:cs="Arial"/>
              </w:rPr>
              <w:t>ABS perinatal deaths are sourced</w:t>
            </w:r>
            <w:r w:rsidRPr="002F7AF5">
              <w:rPr>
                <w:rFonts w:cs="Arial"/>
              </w:rPr>
              <w:t xml:space="preserve"> </w:t>
            </w:r>
            <w:r w:rsidR="00CE22FE" w:rsidRPr="00E541AD">
              <w:rPr>
                <w:rFonts w:cs="Arial"/>
              </w:rPr>
              <w:t>from death registrations administered by the various state and territory Registrars of Births, Deaths and Marriages. It is a legal requirement of each state and territory that all neonatal deaths and those fetal deaths of at least 20 weeks gestation or 400 grams birth weight are registered. As part of the registration process, information on the cause of death is either supplied by the medical practitioner certifying the death on a Certificate of Cause of Perinatal Death, or supplied as a result of a coronial investigation.</w:t>
            </w:r>
          </w:p>
          <w:p w:rsidR="00CE22FE" w:rsidRPr="00E541AD" w:rsidRDefault="00CE22FE" w:rsidP="009F4002">
            <w:pPr>
              <w:pStyle w:val="TableBodyText"/>
              <w:jc w:val="both"/>
              <w:rPr>
                <w:rFonts w:cs="Arial"/>
              </w:rPr>
            </w:pPr>
            <w:r w:rsidRPr="00E541AD">
              <w:rPr>
                <w:rFonts w:cs="Arial"/>
              </w:rPr>
              <w:t>Death records are provided electronically and/or in paper form to the ABS by individual Registrars on a monthly basis. Each death record contains both demographic data and medical information from the Certificate of Cause of Perinatal Death where available. Information from coronial investigations are provided to the ABS through the National Coroners Information System (NCIS).</w:t>
            </w:r>
          </w:p>
          <w:p w:rsidR="00CE22FE" w:rsidRPr="00E541AD" w:rsidRDefault="00CE22FE" w:rsidP="009F4002">
            <w:pPr>
              <w:pStyle w:val="TableBodyText"/>
              <w:jc w:val="both"/>
              <w:rPr>
                <w:rFonts w:cs="Arial"/>
                <w:u w:val="single"/>
              </w:rPr>
            </w:pPr>
            <w:r w:rsidRPr="00E541AD">
              <w:rPr>
                <w:rFonts w:cs="Arial"/>
              </w:rPr>
              <w:t>For further information on the institutional environment of the Australian Bureau of Statistics (ABS), including the legislative obligations of the ABS, financing and governance arrangements, and mechanisms for scrutiny of ABS operations, please see ABS Institutional Environment.</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CE22FE" w:rsidRPr="00E541AD" w:rsidRDefault="00CE22FE" w:rsidP="009F4002">
            <w:pPr>
              <w:pStyle w:val="TableBodyText"/>
              <w:jc w:val="both"/>
              <w:rPr>
                <w:rFonts w:cs="Arial"/>
              </w:rPr>
            </w:pPr>
            <w:r w:rsidRPr="00E541AD">
              <w:rPr>
                <w:rFonts w:cs="Arial"/>
              </w:rPr>
              <w:t>Perinatal statistics provide valuable information for the analysis of fetal, neonatal and perinatal deaths in Australia. This electronic product presents data at the national and state level on registered perinatal deaths by sex, state of usual residence, main condition in fetus/infant, main condition in mother and Indigenous status. Fetal, neonatal and perinatal death rates are also provided.</w:t>
            </w:r>
          </w:p>
          <w:p w:rsidR="00CE22FE" w:rsidRPr="00E541AD" w:rsidRDefault="00CE22FE" w:rsidP="009F4002">
            <w:pPr>
              <w:pStyle w:val="TableBodyText"/>
              <w:jc w:val="both"/>
              <w:rPr>
                <w:rFonts w:cs="Arial"/>
              </w:rPr>
            </w:pPr>
            <w:r w:rsidRPr="00E541AD">
              <w:rPr>
                <w:rFonts w:cs="Arial"/>
              </w:rPr>
              <w:t xml:space="preserve">The ABS Perinatal Deaths collection includes all perinatal deaths that occurred and were registered in Australia, including deaths of persons whose usual residence is overseas. Deaths of Australian residents that occurred outside Australia may be registered by individual Registrars, but are not included in ABS deaths or perinatal deaths statistics. </w:t>
            </w:r>
          </w:p>
          <w:p w:rsidR="00CE22FE" w:rsidRPr="00E541AD" w:rsidRDefault="00CE22FE" w:rsidP="009F4002">
            <w:pPr>
              <w:pStyle w:val="TableBodyText"/>
              <w:jc w:val="both"/>
              <w:rPr>
                <w:rFonts w:cs="Arial"/>
              </w:rPr>
            </w:pPr>
            <w:r w:rsidRPr="00E541AD">
              <w:rPr>
                <w:rFonts w:cs="Arial"/>
              </w:rPr>
              <w:t xml:space="preserve">From the 2006 reference year, the scope of the perinatal death statistics includes all fetal deaths of at least 20 weeks gestation or at least 400 grams birth weight, and all neonatal deaths (all live born babies who die within 28 days of birth, regardless of gestation or weight) which are: </w:t>
            </w:r>
          </w:p>
          <w:p w:rsidR="00CE22FE" w:rsidRPr="00DA34B2" w:rsidRDefault="00CE22FE" w:rsidP="00CE22FE">
            <w:pPr>
              <w:pStyle w:val="TableBullet"/>
            </w:pPr>
            <w:r w:rsidRPr="00DA34B2">
              <w:t xml:space="preserve">registered in Australia for the reference year and are received by the ABS by the end of the March quarter of the subsequent year; and </w:t>
            </w:r>
          </w:p>
          <w:p w:rsidR="00CE22FE" w:rsidRPr="00DA34B2" w:rsidRDefault="00CE22FE" w:rsidP="00CE22FE">
            <w:pPr>
              <w:pStyle w:val="TableBullet"/>
            </w:pPr>
            <w:r w:rsidRPr="00DA34B2">
              <w:t>registered prior to the reference year but not previously received from the Registrar nor included in any statistics reported for an earlier period.</w:t>
            </w:r>
          </w:p>
          <w:p w:rsidR="00CE22FE" w:rsidRPr="00E541AD" w:rsidRDefault="00CE22FE" w:rsidP="009F4002">
            <w:pPr>
              <w:pStyle w:val="TableBodyText"/>
              <w:jc w:val="both"/>
              <w:rPr>
                <w:rFonts w:cs="Arial"/>
              </w:rPr>
            </w:pPr>
            <w:r w:rsidRPr="00E541AD">
              <w:rPr>
                <w:rFonts w:cs="Arial"/>
              </w:rPr>
              <w:t>Data for the 1999 to 2006 reference years based on the revised scope definition of at least 20 weeks gestation or at least 400 grams birth weight was republished in Perinatal Deaths, Australia, 2007(cat. no. 3304.0).</w:t>
            </w:r>
          </w:p>
          <w:p w:rsidR="00CE22FE" w:rsidRPr="00E541AD" w:rsidRDefault="00CE22FE" w:rsidP="009F4002">
            <w:pPr>
              <w:pStyle w:val="TableBodyText"/>
              <w:jc w:val="both"/>
              <w:rPr>
                <w:rFonts w:cs="Arial"/>
                <w:u w:val="single"/>
              </w:rPr>
            </w:pPr>
            <w:r w:rsidRPr="00E541AD">
              <w:rPr>
                <w:rFonts w:cs="Arial"/>
              </w:rPr>
              <w:t xml:space="preserve">Data in the Perinatal Deaths collection include demographic items, as well as causes </w:t>
            </w:r>
            <w:r w:rsidRPr="00E541AD">
              <w:rPr>
                <w:rFonts w:cs="Arial"/>
              </w:rPr>
              <w:lastRenderedPageBreak/>
              <w:t>of death information, which is coded according to the International Classification of Diseases (ICD). ICD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is used for the 2009 data.</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lastRenderedPageBreak/>
              <w:t>Timeliness</w:t>
            </w:r>
          </w:p>
        </w:tc>
        <w:tc>
          <w:tcPr>
            <w:tcW w:w="7169" w:type="dxa"/>
          </w:tcPr>
          <w:p w:rsidR="00CE22FE" w:rsidRPr="00E541AD" w:rsidRDefault="00CE22FE" w:rsidP="009F4002">
            <w:pPr>
              <w:pStyle w:val="TableBodyText"/>
              <w:jc w:val="both"/>
              <w:rPr>
                <w:rFonts w:cs="Arial"/>
              </w:rPr>
            </w:pPr>
            <w:r w:rsidRPr="00E541AD">
              <w:rPr>
                <w:rFonts w:cs="Arial"/>
              </w:rPr>
              <w:t xml:space="preserve">Perinatal deaths data are published annually and released approximately 15 months after the end of the reference period. </w:t>
            </w:r>
            <w:r w:rsidR="005E3998" w:rsidRPr="00924367">
              <w:rPr>
                <w:rFonts w:cs="Arial"/>
              </w:rPr>
              <w:t xml:space="preserve">Prior to the 2007 reference year, and from the 2010 reference year, ABS perinatal causes of death statistics are published in </w:t>
            </w:r>
            <w:r w:rsidR="004A2114" w:rsidRPr="00924367">
              <w:rPr>
                <w:rFonts w:cs="Arial"/>
              </w:rPr>
              <w:t>the annual Causes of Death, Australia (cat. no. 3303.0) collection.</w:t>
            </w:r>
          </w:p>
          <w:p w:rsidR="00CE22FE" w:rsidRPr="00E541AD" w:rsidRDefault="00CE22FE" w:rsidP="009F4002">
            <w:pPr>
              <w:pStyle w:val="TableBodyText"/>
              <w:jc w:val="both"/>
              <w:rPr>
                <w:rFonts w:cs="Arial"/>
                <w:u w:val="single"/>
              </w:rPr>
            </w:pPr>
            <w:r w:rsidRPr="00E541AD">
              <w:rPr>
                <w:rFonts w:cs="Arial"/>
              </w:rPr>
              <w:t>Causes of death statistics are released with a view to ensuring that they are fit for purpose when released.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To address the issues which arise through the publication of causes of death data for open coroners cases, these data are now subject to a revisions process. This process enables the use of additional information relating to coroner certified deaths either 12 or 24 months after initial processing. See Explanatory Notes 28-32 for further information on the revisions process.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CE22FE" w:rsidRPr="00E541AD" w:rsidRDefault="00CE22FE" w:rsidP="00F227D6">
            <w:pPr>
              <w:pStyle w:val="TableBodyText"/>
              <w:jc w:val="both"/>
              <w:rPr>
                <w:rFonts w:cs="Arial"/>
              </w:rPr>
            </w:pPr>
            <w:r w:rsidRPr="00E541AD">
              <w:rPr>
                <w:rFonts w:cs="Arial"/>
              </w:rPr>
              <w:t>Non-sample errors are the main influence on accuracy in datasets such as this which are a complete census of the population rather than a sample. Non-sample error arises from inaccuracies in collecting, recording and processing the data. The most significant of these errors are: mis-reporting of data items; deficiencies in coverage; non-response to particular questions; and processing errors. Every effort is made to minimise non-sample error by working closely with data providers, running quality checks throughout the data processing cycle, training of processing staff, and efficient data processing.</w:t>
            </w:r>
          </w:p>
          <w:p w:rsidR="00CE22FE" w:rsidRPr="00E541AD" w:rsidRDefault="00CE22FE" w:rsidP="00F227D6">
            <w:pPr>
              <w:pStyle w:val="TableBodyText"/>
              <w:jc w:val="both"/>
              <w:rPr>
                <w:rFonts w:cs="Arial"/>
              </w:rPr>
            </w:pPr>
            <w:r w:rsidRPr="00E541AD">
              <w:rPr>
                <w:rFonts w:cs="Arial"/>
              </w:rPr>
              <w:t xml:space="preserve">The main sources of non-sample error for perinatal deaths data are: </w:t>
            </w:r>
          </w:p>
          <w:p w:rsidR="00CE22FE" w:rsidRPr="00A26154" w:rsidRDefault="00CE22FE" w:rsidP="00F227D6">
            <w:pPr>
              <w:pStyle w:val="TableBullet"/>
              <w:jc w:val="both"/>
            </w:pPr>
            <w:r w:rsidRPr="00A26154">
              <w:t xml:space="preserve">completeness of an individual record at a given point in time (e.g. incomplete causes of death information due to non-finalisation of coronial proceedings) </w:t>
            </w:r>
          </w:p>
          <w:p w:rsidR="00CE22FE" w:rsidRPr="00A26154" w:rsidRDefault="00CE22FE" w:rsidP="00F227D6">
            <w:pPr>
              <w:pStyle w:val="TableBullet"/>
              <w:jc w:val="both"/>
            </w:pPr>
            <w:r w:rsidRPr="00A26154">
              <w:t xml:space="preserve">completeness of the dataset e.g. impact of registration lags, processing lags and duplicate records </w:t>
            </w:r>
          </w:p>
          <w:p w:rsidR="00CE22FE" w:rsidRPr="00A26154" w:rsidRDefault="00CE22FE" w:rsidP="00F227D6">
            <w:pPr>
              <w:pStyle w:val="TableBullet"/>
              <w:jc w:val="both"/>
            </w:pPr>
            <w:r w:rsidRPr="00A26154">
              <w:t xml:space="preserve">extent of coverage of the population (whilst all deaths are legally required to be registered some cases may not be registered for an extended time, if at all) </w:t>
            </w:r>
          </w:p>
          <w:p w:rsidR="00CE22FE" w:rsidRPr="00A26154" w:rsidRDefault="00CE22FE" w:rsidP="00F227D6">
            <w:pPr>
              <w:pStyle w:val="TableBullet"/>
              <w:jc w:val="both"/>
            </w:pPr>
            <w:r w:rsidRPr="00A26154">
              <w:t xml:space="preserve">particular data items which would be useful for statistical purposes may not be collected by jurisdictions where that item is not essential for administration purposes </w:t>
            </w:r>
          </w:p>
          <w:p w:rsidR="00CE22FE" w:rsidRPr="00A26154" w:rsidRDefault="00CE22FE" w:rsidP="00F227D6">
            <w:pPr>
              <w:pStyle w:val="TableBullet"/>
              <w:jc w:val="both"/>
            </w:pPr>
            <w:r w:rsidRPr="00A26154">
              <w:t xml:space="preserve">question and ‘interviewer’ biases given that information for death registrations are supplied about the person by someone else. For example, Indigenous origin as reported by a third party can be different from self reported responses on a form </w:t>
            </w:r>
          </w:p>
          <w:p w:rsidR="00CE22FE" w:rsidRPr="00A26154" w:rsidRDefault="00CE22FE" w:rsidP="00F227D6">
            <w:pPr>
              <w:pStyle w:val="TableBullet"/>
              <w:jc w:val="both"/>
            </w:pPr>
            <w:r w:rsidRPr="00A26154">
              <w:t>level of specificity and completeness in coronial reports or doctor's findings on the Certificate of Cause of Perinatal Death will impact on the accuracy of coding</w:t>
            </w:r>
          </w:p>
          <w:p w:rsidR="00CE22FE" w:rsidRPr="00E541AD" w:rsidRDefault="00CE22FE" w:rsidP="00F227D6">
            <w:pPr>
              <w:pStyle w:val="TableBodyText"/>
              <w:jc w:val="both"/>
              <w:rPr>
                <w:rFonts w:cs="Arial"/>
              </w:rPr>
            </w:pPr>
            <w:r w:rsidRPr="00E541AD">
              <w:rPr>
                <w:rFonts w:cs="Arial"/>
              </w:rPr>
              <w:t>The ABS has implemented a new revisions process that applies to all coroner certified perinatal deaths registered after 1 January 2007. The revisions process enables the use of additional information relating to coroner certified perinatal deaths as it becomes available over time, resulting in increased specificity of the assigned ICD-10 codes. See Explanatory Notes 28-32 for further information on the revision process.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CE22FE" w:rsidRPr="00E541AD" w:rsidRDefault="00CE22FE" w:rsidP="009F4002">
            <w:pPr>
              <w:pStyle w:val="TableBodyText"/>
              <w:jc w:val="both"/>
              <w:rPr>
                <w:rFonts w:cs="Arial"/>
              </w:rPr>
            </w:pPr>
            <w:r w:rsidRPr="00E541AD">
              <w:rPr>
                <w:rFonts w:cs="Arial"/>
              </w:rP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the particular release which may impact on comparison over time.</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CE22FE" w:rsidRPr="00E541AD" w:rsidRDefault="004A2114" w:rsidP="009F4002">
            <w:pPr>
              <w:pStyle w:val="TableBodyText"/>
              <w:jc w:val="both"/>
              <w:rPr>
                <w:rFonts w:cs="Arial"/>
              </w:rPr>
            </w:pPr>
            <w:r w:rsidRPr="00924367">
              <w:rPr>
                <w:rFonts w:cs="Arial"/>
              </w:rPr>
              <w:t>Prior to the 2007 reference year, and from the 2010 reference year, ABS perinatal causes of death statistics are published in</w:t>
            </w:r>
            <w:r w:rsidRPr="004A2114">
              <w:rPr>
                <w:rFonts w:cs="Arial"/>
              </w:rPr>
              <w:t xml:space="preserve"> </w:t>
            </w:r>
            <w:r w:rsidR="00CE22FE" w:rsidRPr="00E541AD">
              <w:rPr>
                <w:rFonts w:cs="Arial"/>
              </w:rPr>
              <w:t>Causes of Death, Australia (cat. no. 3303.0).</w:t>
            </w:r>
          </w:p>
          <w:p w:rsidR="00CE22FE" w:rsidRPr="00E541AD" w:rsidRDefault="00CE22FE" w:rsidP="009F4002">
            <w:pPr>
              <w:pStyle w:val="TableBodyText"/>
              <w:jc w:val="both"/>
              <w:rPr>
                <w:rFonts w:cs="Arial"/>
              </w:rPr>
            </w:pPr>
            <w:r w:rsidRPr="00E541AD">
              <w:rPr>
                <w:rFonts w:cs="Arial"/>
              </w:rPr>
              <w:t xml:space="preserve">In addition to the information provided in the commentary, a series of data cubes are also available providing detailed breakdowns by cause of death. The ABS observes strict confidentiality protocols as required by the Census and Statistics Act (1905). </w:t>
            </w:r>
            <w:r w:rsidRPr="00E541AD">
              <w:rPr>
                <w:rFonts w:cs="Arial"/>
              </w:rPr>
              <w:lastRenderedPageBreak/>
              <w:t>This may restrict access to data at a very detailed level which is sought by some users.</w:t>
            </w:r>
          </w:p>
          <w:p w:rsidR="00CE22FE" w:rsidRPr="00E541AD" w:rsidRDefault="00CE22FE" w:rsidP="009F4002">
            <w:pPr>
              <w:pStyle w:val="TableBodyText"/>
              <w:jc w:val="both"/>
              <w:rPr>
                <w:rFonts w:cs="Arial"/>
              </w:rPr>
            </w:pPr>
            <w:r w:rsidRPr="00E541AD">
              <w:rPr>
                <w:rFonts w:cs="Arial"/>
              </w:rPr>
              <w:t>If the information you require is not available from the commentary or the data cubes, then the ABS may also have other relevant data available on request. Inquiries should be made to the National Information and Referral Service on 1300 135 070 or by sending an email to client.services@abs.gov.au.</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lastRenderedPageBreak/>
              <w:t>Interpretability</w:t>
            </w:r>
          </w:p>
        </w:tc>
        <w:tc>
          <w:tcPr>
            <w:tcW w:w="7169" w:type="dxa"/>
          </w:tcPr>
          <w:p w:rsidR="00CE22FE" w:rsidRPr="00E541AD" w:rsidRDefault="00CE22FE" w:rsidP="009F4002">
            <w:pPr>
              <w:pStyle w:val="TableBodyText"/>
              <w:jc w:val="both"/>
              <w:rPr>
                <w:rFonts w:cs="Arial"/>
              </w:rPr>
            </w:pPr>
            <w:r w:rsidRPr="00E541AD">
              <w:rPr>
                <w:rFonts w:cs="Arial"/>
              </w:rPr>
              <w:t>Information on some aspects of statistical quality may be hard to obtain as information on the source data has not been kept over time. This is related to the issue of the administrative rather than statistical purpose of the collection of the source data.</w:t>
            </w:r>
          </w:p>
          <w:p w:rsidR="00CE22FE" w:rsidRPr="00E541AD" w:rsidRDefault="00CE22FE" w:rsidP="009F4002">
            <w:pPr>
              <w:pStyle w:val="TableBodyText"/>
              <w:jc w:val="both"/>
              <w:rPr>
                <w:rFonts w:cs="Arial"/>
              </w:rPr>
            </w:pPr>
            <w:r w:rsidRPr="00E541AD">
              <w:rPr>
                <w:rFonts w:cs="Arial"/>
              </w:rPr>
              <w:t xml:space="preserve">Perinatal Deaths, Australia contains detailed Explanatory Notes, an Appendix and Glossary that provide information on the data sources, terminology, classifications and other technical aspects associated with these statistics. </w:t>
            </w:r>
          </w:p>
        </w:tc>
      </w:tr>
      <w:tr w:rsidR="00CE22FE" w:rsidRPr="003846CE" w:rsidTr="009F4002">
        <w:tc>
          <w:tcPr>
            <w:tcW w:w="8789" w:type="dxa"/>
            <w:gridSpan w:val="2"/>
            <w:vAlign w:val="bottom"/>
          </w:tcPr>
          <w:p w:rsidR="00CE22FE" w:rsidRDefault="00CE22FE" w:rsidP="00CE22FE">
            <w:pPr>
              <w:widowControl w:val="0"/>
              <w:spacing w:after="40" w:line="200" w:lineRule="atLeast"/>
              <w:ind w:left="6" w:right="113"/>
              <w:jc w:val="both"/>
              <w:rPr>
                <w:rFonts w:ascii="Arial" w:hAnsi="Arial"/>
                <w:b/>
                <w:color w:val="000000"/>
                <w:sz w:val="18"/>
                <w:szCs w:val="20"/>
              </w:rPr>
            </w:pPr>
          </w:p>
          <w:p w:rsidR="00CE22FE" w:rsidRPr="003846CE" w:rsidRDefault="00CE22FE" w:rsidP="00CE22FE">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CE22FE" w:rsidRPr="003846CE" w:rsidTr="009F4002">
        <w:tc>
          <w:tcPr>
            <w:tcW w:w="1620" w:type="dxa"/>
          </w:tcPr>
          <w:p w:rsidR="00CE22FE" w:rsidRPr="003846CE" w:rsidRDefault="00CE22FE" w:rsidP="00CE22FE">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CE22FE" w:rsidRPr="00E541AD" w:rsidRDefault="00CE22FE" w:rsidP="009F4002">
            <w:pPr>
              <w:pStyle w:val="TableBodyText"/>
              <w:jc w:val="both"/>
              <w:rPr>
                <w:rFonts w:cs="Arial"/>
              </w:rPr>
            </w:pPr>
            <w:r w:rsidRPr="00E541AD">
              <w:rPr>
                <w:rFonts w:cs="Arial"/>
              </w:rPr>
              <w:t>The Steering Committee notes the following issues:</w:t>
            </w:r>
          </w:p>
          <w:p w:rsidR="00CE22FE" w:rsidRPr="00E541AD" w:rsidRDefault="00CE22FE" w:rsidP="009F4002">
            <w:pPr>
              <w:pStyle w:val="TableBodyText"/>
              <w:jc w:val="both"/>
              <w:rPr>
                <w:rFonts w:cs="Arial"/>
              </w:rPr>
            </w:pPr>
            <w:r w:rsidRPr="00E541AD">
              <w:rPr>
                <w:rFonts w:cs="Arial"/>
              </w:rPr>
              <w:t>‘Fetal death rate’ is reported as an indicator because maternity services for admitted patients have some potential to reduce the likelihood of fetal deaths. However, this potential is limited and other factors (such as the health of mothers and the progress of pregnancy before hospital admission) are also important.</w:t>
            </w:r>
          </w:p>
          <w:p w:rsidR="00CE22FE" w:rsidRPr="00E541AD" w:rsidRDefault="00CE22FE" w:rsidP="009F4002">
            <w:pPr>
              <w:pStyle w:val="TableBodyText"/>
              <w:jc w:val="both"/>
              <w:rPr>
                <w:rFonts w:cs="Arial"/>
              </w:rPr>
            </w:pPr>
            <w:r w:rsidRPr="00E541AD">
              <w:rPr>
                <w:rFonts w:cs="Arial"/>
              </w:rPr>
              <w:t>Hence, differences in the ‘fetal death rate’ between jurisdictions are likely to be due to factors outside the control of maternity services for admitted patients. To the extent that the health system influences fetal death rates, the health services that can have an influence include outpatient services, general practice services and maternity services.</w:t>
            </w:r>
          </w:p>
          <w:p w:rsidR="00CE22FE" w:rsidRPr="00E541AD" w:rsidRDefault="00CE22FE" w:rsidP="009F4002">
            <w:pPr>
              <w:pStyle w:val="TableBodyText"/>
              <w:jc w:val="both"/>
              <w:rPr>
                <w:rFonts w:ascii="Times New Roman" w:hAnsi="Times New Roman"/>
                <w:sz w:val="22"/>
                <w:szCs w:val="22"/>
              </w:rPr>
            </w:pPr>
            <w:r w:rsidRPr="00032858">
              <w:t>As for fetal deaths, a range of factors contribute to neonatal deaths. However, the influence of maternity services for admitted patients is greater for neonatal deaths than for fetal deaths, through the management of labour and the care of sick and premature babies.</w:t>
            </w:r>
          </w:p>
        </w:tc>
      </w:tr>
    </w:tbl>
    <w:p w:rsidR="007D0D79" w:rsidRDefault="007D0D79" w:rsidP="00924367">
      <w:pPr>
        <w:pStyle w:val="BodyText"/>
      </w:pPr>
    </w:p>
    <w:sectPr w:rsidR="007D0D79"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798" w:rsidRDefault="00634798">
      <w:r>
        <w:separator/>
      </w:r>
    </w:p>
  </w:endnote>
  <w:endnote w:type="continuationSeparator" w:id="0">
    <w:p w:rsidR="00634798" w:rsidRDefault="0063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4798" w:rsidTr="005F48ED">
      <w:trPr>
        <w:trHeight w:hRule="exact" w:val="567"/>
      </w:trPr>
      <w:tc>
        <w:tcPr>
          <w:tcW w:w="510" w:type="dxa"/>
        </w:tcPr>
        <w:p w:rsidR="00634798" w:rsidRPr="00A24443" w:rsidRDefault="0063479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025FB">
            <w:rPr>
              <w:rStyle w:val="PageNumber"/>
              <w:caps w:val="0"/>
              <w:noProof/>
            </w:rPr>
            <w:t>66</w:t>
          </w:r>
          <w:r w:rsidRPr="00A24443">
            <w:rPr>
              <w:rStyle w:val="PageNumber"/>
              <w:caps w:val="0"/>
            </w:rPr>
            <w:fldChar w:fldCharType="end"/>
          </w:r>
        </w:p>
      </w:tc>
      <w:tc>
        <w:tcPr>
          <w:tcW w:w="7767" w:type="dxa"/>
        </w:tcPr>
        <w:p w:rsidR="00634798" w:rsidRPr="0013739A" w:rsidRDefault="00634798" w:rsidP="0013739A">
          <w:pPr>
            <w:pStyle w:val="Footer"/>
            <w:rPr>
              <w:rFonts w:cs="Arial"/>
            </w:rPr>
          </w:pPr>
          <w:r>
            <w:rPr>
              <w:rFonts w:cs="Arial"/>
            </w:rPr>
            <w:t>Report on Government services 2015</w:t>
          </w:r>
          <w:bookmarkStart w:id="22" w:name="DraftReportEven"/>
          <w:bookmarkEnd w:id="22"/>
        </w:p>
      </w:tc>
      <w:tc>
        <w:tcPr>
          <w:tcW w:w="510" w:type="dxa"/>
        </w:tcPr>
        <w:p w:rsidR="00634798" w:rsidRDefault="00634798" w:rsidP="0019293B">
          <w:pPr>
            <w:pStyle w:val="Footer"/>
          </w:pPr>
        </w:p>
      </w:tc>
    </w:tr>
  </w:tbl>
  <w:p w:rsidR="00634798" w:rsidRDefault="0063479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4798" w:rsidTr="005F48ED">
      <w:trPr>
        <w:trHeight w:hRule="exact" w:val="567"/>
      </w:trPr>
      <w:tc>
        <w:tcPr>
          <w:tcW w:w="510" w:type="dxa"/>
        </w:tcPr>
        <w:p w:rsidR="00634798" w:rsidRDefault="00634798">
          <w:pPr>
            <w:pStyle w:val="Footer"/>
            <w:ind w:right="360" w:firstLine="360"/>
          </w:pPr>
        </w:p>
      </w:tc>
      <w:tc>
        <w:tcPr>
          <w:tcW w:w="7767" w:type="dxa"/>
        </w:tcPr>
        <w:p w:rsidR="00634798" w:rsidRPr="00BA5B14" w:rsidRDefault="00634798" w:rsidP="0013739A">
          <w:pPr>
            <w:pStyle w:val="Footer"/>
            <w:jc w:val="right"/>
            <w:rPr>
              <w:rFonts w:cs="Arial"/>
            </w:rPr>
          </w:pPr>
          <w:r>
            <w:rPr>
              <w:rFonts w:cs="Arial"/>
            </w:rPr>
            <w:t>Public hospitals DQI</w:t>
          </w:r>
          <w:bookmarkStart w:id="23" w:name="DraftReportOdd"/>
          <w:bookmarkEnd w:id="23"/>
        </w:p>
      </w:tc>
      <w:tc>
        <w:tcPr>
          <w:tcW w:w="510" w:type="dxa"/>
        </w:tcPr>
        <w:p w:rsidR="00634798" w:rsidRPr="00A24443" w:rsidRDefault="0063479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025FB">
            <w:rPr>
              <w:rStyle w:val="PageNumber"/>
              <w:caps w:val="0"/>
              <w:noProof/>
            </w:rPr>
            <w:t>1</w:t>
          </w:r>
          <w:r w:rsidRPr="00A24443">
            <w:rPr>
              <w:rStyle w:val="PageNumber"/>
              <w:caps w:val="0"/>
            </w:rPr>
            <w:fldChar w:fldCharType="end"/>
          </w:r>
        </w:p>
      </w:tc>
    </w:tr>
  </w:tbl>
  <w:p w:rsidR="00634798" w:rsidRDefault="0063479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798" w:rsidRDefault="00634798">
      <w:r>
        <w:separator/>
      </w:r>
    </w:p>
  </w:footnote>
  <w:footnote w:type="continuationSeparator" w:id="0">
    <w:p w:rsidR="00634798" w:rsidRDefault="00634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34798">
      <w:tc>
        <w:tcPr>
          <w:tcW w:w="2155" w:type="dxa"/>
          <w:tcBorders>
            <w:top w:val="single" w:sz="24" w:space="0" w:color="auto"/>
          </w:tcBorders>
        </w:tcPr>
        <w:p w:rsidR="00634798" w:rsidRDefault="00634798" w:rsidP="0019293B">
          <w:pPr>
            <w:pStyle w:val="HeaderEven"/>
          </w:pPr>
        </w:p>
      </w:tc>
      <w:tc>
        <w:tcPr>
          <w:tcW w:w="6634" w:type="dxa"/>
          <w:tcBorders>
            <w:top w:val="single" w:sz="6" w:space="0" w:color="auto"/>
          </w:tcBorders>
        </w:tcPr>
        <w:p w:rsidR="00634798" w:rsidRDefault="00634798" w:rsidP="0019293B">
          <w:pPr>
            <w:pStyle w:val="HeaderEven"/>
          </w:pPr>
        </w:p>
      </w:tc>
    </w:tr>
  </w:tbl>
  <w:p w:rsidR="00634798" w:rsidRDefault="0063479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34798">
      <w:tc>
        <w:tcPr>
          <w:tcW w:w="6634" w:type="dxa"/>
          <w:tcBorders>
            <w:top w:val="single" w:sz="6" w:space="0" w:color="auto"/>
          </w:tcBorders>
        </w:tcPr>
        <w:p w:rsidR="00634798" w:rsidRDefault="00634798" w:rsidP="000E15EF">
          <w:pPr>
            <w:pStyle w:val="HeaderOdd"/>
            <w:jc w:val="right"/>
          </w:pPr>
        </w:p>
      </w:tc>
      <w:tc>
        <w:tcPr>
          <w:tcW w:w="2155" w:type="dxa"/>
          <w:tcBorders>
            <w:top w:val="single" w:sz="24" w:space="0" w:color="auto"/>
          </w:tcBorders>
        </w:tcPr>
        <w:p w:rsidR="00634798" w:rsidRDefault="00634798" w:rsidP="00E669E2">
          <w:pPr>
            <w:pStyle w:val="HeaderOdd"/>
          </w:pPr>
        </w:p>
      </w:tc>
    </w:tr>
  </w:tbl>
  <w:p w:rsidR="00634798" w:rsidRDefault="0063479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3A8734"/>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763051A"/>
    <w:multiLevelType w:val="hybridMultilevel"/>
    <w:tmpl w:val="D408E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A365801"/>
    <w:multiLevelType w:val="hybridMultilevel"/>
    <w:tmpl w:val="778A8C4C"/>
    <w:lvl w:ilvl="0" w:tplc="01B4B3BE">
      <w:start w:val="1"/>
      <w:numFmt w:val="bullet"/>
      <w:lvlText w:val=""/>
      <w:lvlJc w:val="left"/>
      <w:pPr>
        <w:tabs>
          <w:tab w:val="num" w:pos="170"/>
        </w:tabs>
        <w:ind w:left="170" w:hanging="170"/>
      </w:pPr>
      <w:rPr>
        <w:rFonts w:ascii="Symbol" w:hAnsi="Symbol" w:hint="default"/>
        <w:b w:val="0"/>
        <w:i w:val="0"/>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23AE0147"/>
    <w:multiLevelType w:val="hybridMultilevel"/>
    <w:tmpl w:val="668C8964"/>
    <w:lvl w:ilvl="0" w:tplc="01B4B3BE">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90E35AE"/>
    <w:multiLevelType w:val="hybridMultilevel"/>
    <w:tmpl w:val="7FDA739E"/>
    <w:lvl w:ilvl="0" w:tplc="01B4B3BE">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7D16CE0"/>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7">
    <w:nsid w:val="7DFD2FEC"/>
    <w:multiLevelType w:val="multilevel"/>
    <w:tmpl w:val="42A405D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ascii="Courier New" w:hAnsi="Courier New" w:hint="default"/>
        <w:b w:val="0"/>
        <w:i w:val="0"/>
        <w:color w:val="000000"/>
        <w:sz w:val="22"/>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28">
    <w:nsid w:val="7E7A5EF0"/>
    <w:multiLevelType w:val="hybridMultilevel"/>
    <w:tmpl w:val="C9380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9"/>
  </w:num>
  <w:num w:numId="4">
    <w:abstractNumId w:val="4"/>
  </w:num>
  <w:num w:numId="5">
    <w:abstractNumId w:val="24"/>
  </w:num>
  <w:num w:numId="6">
    <w:abstractNumId w:val="21"/>
  </w:num>
  <w:num w:numId="7">
    <w:abstractNumId w:val="10"/>
  </w:num>
  <w:num w:numId="8">
    <w:abstractNumId w:val="20"/>
  </w:num>
  <w:num w:numId="9">
    <w:abstractNumId w:val="9"/>
  </w:num>
  <w:num w:numId="10">
    <w:abstractNumId w:val="8"/>
  </w:num>
  <w:num w:numId="11">
    <w:abstractNumId w:val="13"/>
  </w:num>
  <w:num w:numId="12">
    <w:abstractNumId w:val="15"/>
  </w:num>
  <w:num w:numId="13">
    <w:abstractNumId w:val="5"/>
  </w:num>
  <w:num w:numId="14">
    <w:abstractNumId w:val="22"/>
  </w:num>
  <w:num w:numId="15">
    <w:abstractNumId w:val="25"/>
  </w:num>
  <w:num w:numId="16">
    <w:abstractNumId w:val="18"/>
  </w:num>
  <w:num w:numId="17">
    <w:abstractNumId w:val="26"/>
  </w:num>
  <w:num w:numId="18">
    <w:abstractNumId w:val="1"/>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3"/>
  </w:num>
  <w:num w:numId="21">
    <w:abstractNumId w:val="11"/>
  </w:num>
  <w:num w:numId="22">
    <w:abstractNumId w:val="14"/>
  </w:num>
  <w:num w:numId="23">
    <w:abstractNumId w:val="12"/>
  </w:num>
  <w:num w:numId="24">
    <w:abstractNumId w:val="17"/>
  </w:num>
  <w:num w:numId="25">
    <w:abstractNumId w:val="20"/>
  </w:num>
  <w:num w:numId="26">
    <w:abstractNumId w:val="7"/>
  </w:num>
  <w:num w:numId="27">
    <w:abstractNumId w:val="20"/>
  </w:num>
  <w:num w:numId="28">
    <w:abstractNumId w:val="28"/>
  </w:num>
  <w:num w:numId="29">
    <w:abstractNumId w:val="0"/>
  </w:num>
  <w:num w:numId="30">
    <w:abstractNumId w:val="27"/>
  </w:num>
  <w:num w:numId="31">
    <w:abstractNumId w:val="6"/>
  </w:num>
  <w:num w:numId="32">
    <w:abstractNumId w:val="20"/>
  </w:num>
  <w:num w:numId="33">
    <w:abstractNumId w:val="20"/>
  </w:num>
  <w:num w:numId="34">
    <w:abstractNumId w:val="20"/>
  </w:num>
  <w:num w:numId="35">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DQI"/>
    <w:docVar w:name="ShortReportTitle" w:val="Report on Government services 2015"/>
  </w:docVars>
  <w:rsids>
    <w:rsidRoot w:val="000E15EF"/>
    <w:rsid w:val="000227D5"/>
    <w:rsid w:val="000245AA"/>
    <w:rsid w:val="0003664B"/>
    <w:rsid w:val="0004111F"/>
    <w:rsid w:val="00055077"/>
    <w:rsid w:val="000565B3"/>
    <w:rsid w:val="0007150B"/>
    <w:rsid w:val="000938F5"/>
    <w:rsid w:val="00095663"/>
    <w:rsid w:val="000965F1"/>
    <w:rsid w:val="00096E55"/>
    <w:rsid w:val="0009783E"/>
    <w:rsid w:val="000A5F56"/>
    <w:rsid w:val="000B1022"/>
    <w:rsid w:val="000B601B"/>
    <w:rsid w:val="000C207E"/>
    <w:rsid w:val="000D41E9"/>
    <w:rsid w:val="000E15EF"/>
    <w:rsid w:val="000F0035"/>
    <w:rsid w:val="000F04E7"/>
    <w:rsid w:val="000F060A"/>
    <w:rsid w:val="000F1E69"/>
    <w:rsid w:val="000F420B"/>
    <w:rsid w:val="00110116"/>
    <w:rsid w:val="001135E5"/>
    <w:rsid w:val="00120072"/>
    <w:rsid w:val="00126EB8"/>
    <w:rsid w:val="001274D4"/>
    <w:rsid w:val="0013559B"/>
    <w:rsid w:val="001363AA"/>
    <w:rsid w:val="0013739A"/>
    <w:rsid w:val="00142165"/>
    <w:rsid w:val="001469C7"/>
    <w:rsid w:val="00162434"/>
    <w:rsid w:val="00167614"/>
    <w:rsid w:val="00167D68"/>
    <w:rsid w:val="0018245F"/>
    <w:rsid w:val="00183E82"/>
    <w:rsid w:val="00184102"/>
    <w:rsid w:val="001878BB"/>
    <w:rsid w:val="00191AE0"/>
    <w:rsid w:val="0019293B"/>
    <w:rsid w:val="0019426B"/>
    <w:rsid w:val="001A48A4"/>
    <w:rsid w:val="001A6A4B"/>
    <w:rsid w:val="001C0865"/>
    <w:rsid w:val="001C0AED"/>
    <w:rsid w:val="001C3ABA"/>
    <w:rsid w:val="001C5111"/>
    <w:rsid w:val="001E5CC7"/>
    <w:rsid w:val="001E7BE8"/>
    <w:rsid w:val="001F0248"/>
    <w:rsid w:val="001F3EB3"/>
    <w:rsid w:val="001F4F86"/>
    <w:rsid w:val="00202C2C"/>
    <w:rsid w:val="00203050"/>
    <w:rsid w:val="002130FF"/>
    <w:rsid w:val="002135AB"/>
    <w:rsid w:val="002144BE"/>
    <w:rsid w:val="00221402"/>
    <w:rsid w:val="00221830"/>
    <w:rsid w:val="00224F8A"/>
    <w:rsid w:val="00242279"/>
    <w:rsid w:val="00243997"/>
    <w:rsid w:val="0024516C"/>
    <w:rsid w:val="00245C82"/>
    <w:rsid w:val="00253741"/>
    <w:rsid w:val="00265281"/>
    <w:rsid w:val="002724BA"/>
    <w:rsid w:val="00282DFA"/>
    <w:rsid w:val="00286058"/>
    <w:rsid w:val="00291B40"/>
    <w:rsid w:val="002A22FB"/>
    <w:rsid w:val="002A6E86"/>
    <w:rsid w:val="002A7AAB"/>
    <w:rsid w:val="002B4008"/>
    <w:rsid w:val="002C426D"/>
    <w:rsid w:val="002C439F"/>
    <w:rsid w:val="002D0C42"/>
    <w:rsid w:val="002D0E8E"/>
    <w:rsid w:val="002F7AF5"/>
    <w:rsid w:val="00301189"/>
    <w:rsid w:val="00301E4A"/>
    <w:rsid w:val="00307E62"/>
    <w:rsid w:val="0031171C"/>
    <w:rsid w:val="00313E93"/>
    <w:rsid w:val="003168B8"/>
    <w:rsid w:val="00322D64"/>
    <w:rsid w:val="00323E09"/>
    <w:rsid w:val="00324D18"/>
    <w:rsid w:val="00333932"/>
    <w:rsid w:val="00345271"/>
    <w:rsid w:val="003469AE"/>
    <w:rsid w:val="003518AA"/>
    <w:rsid w:val="00352165"/>
    <w:rsid w:val="00353182"/>
    <w:rsid w:val="003565D9"/>
    <w:rsid w:val="003602E1"/>
    <w:rsid w:val="0037026F"/>
    <w:rsid w:val="0037123C"/>
    <w:rsid w:val="00371240"/>
    <w:rsid w:val="00374731"/>
    <w:rsid w:val="0037635B"/>
    <w:rsid w:val="00376E59"/>
    <w:rsid w:val="00377EC1"/>
    <w:rsid w:val="00380340"/>
    <w:rsid w:val="003810BC"/>
    <w:rsid w:val="003846CE"/>
    <w:rsid w:val="003919F9"/>
    <w:rsid w:val="003920CF"/>
    <w:rsid w:val="003A7941"/>
    <w:rsid w:val="003B23C2"/>
    <w:rsid w:val="003C09C9"/>
    <w:rsid w:val="003C38B5"/>
    <w:rsid w:val="003C5D99"/>
    <w:rsid w:val="003D037D"/>
    <w:rsid w:val="003D1087"/>
    <w:rsid w:val="003E2F59"/>
    <w:rsid w:val="003E746B"/>
    <w:rsid w:val="003F0789"/>
    <w:rsid w:val="003F167A"/>
    <w:rsid w:val="00401882"/>
    <w:rsid w:val="004100C8"/>
    <w:rsid w:val="00411DBD"/>
    <w:rsid w:val="00412ACE"/>
    <w:rsid w:val="004145D2"/>
    <w:rsid w:val="00426CB4"/>
    <w:rsid w:val="00431249"/>
    <w:rsid w:val="00434C19"/>
    <w:rsid w:val="0043511D"/>
    <w:rsid w:val="00450810"/>
    <w:rsid w:val="00462C59"/>
    <w:rsid w:val="00470737"/>
    <w:rsid w:val="00477144"/>
    <w:rsid w:val="00491380"/>
    <w:rsid w:val="0049459F"/>
    <w:rsid w:val="004A2114"/>
    <w:rsid w:val="004A38DD"/>
    <w:rsid w:val="004A4173"/>
    <w:rsid w:val="004B2F01"/>
    <w:rsid w:val="004B43AE"/>
    <w:rsid w:val="004C244F"/>
    <w:rsid w:val="004C30ED"/>
    <w:rsid w:val="004D5675"/>
    <w:rsid w:val="004E2E09"/>
    <w:rsid w:val="004E42B6"/>
    <w:rsid w:val="005025FB"/>
    <w:rsid w:val="0050404C"/>
    <w:rsid w:val="00517795"/>
    <w:rsid w:val="00523639"/>
    <w:rsid w:val="00531FE5"/>
    <w:rsid w:val="005402FA"/>
    <w:rsid w:val="005649C6"/>
    <w:rsid w:val="005729BD"/>
    <w:rsid w:val="00580154"/>
    <w:rsid w:val="00583C39"/>
    <w:rsid w:val="00586A90"/>
    <w:rsid w:val="00587F28"/>
    <w:rsid w:val="005909CF"/>
    <w:rsid w:val="00591E71"/>
    <w:rsid w:val="005A0CD6"/>
    <w:rsid w:val="005A0D41"/>
    <w:rsid w:val="005D329F"/>
    <w:rsid w:val="005E3998"/>
    <w:rsid w:val="005E3D9F"/>
    <w:rsid w:val="005F32DC"/>
    <w:rsid w:val="005F48ED"/>
    <w:rsid w:val="005F4F33"/>
    <w:rsid w:val="00606E78"/>
    <w:rsid w:val="006077DD"/>
    <w:rsid w:val="00607BF1"/>
    <w:rsid w:val="00614760"/>
    <w:rsid w:val="00630D4D"/>
    <w:rsid w:val="00632A74"/>
    <w:rsid w:val="00634798"/>
    <w:rsid w:val="00654D42"/>
    <w:rsid w:val="006663F4"/>
    <w:rsid w:val="00666E02"/>
    <w:rsid w:val="00673A96"/>
    <w:rsid w:val="006A4655"/>
    <w:rsid w:val="006B0096"/>
    <w:rsid w:val="006B2B3C"/>
    <w:rsid w:val="006C1D81"/>
    <w:rsid w:val="006C7038"/>
    <w:rsid w:val="006E73EF"/>
    <w:rsid w:val="007079C9"/>
    <w:rsid w:val="00714972"/>
    <w:rsid w:val="00714D4D"/>
    <w:rsid w:val="00720053"/>
    <w:rsid w:val="00724EDD"/>
    <w:rsid w:val="007266D3"/>
    <w:rsid w:val="00732029"/>
    <w:rsid w:val="007604BB"/>
    <w:rsid w:val="007607C7"/>
    <w:rsid w:val="007612A1"/>
    <w:rsid w:val="00772909"/>
    <w:rsid w:val="00785232"/>
    <w:rsid w:val="00785911"/>
    <w:rsid w:val="007957BE"/>
    <w:rsid w:val="0079701E"/>
    <w:rsid w:val="007A21EB"/>
    <w:rsid w:val="007B1A93"/>
    <w:rsid w:val="007B7074"/>
    <w:rsid w:val="007C36C9"/>
    <w:rsid w:val="007D0D79"/>
    <w:rsid w:val="007D5445"/>
    <w:rsid w:val="007D6401"/>
    <w:rsid w:val="007E01E4"/>
    <w:rsid w:val="007E7A12"/>
    <w:rsid w:val="007F140D"/>
    <w:rsid w:val="007F7107"/>
    <w:rsid w:val="00800146"/>
    <w:rsid w:val="00800D4C"/>
    <w:rsid w:val="0080196A"/>
    <w:rsid w:val="0081030F"/>
    <w:rsid w:val="00812F4A"/>
    <w:rsid w:val="0082087D"/>
    <w:rsid w:val="0082746E"/>
    <w:rsid w:val="0083016C"/>
    <w:rsid w:val="00835771"/>
    <w:rsid w:val="00842933"/>
    <w:rsid w:val="0086082C"/>
    <w:rsid w:val="00864ADC"/>
    <w:rsid w:val="00880153"/>
    <w:rsid w:val="00880F97"/>
    <w:rsid w:val="0088133A"/>
    <w:rsid w:val="0089285E"/>
    <w:rsid w:val="0089436C"/>
    <w:rsid w:val="008B5323"/>
    <w:rsid w:val="008B5913"/>
    <w:rsid w:val="008B71EE"/>
    <w:rsid w:val="008C0887"/>
    <w:rsid w:val="008D365C"/>
    <w:rsid w:val="008D7622"/>
    <w:rsid w:val="009021A6"/>
    <w:rsid w:val="009030BF"/>
    <w:rsid w:val="0090342F"/>
    <w:rsid w:val="0090363E"/>
    <w:rsid w:val="00903B52"/>
    <w:rsid w:val="009042BA"/>
    <w:rsid w:val="00905501"/>
    <w:rsid w:val="0091032F"/>
    <w:rsid w:val="00914368"/>
    <w:rsid w:val="00923FBE"/>
    <w:rsid w:val="00924367"/>
    <w:rsid w:val="00925743"/>
    <w:rsid w:val="00931076"/>
    <w:rsid w:val="009345D9"/>
    <w:rsid w:val="00934B15"/>
    <w:rsid w:val="00934E2F"/>
    <w:rsid w:val="00940C87"/>
    <w:rsid w:val="00942B62"/>
    <w:rsid w:val="00950E2C"/>
    <w:rsid w:val="0095323B"/>
    <w:rsid w:val="00956A0C"/>
    <w:rsid w:val="00956BD9"/>
    <w:rsid w:val="00962489"/>
    <w:rsid w:val="00967CD3"/>
    <w:rsid w:val="0097028D"/>
    <w:rsid w:val="00974BDF"/>
    <w:rsid w:val="00990C2C"/>
    <w:rsid w:val="009A5171"/>
    <w:rsid w:val="009B41B9"/>
    <w:rsid w:val="009E1844"/>
    <w:rsid w:val="009E4756"/>
    <w:rsid w:val="009F0D1B"/>
    <w:rsid w:val="009F4002"/>
    <w:rsid w:val="009F5BBD"/>
    <w:rsid w:val="009F696D"/>
    <w:rsid w:val="009F6BC6"/>
    <w:rsid w:val="009F74EF"/>
    <w:rsid w:val="00A02826"/>
    <w:rsid w:val="00A15D5A"/>
    <w:rsid w:val="00A17328"/>
    <w:rsid w:val="00A23A20"/>
    <w:rsid w:val="00A24443"/>
    <w:rsid w:val="00A268B9"/>
    <w:rsid w:val="00A26DAF"/>
    <w:rsid w:val="00A2703A"/>
    <w:rsid w:val="00A33DFF"/>
    <w:rsid w:val="00A35115"/>
    <w:rsid w:val="00A36D9A"/>
    <w:rsid w:val="00A451DC"/>
    <w:rsid w:val="00A55480"/>
    <w:rsid w:val="00A554AB"/>
    <w:rsid w:val="00A57062"/>
    <w:rsid w:val="00A67781"/>
    <w:rsid w:val="00A75358"/>
    <w:rsid w:val="00A761F9"/>
    <w:rsid w:val="00A9186B"/>
    <w:rsid w:val="00A92B53"/>
    <w:rsid w:val="00A94FA6"/>
    <w:rsid w:val="00AA3121"/>
    <w:rsid w:val="00AA49A0"/>
    <w:rsid w:val="00AA6710"/>
    <w:rsid w:val="00AB0681"/>
    <w:rsid w:val="00AC3A15"/>
    <w:rsid w:val="00AD520B"/>
    <w:rsid w:val="00AE3BCC"/>
    <w:rsid w:val="00B01D66"/>
    <w:rsid w:val="00B04C80"/>
    <w:rsid w:val="00B33A69"/>
    <w:rsid w:val="00B40E14"/>
    <w:rsid w:val="00B425C3"/>
    <w:rsid w:val="00B440AD"/>
    <w:rsid w:val="00B479BB"/>
    <w:rsid w:val="00B52FED"/>
    <w:rsid w:val="00B53E7E"/>
    <w:rsid w:val="00B6342E"/>
    <w:rsid w:val="00B66DDB"/>
    <w:rsid w:val="00B7113F"/>
    <w:rsid w:val="00B8230A"/>
    <w:rsid w:val="00BA2BCF"/>
    <w:rsid w:val="00BA5B14"/>
    <w:rsid w:val="00BA73B6"/>
    <w:rsid w:val="00BA7E27"/>
    <w:rsid w:val="00BB2603"/>
    <w:rsid w:val="00BB4FCD"/>
    <w:rsid w:val="00BC04E9"/>
    <w:rsid w:val="00BD13EA"/>
    <w:rsid w:val="00BE3808"/>
    <w:rsid w:val="00BE4D9F"/>
    <w:rsid w:val="00BE5232"/>
    <w:rsid w:val="00BF76F7"/>
    <w:rsid w:val="00C03B88"/>
    <w:rsid w:val="00C062E9"/>
    <w:rsid w:val="00C07B64"/>
    <w:rsid w:val="00C13721"/>
    <w:rsid w:val="00C14A1E"/>
    <w:rsid w:val="00C14FE4"/>
    <w:rsid w:val="00C16CC8"/>
    <w:rsid w:val="00C3066D"/>
    <w:rsid w:val="00C52416"/>
    <w:rsid w:val="00C543F4"/>
    <w:rsid w:val="00C6291C"/>
    <w:rsid w:val="00C633CB"/>
    <w:rsid w:val="00C664CD"/>
    <w:rsid w:val="00C736B7"/>
    <w:rsid w:val="00C74181"/>
    <w:rsid w:val="00C81D4A"/>
    <w:rsid w:val="00C8762C"/>
    <w:rsid w:val="00C947FF"/>
    <w:rsid w:val="00CA00F9"/>
    <w:rsid w:val="00CA2961"/>
    <w:rsid w:val="00CB50D7"/>
    <w:rsid w:val="00CB7177"/>
    <w:rsid w:val="00CB7CED"/>
    <w:rsid w:val="00CC070F"/>
    <w:rsid w:val="00CC1998"/>
    <w:rsid w:val="00CC4946"/>
    <w:rsid w:val="00CC64A1"/>
    <w:rsid w:val="00CE22FE"/>
    <w:rsid w:val="00CF0AC3"/>
    <w:rsid w:val="00CF3B11"/>
    <w:rsid w:val="00CF54FE"/>
    <w:rsid w:val="00D270A4"/>
    <w:rsid w:val="00D27716"/>
    <w:rsid w:val="00D31FE9"/>
    <w:rsid w:val="00D34E1B"/>
    <w:rsid w:val="00D376BA"/>
    <w:rsid w:val="00D434A0"/>
    <w:rsid w:val="00D45634"/>
    <w:rsid w:val="00D4787D"/>
    <w:rsid w:val="00D5568A"/>
    <w:rsid w:val="00D60BD4"/>
    <w:rsid w:val="00D62805"/>
    <w:rsid w:val="00D63D73"/>
    <w:rsid w:val="00D64452"/>
    <w:rsid w:val="00D66E1E"/>
    <w:rsid w:val="00D70696"/>
    <w:rsid w:val="00D7235A"/>
    <w:rsid w:val="00D75722"/>
    <w:rsid w:val="00D80CF5"/>
    <w:rsid w:val="00DA51E6"/>
    <w:rsid w:val="00DA5BBA"/>
    <w:rsid w:val="00DB154A"/>
    <w:rsid w:val="00DB1A3A"/>
    <w:rsid w:val="00DB26D2"/>
    <w:rsid w:val="00DB67C9"/>
    <w:rsid w:val="00DC0C95"/>
    <w:rsid w:val="00DC466C"/>
    <w:rsid w:val="00DC4F0B"/>
    <w:rsid w:val="00DD0E73"/>
    <w:rsid w:val="00DD4939"/>
    <w:rsid w:val="00DD6580"/>
    <w:rsid w:val="00DF7CAE"/>
    <w:rsid w:val="00E01D7F"/>
    <w:rsid w:val="00E05C03"/>
    <w:rsid w:val="00E068D8"/>
    <w:rsid w:val="00E17C72"/>
    <w:rsid w:val="00E213E3"/>
    <w:rsid w:val="00E21406"/>
    <w:rsid w:val="00E21FC6"/>
    <w:rsid w:val="00E2221C"/>
    <w:rsid w:val="00E32708"/>
    <w:rsid w:val="00E37D21"/>
    <w:rsid w:val="00E431A9"/>
    <w:rsid w:val="00E51EF9"/>
    <w:rsid w:val="00E62DA4"/>
    <w:rsid w:val="00E669E2"/>
    <w:rsid w:val="00E76135"/>
    <w:rsid w:val="00E82F4F"/>
    <w:rsid w:val="00E8429E"/>
    <w:rsid w:val="00E864DF"/>
    <w:rsid w:val="00EA17A3"/>
    <w:rsid w:val="00EB2CC3"/>
    <w:rsid w:val="00EB6EA3"/>
    <w:rsid w:val="00EB73F2"/>
    <w:rsid w:val="00EC2844"/>
    <w:rsid w:val="00EC4163"/>
    <w:rsid w:val="00EC5500"/>
    <w:rsid w:val="00ED18F8"/>
    <w:rsid w:val="00ED5D8F"/>
    <w:rsid w:val="00EE0B95"/>
    <w:rsid w:val="00EE6EDA"/>
    <w:rsid w:val="00EE778E"/>
    <w:rsid w:val="00EF1412"/>
    <w:rsid w:val="00EF6719"/>
    <w:rsid w:val="00EF6C6C"/>
    <w:rsid w:val="00F056FC"/>
    <w:rsid w:val="00F0632F"/>
    <w:rsid w:val="00F069AE"/>
    <w:rsid w:val="00F10476"/>
    <w:rsid w:val="00F135D8"/>
    <w:rsid w:val="00F13D9E"/>
    <w:rsid w:val="00F227D6"/>
    <w:rsid w:val="00F31149"/>
    <w:rsid w:val="00F31299"/>
    <w:rsid w:val="00F3534A"/>
    <w:rsid w:val="00F35BFB"/>
    <w:rsid w:val="00F36ACC"/>
    <w:rsid w:val="00F42252"/>
    <w:rsid w:val="00F51609"/>
    <w:rsid w:val="00F55C25"/>
    <w:rsid w:val="00F73727"/>
    <w:rsid w:val="00F766A7"/>
    <w:rsid w:val="00F81006"/>
    <w:rsid w:val="00F85325"/>
    <w:rsid w:val="00F911AD"/>
    <w:rsid w:val="00F91C8C"/>
    <w:rsid w:val="00FA5C46"/>
    <w:rsid w:val="00FD22B1"/>
    <w:rsid w:val="00FD33F1"/>
    <w:rsid w:val="00FD3566"/>
    <w:rsid w:val="00FD5CF8"/>
    <w:rsid w:val="00FE2943"/>
    <w:rsid w:val="00FE532C"/>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TableBodyTextChar">
    <w:name w:val="Table Body Text Char"/>
    <w:link w:val="TableBodyText"/>
    <w:rsid w:val="005F32DC"/>
    <w:rPr>
      <w:rFonts w:ascii="Arial" w:hAnsi="Arial"/>
      <w:sz w:val="18"/>
    </w:rPr>
  </w:style>
  <w:style w:type="character" w:customStyle="1" w:styleId="TableBulletChar">
    <w:name w:val="Table Bullet Char"/>
    <w:basedOn w:val="TableBodyTextChar"/>
    <w:link w:val="TableBullet"/>
    <w:rsid w:val="005F32DC"/>
    <w:rPr>
      <w:rFonts w:ascii="Arial" w:hAnsi="Arial"/>
      <w:sz w:val="18"/>
    </w:rPr>
  </w:style>
  <w:style w:type="character" w:customStyle="1" w:styleId="Heading3Char">
    <w:name w:val="Heading 3 Char"/>
    <w:basedOn w:val="DefaultParagraphFont"/>
    <w:link w:val="Heading3"/>
    <w:rsid w:val="0013559B"/>
    <w:rPr>
      <w:rFonts w:ascii="Arial" w:hAnsi="Arial"/>
      <w:b/>
      <w:sz w:val="26"/>
    </w:rPr>
  </w:style>
  <w:style w:type="character" w:styleId="Hyperlink">
    <w:name w:val="Hyperlink"/>
    <w:basedOn w:val="DefaultParagraphFont"/>
    <w:uiPriority w:val="99"/>
    <w:rsid w:val="00C14A1E"/>
    <w:rPr>
      <w:color w:val="78A22F" w:themeColor="hyperlink"/>
      <w:u w:val="single"/>
    </w:rPr>
  </w:style>
  <w:style w:type="paragraph" w:customStyle="1" w:styleId="Heading1NotTOC">
    <w:name w:val="Heading 1 Not TOC"/>
    <w:basedOn w:val="Heading1"/>
    <w:next w:val="BodyText"/>
    <w:rsid w:val="00DA51E6"/>
    <w:rPr>
      <w:kern w:val="28"/>
      <w:szCs w:val="26"/>
      <w:lang w:eastAsia="en-US"/>
    </w:rPr>
  </w:style>
  <w:style w:type="paragraph" w:styleId="TOCHeading">
    <w:name w:val="TOC Heading"/>
    <w:basedOn w:val="Heading1"/>
    <w:next w:val="Normal"/>
    <w:uiPriority w:val="39"/>
    <w:unhideWhenUsed/>
    <w:qFormat/>
    <w:rsid w:val="00DA51E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ListBullet5">
    <w:name w:val="List Bullet 5"/>
    <w:basedOn w:val="Normal"/>
    <w:rsid w:val="00F42252"/>
    <w:pPr>
      <w:numPr>
        <w:numId w:val="29"/>
      </w:numPr>
      <w:spacing w:before="40" w:after="40"/>
    </w:pPr>
    <w:rPr>
      <w:rFonts w:ascii="Book Antiqua" w:hAnsi="Book Antiqua"/>
      <w:sz w:val="20"/>
      <w:szCs w:val="20"/>
      <w:lang w:eastAsia="en-US"/>
    </w:rPr>
  </w:style>
  <w:style w:type="paragraph" w:styleId="ListContinue">
    <w:name w:val="List Continue"/>
    <w:basedOn w:val="Normal"/>
    <w:rsid w:val="005649C6"/>
    <w:pPr>
      <w:spacing w:before="40" w:after="40"/>
      <w:ind w:left="283"/>
    </w:pPr>
    <w:rPr>
      <w:rFonts w:ascii="Book Antiqua" w:hAnsi="Book Antiqua"/>
      <w:sz w:val="20"/>
      <w:szCs w:val="20"/>
      <w:lang w:eastAsia="en-US"/>
    </w:rPr>
  </w:style>
  <w:style w:type="table" w:customStyle="1" w:styleId="AIHWTable">
    <w:name w:val="AIHW Table"/>
    <w:basedOn w:val="TableNormal"/>
    <w:rsid w:val="00720053"/>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AIHWbodytext">
    <w:name w:val="AIHW body text"/>
    <w:basedOn w:val="Normal"/>
    <w:link w:val="AIHWbodytextChar"/>
    <w:qFormat/>
    <w:rsid w:val="00925743"/>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925743"/>
    <w:rPr>
      <w:rFonts w:ascii="Book Antiqua" w:hAnsi="Book Antiqua"/>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TableBodyTextChar">
    <w:name w:val="Table Body Text Char"/>
    <w:link w:val="TableBodyText"/>
    <w:rsid w:val="005F32DC"/>
    <w:rPr>
      <w:rFonts w:ascii="Arial" w:hAnsi="Arial"/>
      <w:sz w:val="18"/>
    </w:rPr>
  </w:style>
  <w:style w:type="character" w:customStyle="1" w:styleId="TableBulletChar">
    <w:name w:val="Table Bullet Char"/>
    <w:basedOn w:val="TableBodyTextChar"/>
    <w:link w:val="TableBullet"/>
    <w:rsid w:val="005F32DC"/>
    <w:rPr>
      <w:rFonts w:ascii="Arial" w:hAnsi="Arial"/>
      <w:sz w:val="18"/>
    </w:rPr>
  </w:style>
  <w:style w:type="character" w:customStyle="1" w:styleId="Heading3Char">
    <w:name w:val="Heading 3 Char"/>
    <w:basedOn w:val="DefaultParagraphFont"/>
    <w:link w:val="Heading3"/>
    <w:rsid w:val="0013559B"/>
    <w:rPr>
      <w:rFonts w:ascii="Arial" w:hAnsi="Arial"/>
      <w:b/>
      <w:sz w:val="26"/>
    </w:rPr>
  </w:style>
  <w:style w:type="character" w:styleId="Hyperlink">
    <w:name w:val="Hyperlink"/>
    <w:basedOn w:val="DefaultParagraphFont"/>
    <w:uiPriority w:val="99"/>
    <w:rsid w:val="00C14A1E"/>
    <w:rPr>
      <w:color w:val="78A22F" w:themeColor="hyperlink"/>
      <w:u w:val="single"/>
    </w:rPr>
  </w:style>
  <w:style w:type="paragraph" w:customStyle="1" w:styleId="Heading1NotTOC">
    <w:name w:val="Heading 1 Not TOC"/>
    <w:basedOn w:val="Heading1"/>
    <w:next w:val="BodyText"/>
    <w:rsid w:val="00DA51E6"/>
    <w:rPr>
      <w:kern w:val="28"/>
      <w:szCs w:val="26"/>
      <w:lang w:eastAsia="en-US"/>
    </w:rPr>
  </w:style>
  <w:style w:type="paragraph" w:styleId="TOCHeading">
    <w:name w:val="TOC Heading"/>
    <w:basedOn w:val="Heading1"/>
    <w:next w:val="Normal"/>
    <w:uiPriority w:val="39"/>
    <w:unhideWhenUsed/>
    <w:qFormat/>
    <w:rsid w:val="00DA51E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ListBullet5">
    <w:name w:val="List Bullet 5"/>
    <w:basedOn w:val="Normal"/>
    <w:rsid w:val="00F42252"/>
    <w:pPr>
      <w:numPr>
        <w:numId w:val="29"/>
      </w:numPr>
      <w:spacing w:before="40" w:after="40"/>
    </w:pPr>
    <w:rPr>
      <w:rFonts w:ascii="Book Antiqua" w:hAnsi="Book Antiqua"/>
      <w:sz w:val="20"/>
      <w:szCs w:val="20"/>
      <w:lang w:eastAsia="en-US"/>
    </w:rPr>
  </w:style>
  <w:style w:type="paragraph" w:styleId="ListContinue">
    <w:name w:val="List Continue"/>
    <w:basedOn w:val="Normal"/>
    <w:rsid w:val="005649C6"/>
    <w:pPr>
      <w:spacing w:before="40" w:after="40"/>
      <w:ind w:left="283"/>
    </w:pPr>
    <w:rPr>
      <w:rFonts w:ascii="Book Antiqua" w:hAnsi="Book Antiqua"/>
      <w:sz w:val="20"/>
      <w:szCs w:val="20"/>
      <w:lang w:eastAsia="en-US"/>
    </w:rPr>
  </w:style>
  <w:style w:type="table" w:customStyle="1" w:styleId="AIHWTable">
    <w:name w:val="AIHW Table"/>
    <w:basedOn w:val="TableNormal"/>
    <w:rsid w:val="00720053"/>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AIHWbodytext">
    <w:name w:val="AIHW body text"/>
    <w:basedOn w:val="Normal"/>
    <w:link w:val="AIHWbodytextChar"/>
    <w:qFormat/>
    <w:rsid w:val="00925743"/>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925743"/>
    <w:rPr>
      <w:rFonts w:ascii="Book Antiqua" w:hAnsi="Book Antiqua"/>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BFCA8-0212-401C-892A-36B25BCF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TotalTime>
  <Pages>66</Pages>
  <Words>39427</Words>
  <Characters>227924</Characters>
  <Application>Microsoft Office Word</Application>
  <DocSecurity>0</DocSecurity>
  <Lines>1899</Lines>
  <Paragraphs>533</Paragraphs>
  <ScaleCrop>false</ScaleCrop>
  <HeadingPairs>
    <vt:vector size="2" baseType="variant">
      <vt:variant>
        <vt:lpstr>Title</vt:lpstr>
      </vt:variant>
      <vt:variant>
        <vt:i4>1</vt:i4>
      </vt:variant>
    </vt:vector>
  </HeadingPairs>
  <TitlesOfParts>
    <vt:vector size="1" baseType="lpstr">
      <vt:lpstr>DQI 11 Public hospitals - Report on Government services 2015</vt:lpstr>
    </vt:vector>
  </TitlesOfParts>
  <Company>Productivity Commission</Company>
  <LinksUpToDate>false</LinksUpToDate>
  <CharactersWithSpaces>266818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11 Public hospitals - Report on Government services 2015</dc:title>
  <dc:subject/>
  <dc:creator>Steering Committee for the Review of Government Service Provision</dc:creator>
  <dc:description/>
  <cp:lastModifiedBy>Frech, Tanya</cp:lastModifiedBy>
  <cp:revision>10</cp:revision>
  <cp:lastPrinted>2014-10-24T03:53:00Z</cp:lastPrinted>
  <dcterms:created xsi:type="dcterms:W3CDTF">2015-01-08T23:59:00Z</dcterms:created>
  <dcterms:modified xsi:type="dcterms:W3CDTF">2015-01-19T01:59:00Z</dcterms:modified>
</cp:coreProperties>
</file>