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810FF9" w:rsidRDefault="0018500D" w:rsidP="0018500D">
      <w:pPr>
        <w:pStyle w:val="Heading1"/>
        <w:spacing w:before="0"/>
      </w:pPr>
      <w:bookmarkStart w:id="0" w:name="_Toc397527172"/>
      <w:r w:rsidRPr="00810FF9">
        <w:t>14</w:t>
      </w:r>
      <w:r w:rsidRPr="00810FF9">
        <w:tab/>
        <w:t>Services for people with disability</w:t>
      </w:r>
      <w:bookmarkStart w:id="1" w:name="_GoBack"/>
      <w:bookmarkEnd w:id="0"/>
      <w:bookmarkEnd w:id="1"/>
    </w:p>
    <w:p w:rsidR="001F39F2" w:rsidRPr="00BC3FDC" w:rsidRDefault="001F39F2" w:rsidP="00BC3FDC">
      <w:pPr>
        <w:pStyle w:val="TOC1"/>
        <w:rPr>
          <w:noProof/>
          <w:sz w:val="24"/>
        </w:rPr>
      </w:pPr>
      <w:bookmarkStart w:id="2" w:name="begin"/>
      <w:bookmarkEnd w:id="2"/>
      <w:r w:rsidRPr="00BC3FDC">
        <w:rPr>
          <w:noProof/>
          <w:sz w:val="24"/>
        </w:rPr>
        <w:t>CONTENTS</w:t>
      </w:r>
    </w:p>
    <w:sdt>
      <w:sdtPr>
        <w:rPr>
          <w:rFonts w:ascii="Times New Roman" w:hAnsi="Times New Roman"/>
          <w:b/>
          <w:kern w:val="28"/>
          <w:sz w:val="52"/>
          <w:szCs w:val="20"/>
          <w:lang w:eastAsia="en-AU"/>
        </w:rPr>
        <w:id w:val="1148332428"/>
        <w:docPartObj>
          <w:docPartGallery w:val="Table of Contents"/>
          <w:docPartUnique/>
        </w:docPartObj>
      </w:sdtPr>
      <w:sdtEndPr>
        <w:rPr>
          <w:rFonts w:ascii="Arial" w:hAnsi="Arial"/>
          <w:b w:val="0"/>
          <w:kern w:val="0"/>
          <w:sz w:val="26"/>
          <w:szCs w:val="26"/>
          <w:lang w:eastAsia="en-US"/>
        </w:rPr>
      </w:sdtEndPr>
      <w:sdtContent>
        <w:p w:rsidR="00391CC7" w:rsidRDefault="00391CC7">
          <w:pPr>
            <w:pStyle w:val="TOC2"/>
            <w:tabs>
              <w:tab w:val="left" w:pos="132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Profile of disability services</w:t>
          </w:r>
          <w:r>
            <w:rPr>
              <w:noProof/>
            </w:rPr>
            <w:tab/>
          </w:r>
          <w:r w:rsidR="00FE40E3">
            <w:rPr>
              <w:noProof/>
            </w:rPr>
            <w:t>14.</w:t>
          </w:r>
          <w:r w:rsidR="0085284B">
            <w:rPr>
              <w:noProof/>
            </w:rPr>
            <w:t>4</w:t>
          </w:r>
        </w:p>
        <w:p w:rsidR="00391CC7" w:rsidRDefault="00391CC7">
          <w:pPr>
            <w:pStyle w:val="TOC2"/>
            <w:tabs>
              <w:tab w:val="left" w:pos="132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160C69">
            <w:rPr>
              <w:noProof/>
            </w:rPr>
            <w:t>14.</w:t>
          </w:r>
          <w:r w:rsidR="0085284B">
            <w:rPr>
              <w:noProof/>
            </w:rPr>
            <w:t>20</w:t>
          </w:r>
        </w:p>
        <w:p w:rsidR="00391CC7" w:rsidRDefault="00391CC7">
          <w:pPr>
            <w:pStyle w:val="TOC2"/>
            <w:tabs>
              <w:tab w:val="left" w:pos="132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160C69">
            <w:rPr>
              <w:noProof/>
            </w:rPr>
            <w:t>14.</w:t>
          </w:r>
          <w:r w:rsidR="0085284B">
            <w:rPr>
              <w:noProof/>
            </w:rPr>
            <w:t>23</w:t>
          </w:r>
        </w:p>
        <w:p w:rsidR="00391CC7" w:rsidRDefault="00391CC7">
          <w:pPr>
            <w:pStyle w:val="TOC2"/>
            <w:tabs>
              <w:tab w:val="left" w:pos="132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160C69">
            <w:rPr>
              <w:noProof/>
            </w:rPr>
            <w:t>14.</w:t>
          </w:r>
          <w:r w:rsidR="0085284B">
            <w:rPr>
              <w:noProof/>
            </w:rPr>
            <w:t>82</w:t>
          </w:r>
        </w:p>
        <w:p w:rsidR="00391CC7" w:rsidRDefault="00391CC7">
          <w:pPr>
            <w:pStyle w:val="TOC2"/>
            <w:tabs>
              <w:tab w:val="left" w:pos="132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Jurisdictions’ comments</w:t>
          </w:r>
          <w:r>
            <w:rPr>
              <w:noProof/>
            </w:rPr>
            <w:tab/>
          </w:r>
          <w:r w:rsidR="00160C69">
            <w:rPr>
              <w:noProof/>
            </w:rPr>
            <w:t>14.</w:t>
          </w:r>
          <w:r w:rsidR="0085284B">
            <w:rPr>
              <w:noProof/>
            </w:rPr>
            <w:t>83</w:t>
          </w:r>
        </w:p>
        <w:p w:rsidR="00391CC7" w:rsidRDefault="00391CC7">
          <w:pPr>
            <w:pStyle w:val="TOC2"/>
            <w:tabs>
              <w:tab w:val="left" w:pos="1320"/>
            </w:tabs>
            <w:rPr>
              <w:rFonts w:asciiTheme="minorHAnsi" w:eastAsiaTheme="minorEastAsia" w:hAnsiTheme="minorHAnsi" w:cstheme="minorBidi"/>
              <w:noProof/>
              <w:sz w:val="22"/>
              <w:szCs w:val="22"/>
              <w:lang w:eastAsia="en-AU"/>
            </w:rPr>
          </w:pPr>
          <w:r>
            <w:rPr>
              <w:noProof/>
            </w:rPr>
            <w:t>14.6</w:t>
          </w:r>
          <w:r>
            <w:rPr>
              <w:rFonts w:asciiTheme="minorHAnsi" w:eastAsiaTheme="minorEastAsia" w:hAnsiTheme="minorHAnsi" w:cstheme="minorBidi"/>
              <w:noProof/>
              <w:sz w:val="22"/>
              <w:szCs w:val="22"/>
              <w:lang w:eastAsia="en-AU"/>
            </w:rPr>
            <w:tab/>
          </w:r>
          <w:r>
            <w:rPr>
              <w:noProof/>
            </w:rPr>
            <w:t>Service user data quality and other issues</w:t>
          </w:r>
          <w:r>
            <w:rPr>
              <w:noProof/>
            </w:rPr>
            <w:tab/>
          </w:r>
          <w:r w:rsidR="00160C69">
            <w:rPr>
              <w:noProof/>
            </w:rPr>
            <w:t>14.</w:t>
          </w:r>
          <w:r w:rsidR="0085284B">
            <w:rPr>
              <w:noProof/>
            </w:rPr>
            <w:t>93</w:t>
          </w:r>
        </w:p>
        <w:p w:rsidR="00391CC7" w:rsidRDefault="00391CC7">
          <w:pPr>
            <w:pStyle w:val="TOC2"/>
            <w:tabs>
              <w:tab w:val="left" w:pos="1320"/>
            </w:tabs>
            <w:rPr>
              <w:rFonts w:asciiTheme="minorHAnsi" w:eastAsiaTheme="minorEastAsia" w:hAnsiTheme="minorHAnsi" w:cstheme="minorBidi"/>
              <w:noProof/>
              <w:sz w:val="22"/>
              <w:szCs w:val="22"/>
              <w:lang w:eastAsia="en-AU"/>
            </w:rPr>
          </w:pPr>
          <w:r>
            <w:rPr>
              <w:noProof/>
            </w:rPr>
            <w:t>14.7</w:t>
          </w:r>
          <w:r>
            <w:rPr>
              <w:rFonts w:asciiTheme="minorHAnsi" w:eastAsiaTheme="minorEastAsia" w:hAnsiTheme="minorHAnsi" w:cstheme="minorBidi"/>
              <w:noProof/>
              <w:sz w:val="22"/>
              <w:szCs w:val="22"/>
              <w:lang w:eastAsia="en-AU"/>
            </w:rPr>
            <w:tab/>
          </w:r>
          <w:r>
            <w:rPr>
              <w:noProof/>
            </w:rPr>
            <w:t>Definitions of key terms</w:t>
          </w:r>
          <w:r>
            <w:rPr>
              <w:noProof/>
            </w:rPr>
            <w:tab/>
          </w:r>
          <w:r w:rsidR="00160C69">
            <w:rPr>
              <w:noProof/>
            </w:rPr>
            <w:t>14.</w:t>
          </w:r>
          <w:r w:rsidR="0085284B">
            <w:rPr>
              <w:noProof/>
            </w:rPr>
            <w:t>98</w:t>
          </w:r>
        </w:p>
        <w:p w:rsidR="00391CC7" w:rsidRDefault="00391CC7">
          <w:pPr>
            <w:pStyle w:val="TOC2"/>
            <w:tabs>
              <w:tab w:val="left" w:pos="1320"/>
            </w:tabs>
            <w:rPr>
              <w:rFonts w:asciiTheme="minorHAnsi" w:eastAsiaTheme="minorEastAsia" w:hAnsiTheme="minorHAnsi" w:cstheme="minorBidi"/>
              <w:noProof/>
              <w:sz w:val="22"/>
              <w:szCs w:val="22"/>
              <w:lang w:eastAsia="en-AU"/>
            </w:rPr>
          </w:pPr>
          <w:r w:rsidRPr="00334AB1">
            <w:rPr>
              <w:bCs/>
              <w:noProof/>
            </w:rPr>
            <w:t>14.8</w:t>
          </w:r>
          <w:r>
            <w:rPr>
              <w:rFonts w:asciiTheme="minorHAnsi" w:eastAsiaTheme="minorEastAsia" w:hAnsiTheme="minorHAnsi" w:cstheme="minorBidi"/>
              <w:noProof/>
              <w:sz w:val="22"/>
              <w:szCs w:val="22"/>
              <w:lang w:eastAsia="en-AU"/>
            </w:rPr>
            <w:tab/>
          </w:r>
          <w:r w:rsidRPr="00334AB1">
            <w:rPr>
              <w:bCs/>
              <w:noProof/>
            </w:rPr>
            <w:t>List of a</w:t>
          </w:r>
          <w:r>
            <w:rPr>
              <w:noProof/>
            </w:rPr>
            <w:t>ttachment tables</w:t>
          </w:r>
          <w:r>
            <w:rPr>
              <w:noProof/>
            </w:rPr>
            <w:tab/>
          </w:r>
          <w:r w:rsidR="00160C69">
            <w:rPr>
              <w:noProof/>
            </w:rPr>
            <w:t>14.</w:t>
          </w:r>
          <w:r w:rsidR="0085284B">
            <w:rPr>
              <w:noProof/>
            </w:rPr>
            <w:t>104</w:t>
          </w:r>
        </w:p>
        <w:p w:rsidR="00391CC7" w:rsidRPr="005525BC" w:rsidRDefault="00391CC7" w:rsidP="00B70B92">
          <w:pPr>
            <w:pStyle w:val="TOC2"/>
            <w:tabs>
              <w:tab w:val="left" w:pos="1320"/>
            </w:tabs>
          </w:pPr>
          <w:r w:rsidRPr="00391CC7">
            <w:rPr>
              <w:noProof/>
            </w:rPr>
            <w:t>14.9</w:t>
          </w:r>
          <w:r w:rsidRPr="00391CC7">
            <w:rPr>
              <w:rFonts w:asciiTheme="minorHAnsi" w:eastAsiaTheme="minorEastAsia" w:hAnsiTheme="minorHAnsi" w:cstheme="minorBidi"/>
              <w:noProof/>
              <w:sz w:val="22"/>
              <w:szCs w:val="22"/>
              <w:lang w:eastAsia="en-AU"/>
            </w:rPr>
            <w:tab/>
          </w:r>
          <w:r w:rsidRPr="00391CC7">
            <w:rPr>
              <w:noProof/>
            </w:rPr>
            <w:t>References</w:t>
          </w:r>
          <w:r w:rsidRPr="00391CC7">
            <w:rPr>
              <w:noProof/>
            </w:rPr>
            <w:tab/>
          </w:r>
          <w:r w:rsidR="00160C69">
            <w:rPr>
              <w:noProof/>
            </w:rPr>
            <w:t>14.</w:t>
          </w:r>
          <w:r w:rsidR="0085284B">
            <w:rPr>
              <w:noProof/>
            </w:rPr>
            <w:t>109</w:t>
          </w:r>
        </w:p>
      </w:sdtContent>
    </w:sdt>
    <w:p w:rsidR="001207A1" w:rsidRDefault="001207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07A1" w:rsidTr="00C30C0C">
        <w:tc>
          <w:tcPr>
            <w:tcW w:w="8771" w:type="dxa"/>
            <w:tcBorders>
              <w:top w:val="single" w:sz="6" w:space="0" w:color="78A22F"/>
              <w:left w:val="nil"/>
              <w:bottom w:val="nil"/>
              <w:right w:val="nil"/>
            </w:tcBorders>
            <w:shd w:val="clear" w:color="auto" w:fill="F2F2F2"/>
          </w:tcPr>
          <w:p w:rsidR="001207A1" w:rsidRDefault="001207A1" w:rsidP="001207A1">
            <w:pPr>
              <w:pStyle w:val="BoxTitle"/>
            </w:pPr>
            <w:r w:rsidRPr="00810FF9">
              <w:t>Attachment tables</w:t>
            </w:r>
          </w:p>
        </w:tc>
      </w:tr>
      <w:tr w:rsidR="001207A1" w:rsidTr="00C30C0C">
        <w:trPr>
          <w:cantSplit/>
        </w:trPr>
        <w:tc>
          <w:tcPr>
            <w:tcW w:w="8771" w:type="dxa"/>
            <w:tcBorders>
              <w:top w:val="nil"/>
              <w:left w:val="nil"/>
              <w:bottom w:val="nil"/>
              <w:right w:val="nil"/>
            </w:tcBorders>
            <w:shd w:val="clear" w:color="auto" w:fill="F2F2F2"/>
          </w:tcPr>
          <w:p w:rsidR="001207A1" w:rsidRDefault="001207A1" w:rsidP="00B65C88">
            <w:pPr>
              <w:pStyle w:val="Box"/>
            </w:pPr>
            <w:r w:rsidRPr="00810FF9">
              <w:t>Attachment tables are identified in references throughout this chapter by a ‘14A’ prefix (for example, table</w:t>
            </w:r>
            <w:r w:rsidR="00AE3578">
              <w:t> </w:t>
            </w:r>
            <w:r w:rsidRPr="00810FF9">
              <w:t>14A.1). A full list of attachment tables is provided at the end of this chapter, and the attachment tables are available from the Review website at www.pc.gov.au/gsp.</w:t>
            </w:r>
          </w:p>
        </w:tc>
      </w:tr>
      <w:tr w:rsidR="001207A1" w:rsidTr="00C30C0C">
        <w:trPr>
          <w:cantSplit/>
        </w:trPr>
        <w:tc>
          <w:tcPr>
            <w:tcW w:w="8771" w:type="dxa"/>
            <w:tcBorders>
              <w:top w:val="nil"/>
              <w:left w:val="nil"/>
              <w:bottom w:val="single" w:sz="6" w:space="0" w:color="78A22F"/>
              <w:right w:val="nil"/>
            </w:tcBorders>
            <w:shd w:val="clear" w:color="auto" w:fill="F2F2F2"/>
          </w:tcPr>
          <w:p w:rsidR="001207A1" w:rsidRDefault="001207A1">
            <w:pPr>
              <w:pStyle w:val="Box"/>
              <w:spacing w:before="0" w:line="120" w:lineRule="exact"/>
            </w:pPr>
          </w:p>
        </w:tc>
      </w:tr>
      <w:tr w:rsidR="001207A1" w:rsidRPr="000863A5" w:rsidTr="00C30C0C">
        <w:tc>
          <w:tcPr>
            <w:tcW w:w="8771" w:type="dxa"/>
            <w:tcBorders>
              <w:top w:val="single" w:sz="6" w:space="0" w:color="78A22F"/>
              <w:left w:val="nil"/>
              <w:bottom w:val="nil"/>
              <w:right w:val="nil"/>
            </w:tcBorders>
          </w:tcPr>
          <w:p w:rsidR="001207A1" w:rsidRPr="00626D32" w:rsidRDefault="001207A1" w:rsidP="00C30C0C">
            <w:pPr>
              <w:pStyle w:val="BoxSpaceBelow"/>
            </w:pPr>
          </w:p>
        </w:tc>
      </w:tr>
    </w:tbl>
    <w:p w:rsidR="005B41A4" w:rsidRDefault="005B41A4" w:rsidP="005B41A4">
      <w:pPr>
        <w:pStyle w:val="BodyText"/>
      </w:pPr>
      <w:r w:rsidRPr="004F25C1">
        <w:t xml:space="preserve">The Australian, State and Territory governments aim to ensure that people with disability and their carers have an </w:t>
      </w:r>
      <w:r w:rsidRPr="008F0518">
        <w:t>enhanced</w:t>
      </w:r>
      <w:r w:rsidRPr="004F25C1">
        <w:t xml:space="preserve"> quality of life and participate as valued members of the </w:t>
      </w:r>
      <w:r w:rsidRPr="000453A1">
        <w:rPr>
          <w:shd w:val="clear" w:color="auto" w:fill="FFFFFF" w:themeFill="background1"/>
        </w:rPr>
        <w:t xml:space="preserve">community. Governments fund a range of disability support services under the </w:t>
      </w:r>
      <w:r w:rsidRPr="000453A1">
        <w:rPr>
          <w:i/>
          <w:shd w:val="clear" w:color="auto" w:fill="FFFFFF" w:themeFill="background1"/>
        </w:rPr>
        <w:t>National Disability Agreement</w:t>
      </w:r>
      <w:r w:rsidRPr="000453A1">
        <w:rPr>
          <w:shd w:val="clear" w:color="auto" w:fill="FFFFFF" w:themeFill="background1"/>
        </w:rPr>
        <w:t xml:space="preserve"> (NDA) and the </w:t>
      </w:r>
      <w:r w:rsidRPr="000453A1">
        <w:rPr>
          <w:i/>
          <w:shd w:val="clear" w:color="auto" w:fill="FFFFFF" w:themeFill="background1"/>
        </w:rPr>
        <w:t>National Disability Insurance Scheme</w:t>
      </w:r>
      <w:r w:rsidR="00734116" w:rsidRPr="000453A1">
        <w:rPr>
          <w:shd w:val="clear" w:color="auto" w:fill="FFFFFF" w:themeFill="background1"/>
        </w:rPr>
        <w:t xml:space="preserve"> (NDIS).</w:t>
      </w:r>
    </w:p>
    <w:p w:rsidR="005B41A4" w:rsidRDefault="005B41A4" w:rsidP="005B41A4">
      <w:pPr>
        <w:pStyle w:val="BodyText"/>
      </w:pPr>
      <w:r w:rsidRPr="004F25C1">
        <w:t xml:space="preserve">The </w:t>
      </w:r>
      <w:r w:rsidRPr="004F25C1">
        <w:rPr>
          <w:i/>
        </w:rPr>
        <w:t>National Disability Agreement</w:t>
      </w:r>
      <w:r w:rsidRPr="004F25C1">
        <w:t xml:space="preserve"> (NDA), effective from 1</w:t>
      </w:r>
      <w:r w:rsidR="00B84AF2">
        <w:t> </w:t>
      </w:r>
      <w:r w:rsidRPr="004F25C1">
        <w:t xml:space="preserve">January 2009, provides the </w:t>
      </w:r>
      <w:proofErr w:type="gramStart"/>
      <w:r w:rsidRPr="004F25C1">
        <w:t>national</w:t>
      </w:r>
      <w:proofErr w:type="gramEnd"/>
      <w:r w:rsidRPr="004F25C1">
        <w:t xml:space="preserve"> framework and key areas of reform for the provision of government support and services for people with disability. Box 14.1 provides an overview of the NDA. The NDA replaced the third </w:t>
      </w:r>
      <w:r w:rsidRPr="004F25C1">
        <w:rPr>
          <w:i/>
        </w:rPr>
        <w:t>Commonwealth, State and Territory Disability Agreement</w:t>
      </w:r>
      <w:r w:rsidRPr="004F25C1">
        <w:t xml:space="preserve"> (CSTDA), which was due to expire on 30</w:t>
      </w:r>
      <w:r w:rsidR="00B84AF2">
        <w:t> </w:t>
      </w:r>
      <w:r w:rsidRPr="004F25C1">
        <w:t>J</w:t>
      </w:r>
      <w:r>
        <w:t xml:space="preserve">une 2007 but </w:t>
      </w:r>
      <w:r w:rsidRPr="00776064">
        <w:t>was extended to 31 December 2008. Funding to the State and Territory governments is provided through the National Disability Services Specific Purpose Payment (ND SPP), not the NDA</w:t>
      </w:r>
      <w:r>
        <w:t>.</w:t>
      </w:r>
    </w:p>
    <w:p w:rsidR="001207A1" w:rsidRPr="00BC3FDC" w:rsidRDefault="001207A1">
      <w:pPr>
        <w:pStyle w:val="BoxSpaceAbove"/>
        <w:rPr>
          <w:b/>
          <w:vanish/>
          <w:color w:val="FF00FF"/>
          <w:sz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E6C73" w:rsidRPr="007E6C73" w:rsidTr="00C30C0C">
        <w:tc>
          <w:tcPr>
            <w:tcW w:w="8771" w:type="dxa"/>
            <w:tcBorders>
              <w:top w:val="single" w:sz="6" w:space="0" w:color="78A22F"/>
              <w:left w:val="nil"/>
              <w:bottom w:val="nil"/>
              <w:right w:val="nil"/>
            </w:tcBorders>
            <w:shd w:val="clear" w:color="auto" w:fill="F2F2F2"/>
          </w:tcPr>
          <w:p w:rsidR="001207A1" w:rsidRPr="007E6C73" w:rsidRDefault="001207A1" w:rsidP="001207A1">
            <w:pPr>
              <w:pStyle w:val="BoxTitle"/>
            </w:pPr>
            <w:r w:rsidRPr="007E6C73">
              <w:rPr>
                <w:b w:val="0"/>
              </w:rPr>
              <w:t xml:space="preserve">Box </w:t>
            </w:r>
            <w:r w:rsidR="00321568" w:rsidRPr="007E6C73">
              <w:rPr>
                <w:b w:val="0"/>
              </w:rPr>
              <w:t>14.</w:t>
            </w:r>
            <w:r w:rsidR="0085284B">
              <w:rPr>
                <w:b w:val="0"/>
                <w:noProof/>
              </w:rPr>
              <w:t>1</w:t>
            </w:r>
            <w:r w:rsidRPr="007E6C73">
              <w:tab/>
              <w:t>National Disability Agreement and the National Disability Services Specific Purpose Payment</w:t>
            </w:r>
          </w:p>
        </w:tc>
      </w:tr>
      <w:tr w:rsidR="007E6C73" w:rsidRPr="007E6C73" w:rsidTr="00C30C0C">
        <w:trPr>
          <w:cantSplit/>
        </w:trPr>
        <w:tc>
          <w:tcPr>
            <w:tcW w:w="8771" w:type="dxa"/>
            <w:tcBorders>
              <w:top w:val="nil"/>
              <w:left w:val="nil"/>
              <w:bottom w:val="nil"/>
              <w:right w:val="nil"/>
            </w:tcBorders>
            <w:shd w:val="clear" w:color="auto" w:fill="F2F2F2"/>
          </w:tcPr>
          <w:p w:rsidR="001207A1" w:rsidRPr="007E6C73" w:rsidRDefault="00F054C1" w:rsidP="001207A1">
            <w:pPr>
              <w:pStyle w:val="Box"/>
            </w:pPr>
            <w:r w:rsidRPr="007E6C73">
              <w:t>Commonwealth f</w:t>
            </w:r>
            <w:r w:rsidR="001207A1" w:rsidRPr="007E6C73">
              <w:t xml:space="preserve">unding to the State and Territory governments is provided through the National Disability Services Specific Purpose Payment (ND SPP), associated with the </w:t>
            </w:r>
            <w:r w:rsidR="001207A1" w:rsidRPr="007E6C73">
              <w:rPr>
                <w:i/>
              </w:rPr>
              <w:t>National Disability Agreement</w:t>
            </w:r>
            <w:r w:rsidR="001207A1" w:rsidRPr="007E6C73">
              <w:t xml:space="preserve"> (NDA). The focus of the NDA is on the provision of specialist disability services. However, the NDA acknowledges that specialist disability services are complemented by mainstream services and income support measures. </w:t>
            </w:r>
          </w:p>
          <w:p w:rsidR="001207A1" w:rsidRPr="007E6C73" w:rsidRDefault="001207A1" w:rsidP="001207A1">
            <w:pPr>
              <w:pStyle w:val="Box"/>
            </w:pPr>
            <w:r w:rsidRPr="007E6C73">
              <w:t>Reforms under the NDA are directed at creating a disability services system that is effective, efficient and equitable, and has a focus on: early intervention; timely, person</w:t>
            </w:r>
            <w:r w:rsidRPr="007E6C73">
              <w:noBreakHyphen/>
              <w:t>centred approaches; and lifelong planning. Five priority areas to underpin the policy directions and achieve these reforms are:</w:t>
            </w:r>
          </w:p>
          <w:p w:rsidR="001207A1" w:rsidRPr="007E6C73" w:rsidRDefault="001207A1" w:rsidP="001207A1">
            <w:pPr>
              <w:pStyle w:val="BoxListBullet"/>
            </w:pPr>
            <w:r w:rsidRPr="007E6C73">
              <w:t xml:space="preserve">build the evidence base for disability policies and strategies </w:t>
            </w:r>
          </w:p>
          <w:p w:rsidR="001207A1" w:rsidRPr="007E6C73" w:rsidRDefault="001207A1" w:rsidP="001207A1">
            <w:pPr>
              <w:pStyle w:val="BoxListBullet"/>
            </w:pPr>
            <w:r w:rsidRPr="007E6C73">
              <w:t>enhance family and carer capacity</w:t>
            </w:r>
          </w:p>
          <w:p w:rsidR="001207A1" w:rsidRPr="007E6C73" w:rsidRDefault="001207A1" w:rsidP="001207A1">
            <w:pPr>
              <w:pStyle w:val="BoxListBullet"/>
            </w:pPr>
            <w:r w:rsidRPr="007E6C73">
              <w:t>develop strategies for increased choice, control and self-directed decision making</w:t>
            </w:r>
          </w:p>
          <w:p w:rsidR="001207A1" w:rsidRPr="007E6C73" w:rsidRDefault="001207A1" w:rsidP="001207A1">
            <w:pPr>
              <w:pStyle w:val="BoxListBullet"/>
            </w:pPr>
            <w:r w:rsidRPr="007E6C73">
              <w:t xml:space="preserve">maintain innovative and flexible support models for people with high and complex needs </w:t>
            </w:r>
          </w:p>
          <w:p w:rsidR="001207A1" w:rsidRPr="007E6C73" w:rsidRDefault="001207A1" w:rsidP="001207A1">
            <w:pPr>
              <w:pStyle w:val="BoxListBullet"/>
            </w:pPr>
            <w:proofErr w:type="gramStart"/>
            <w:r w:rsidRPr="007E6C73">
              <w:t>develop</w:t>
            </w:r>
            <w:proofErr w:type="gramEnd"/>
            <w:r w:rsidRPr="007E6C73">
              <w:t xml:space="preserve"> employment opportunities for people with disability.</w:t>
            </w:r>
          </w:p>
          <w:p w:rsidR="001207A1" w:rsidRPr="007E6C73" w:rsidRDefault="001207A1" w:rsidP="001207A1">
            <w:pPr>
              <w:pStyle w:val="Box"/>
            </w:pPr>
            <w:r w:rsidRPr="007E6C73">
              <w:t>Other specific details relating to the NDA (such as roles and responsibilities of different governments) are provided throughout this chapter.</w:t>
            </w:r>
          </w:p>
        </w:tc>
      </w:tr>
      <w:tr w:rsidR="007E6C73" w:rsidRPr="007E6C73" w:rsidTr="00C30C0C">
        <w:trPr>
          <w:cantSplit/>
        </w:trPr>
        <w:tc>
          <w:tcPr>
            <w:tcW w:w="8771" w:type="dxa"/>
            <w:tcBorders>
              <w:top w:val="nil"/>
              <w:left w:val="nil"/>
              <w:bottom w:val="nil"/>
              <w:right w:val="nil"/>
            </w:tcBorders>
            <w:shd w:val="clear" w:color="auto" w:fill="F2F2F2"/>
          </w:tcPr>
          <w:p w:rsidR="001207A1" w:rsidRPr="007E6C73" w:rsidRDefault="001207A1" w:rsidP="001207A1">
            <w:pPr>
              <w:pStyle w:val="BoxSource"/>
            </w:pPr>
            <w:r w:rsidRPr="007E6C73">
              <w:rPr>
                <w:i/>
              </w:rPr>
              <w:t>Source</w:t>
            </w:r>
            <w:r w:rsidRPr="007E6C73">
              <w:t>: C</w:t>
            </w:r>
            <w:r w:rsidR="001C58B3">
              <w:t>ouncil of Australian Governments (C</w:t>
            </w:r>
            <w:r w:rsidRPr="007E6C73">
              <w:t>OAG</w:t>
            </w:r>
            <w:r w:rsidR="001C58B3">
              <w:t>)</w:t>
            </w:r>
            <w:r w:rsidRPr="007E6C73">
              <w:t xml:space="preserve"> (2012</w:t>
            </w:r>
            <w:r w:rsidR="00417B0B" w:rsidRPr="007E6C73">
              <w:t>a</w:t>
            </w:r>
            <w:r w:rsidRPr="007E6C73">
              <w:t>).</w:t>
            </w:r>
          </w:p>
        </w:tc>
      </w:tr>
      <w:tr w:rsidR="007E6C73" w:rsidRPr="007E6C73" w:rsidTr="00C30C0C">
        <w:trPr>
          <w:cantSplit/>
        </w:trPr>
        <w:tc>
          <w:tcPr>
            <w:tcW w:w="8771" w:type="dxa"/>
            <w:tcBorders>
              <w:top w:val="nil"/>
              <w:left w:val="nil"/>
              <w:bottom w:val="single" w:sz="6" w:space="0" w:color="78A22F"/>
              <w:right w:val="nil"/>
            </w:tcBorders>
            <w:shd w:val="clear" w:color="auto" w:fill="F2F2F2"/>
          </w:tcPr>
          <w:p w:rsidR="001207A1" w:rsidRPr="007E6C73" w:rsidRDefault="001207A1">
            <w:pPr>
              <w:pStyle w:val="Box"/>
              <w:spacing w:before="0" w:line="120" w:lineRule="exact"/>
            </w:pPr>
          </w:p>
        </w:tc>
      </w:tr>
      <w:tr w:rsidR="007E6C73" w:rsidRPr="007E6C73" w:rsidTr="00C30C0C">
        <w:tc>
          <w:tcPr>
            <w:tcW w:w="8771" w:type="dxa"/>
            <w:tcBorders>
              <w:top w:val="single" w:sz="6" w:space="0" w:color="78A22F"/>
              <w:left w:val="nil"/>
              <w:bottom w:val="nil"/>
              <w:right w:val="nil"/>
            </w:tcBorders>
          </w:tcPr>
          <w:p w:rsidR="001207A1" w:rsidRPr="007E6C73" w:rsidRDefault="001207A1" w:rsidP="00C30C0C">
            <w:pPr>
              <w:pStyle w:val="BoxSpaceBelow"/>
            </w:pPr>
          </w:p>
        </w:tc>
      </w:tr>
    </w:tbl>
    <w:p w:rsidR="007E6C73" w:rsidRDefault="007E6C73" w:rsidP="000453A1">
      <w:pPr>
        <w:pStyle w:val="BodyText"/>
        <w:shd w:val="clear" w:color="auto" w:fill="FFFFFF" w:themeFill="background1"/>
      </w:pPr>
      <w:r w:rsidRPr="00DC386D">
        <w:t xml:space="preserve">The NDIS was established under the </w:t>
      </w:r>
      <w:r w:rsidRPr="00DC386D">
        <w:rPr>
          <w:i/>
        </w:rPr>
        <w:t>National Disability Insurance Scheme Act 2013</w:t>
      </w:r>
      <w:r>
        <w:rPr>
          <w:i/>
        </w:rPr>
        <w:t xml:space="preserve"> </w:t>
      </w:r>
      <w:r w:rsidRPr="000807C4">
        <w:t>(the NDIS Act)</w:t>
      </w:r>
      <w:r w:rsidRPr="001A7BB8">
        <w:t>.</w:t>
      </w:r>
      <w:r>
        <w:t xml:space="preserve"> </w:t>
      </w:r>
      <w:proofErr w:type="gramStart"/>
      <w:r>
        <w:t>Three</w:t>
      </w:r>
      <w:r w:rsidR="00DF3B3B">
        <w:t>–</w:t>
      </w:r>
      <w:r>
        <w:t>year trials of the NDIS commenced on 1</w:t>
      </w:r>
      <w:r w:rsidR="00B84AF2">
        <w:t> </w:t>
      </w:r>
      <w:r>
        <w:t>July 2013 in NSW, Victoria, SA and Tasmania.</w:t>
      </w:r>
      <w:proofErr w:type="gramEnd"/>
      <w:r>
        <w:t xml:space="preserve"> </w:t>
      </w:r>
      <w:proofErr w:type="gramStart"/>
      <w:r w:rsidRPr="003E028E">
        <w:t>Trials of the NDIS in WA</w:t>
      </w:r>
      <w:r>
        <w:t xml:space="preserve">, </w:t>
      </w:r>
      <w:r w:rsidRPr="003E028E">
        <w:t>the ACT and the NT commenced on 1 July 2014.</w:t>
      </w:r>
      <w:proofErr w:type="gramEnd"/>
      <w:r>
        <w:t xml:space="preserve"> Agreements for the full</w:t>
      </w:r>
      <w:r w:rsidR="00B84AF2">
        <w:noBreakHyphen/>
      </w:r>
      <w:r>
        <w:t>scheme roll out of the NDIS have been reached with NSW, Victoria, Queensland, SA, Tasmania, the ACT and the NT. This means the scheme will be available to all eligible residents in the ACT by July 2016, in NSW and SA by July 2018, and in Tasmania, Victoria, Queensland and the NT by July 2019.</w:t>
      </w:r>
      <w:r w:rsidRPr="007C38AB">
        <w:t xml:space="preserve"> </w:t>
      </w:r>
      <w:r>
        <w:t xml:space="preserve">The objectives of the NDIS align with the objectives and outcomes of the NDA (COAG 2012b). </w:t>
      </w:r>
      <w:r w:rsidRPr="004F25C1">
        <w:t>Box 14.</w:t>
      </w:r>
      <w:r>
        <w:t>2</w:t>
      </w:r>
      <w:r w:rsidRPr="004F25C1">
        <w:t xml:space="preserve"> provides an overview of the ND</w:t>
      </w:r>
      <w:r>
        <w:t>IS.</w:t>
      </w:r>
    </w:p>
    <w:p w:rsidR="007E6C73" w:rsidRDefault="007E6C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shd w:val="clear" w:color="auto" w:fill="FFFFFF" w:themeFill="background1"/>
        <w:tblLayout w:type="fixed"/>
        <w:tblCellMar>
          <w:left w:w="142" w:type="dxa"/>
          <w:right w:w="142" w:type="dxa"/>
        </w:tblCellMar>
        <w:tblLook w:val="0000" w:firstRow="0" w:lastRow="0" w:firstColumn="0" w:lastColumn="0" w:noHBand="0" w:noVBand="0"/>
      </w:tblPr>
      <w:tblGrid>
        <w:gridCol w:w="8771"/>
      </w:tblGrid>
      <w:tr w:rsidR="007E6C73" w:rsidTr="000453A1">
        <w:tc>
          <w:tcPr>
            <w:tcW w:w="8771" w:type="dxa"/>
            <w:tcBorders>
              <w:top w:val="single" w:sz="6" w:space="0" w:color="78A22F"/>
              <w:left w:val="nil"/>
              <w:bottom w:val="nil"/>
              <w:right w:val="nil"/>
            </w:tcBorders>
            <w:shd w:val="clear" w:color="auto" w:fill="FFFFFF" w:themeFill="background1"/>
          </w:tcPr>
          <w:p w:rsidR="007E6C73" w:rsidRDefault="007E6C73">
            <w:pPr>
              <w:pStyle w:val="BoxTitle"/>
            </w:pPr>
            <w:r>
              <w:rPr>
                <w:b w:val="0"/>
              </w:rPr>
              <w:t>Box 14.</w:t>
            </w:r>
            <w:r w:rsidR="0085284B">
              <w:rPr>
                <w:b w:val="0"/>
                <w:noProof/>
              </w:rPr>
              <w:t>2</w:t>
            </w:r>
            <w:r>
              <w:tab/>
            </w:r>
            <w:r w:rsidRPr="00EF28AC">
              <w:t xml:space="preserve">National Disability </w:t>
            </w:r>
            <w:r>
              <w:t>Insurance Scheme</w:t>
            </w:r>
          </w:p>
        </w:tc>
      </w:tr>
      <w:tr w:rsidR="007E6C73" w:rsidTr="000453A1">
        <w:trPr>
          <w:cantSplit/>
        </w:trPr>
        <w:tc>
          <w:tcPr>
            <w:tcW w:w="8771" w:type="dxa"/>
            <w:tcBorders>
              <w:top w:val="nil"/>
              <w:left w:val="nil"/>
              <w:bottom w:val="nil"/>
              <w:right w:val="nil"/>
            </w:tcBorders>
            <w:shd w:val="clear" w:color="auto" w:fill="FFFFFF" w:themeFill="background1"/>
          </w:tcPr>
          <w:p w:rsidR="007E6C73" w:rsidRDefault="007E6C73" w:rsidP="007E6C73">
            <w:pPr>
              <w:pStyle w:val="Box"/>
            </w:pPr>
            <w:r>
              <w:t xml:space="preserve">Both the Australian Government and host jurisdictions are responsible for the cost of the NDIS trial sites in accordance with </w:t>
            </w:r>
            <w:r w:rsidRPr="006B6CE7">
              <w:rPr>
                <w:i/>
              </w:rPr>
              <w:t>Intergovernmental Agreement for the National Disability Insurance Scheme (NDIS) Launch</w:t>
            </w:r>
            <w:r>
              <w:t xml:space="preserve"> (COAG 2012b). The </w:t>
            </w:r>
            <w:r w:rsidRPr="000807C4">
              <w:t>NDIS Act</w:t>
            </w:r>
            <w:r w:rsidRPr="001A7BB8">
              <w:t xml:space="preserve"> (</w:t>
            </w:r>
            <w:r>
              <w:t>in conjunction with other laws) gives effect to Australia’s obligations under the UN Convention on the Rights of Persons with Disabilities, and its objectives include:</w:t>
            </w:r>
          </w:p>
          <w:p w:rsidR="007E6C73" w:rsidRDefault="007E6C73" w:rsidP="007E6C73">
            <w:pPr>
              <w:pStyle w:val="BoxListBullet"/>
            </w:pPr>
            <w:r>
              <w:t>supporting people with disability to pursue their goals and maximise their independence and social and economic participation</w:t>
            </w:r>
          </w:p>
          <w:p w:rsidR="007E6C73" w:rsidRDefault="007E6C73" w:rsidP="007E6C73">
            <w:pPr>
              <w:pStyle w:val="BoxListBullet"/>
            </w:pPr>
            <w:r>
              <w:t>developing the capacity of people with disability to participate in the community and in employment</w:t>
            </w:r>
          </w:p>
          <w:p w:rsidR="007E6C73" w:rsidRDefault="007E6C73" w:rsidP="007E6C73">
            <w:pPr>
              <w:pStyle w:val="BoxListBullet"/>
            </w:pPr>
            <w:r>
              <w:t>providing reasonable and necessary supports, including early intervention supports, for Scheme participants</w:t>
            </w:r>
          </w:p>
          <w:p w:rsidR="007E6C73" w:rsidRDefault="007E6C73" w:rsidP="007E6C73">
            <w:pPr>
              <w:pStyle w:val="BoxListBullet"/>
            </w:pPr>
            <w:r>
              <w:t>supporting people with disability to exercise choice and control in the pursuit of their goals and the planning and delivery of their supports</w:t>
            </w:r>
          </w:p>
          <w:p w:rsidR="007E6C73" w:rsidRDefault="007E6C73" w:rsidP="007E6C73">
            <w:pPr>
              <w:pStyle w:val="BoxListBullet"/>
            </w:pPr>
            <w:proofErr w:type="gramStart"/>
            <w:r>
              <w:t>building</w:t>
            </w:r>
            <w:proofErr w:type="gramEnd"/>
            <w:r>
              <w:t xml:space="preserve"> a sustainable Scheme which is based on insurance principles.</w:t>
            </w:r>
          </w:p>
        </w:tc>
      </w:tr>
      <w:tr w:rsidR="007E6C73" w:rsidTr="000453A1">
        <w:trPr>
          <w:cantSplit/>
        </w:trPr>
        <w:tc>
          <w:tcPr>
            <w:tcW w:w="8771" w:type="dxa"/>
            <w:tcBorders>
              <w:top w:val="nil"/>
              <w:left w:val="nil"/>
              <w:bottom w:val="nil"/>
              <w:right w:val="nil"/>
            </w:tcBorders>
            <w:shd w:val="clear" w:color="auto" w:fill="FFFFFF" w:themeFill="background1"/>
          </w:tcPr>
          <w:p w:rsidR="007E6C73" w:rsidRDefault="007E6C73" w:rsidP="00BD1C57">
            <w:pPr>
              <w:pStyle w:val="BoxSource"/>
            </w:pPr>
            <w:r>
              <w:rPr>
                <w:i/>
              </w:rPr>
              <w:t>Source</w:t>
            </w:r>
            <w:r w:rsidRPr="00167F06">
              <w:t xml:space="preserve">: </w:t>
            </w:r>
            <w:r>
              <w:t>N</w:t>
            </w:r>
            <w:r w:rsidR="00BD1C57">
              <w:t xml:space="preserve">ational </w:t>
            </w:r>
            <w:r>
              <w:t>D</w:t>
            </w:r>
            <w:r w:rsidR="00BD1C57">
              <w:t>isability Insurance Agency (NDIA)</w:t>
            </w:r>
            <w:r w:rsidRPr="00EF28AC">
              <w:t xml:space="preserve"> (201</w:t>
            </w:r>
            <w:r>
              <w:t>4</w:t>
            </w:r>
            <w:r w:rsidRPr="00EF28AC">
              <w:t>).</w:t>
            </w:r>
          </w:p>
        </w:tc>
      </w:tr>
      <w:tr w:rsidR="007E6C73" w:rsidTr="000453A1">
        <w:trPr>
          <w:cantSplit/>
        </w:trPr>
        <w:tc>
          <w:tcPr>
            <w:tcW w:w="8771" w:type="dxa"/>
            <w:tcBorders>
              <w:top w:val="nil"/>
              <w:left w:val="nil"/>
              <w:bottom w:val="single" w:sz="6" w:space="0" w:color="78A22F"/>
              <w:right w:val="nil"/>
            </w:tcBorders>
            <w:shd w:val="clear" w:color="auto" w:fill="FFFFFF" w:themeFill="background1"/>
          </w:tcPr>
          <w:p w:rsidR="007E6C73" w:rsidRDefault="007E6C73">
            <w:pPr>
              <w:pStyle w:val="Box"/>
              <w:spacing w:before="0" w:line="120" w:lineRule="exact"/>
            </w:pPr>
          </w:p>
        </w:tc>
      </w:tr>
      <w:tr w:rsidR="007E6C73" w:rsidRPr="000863A5" w:rsidTr="000453A1">
        <w:tc>
          <w:tcPr>
            <w:tcW w:w="8771" w:type="dxa"/>
            <w:tcBorders>
              <w:top w:val="single" w:sz="6" w:space="0" w:color="78A22F"/>
              <w:left w:val="nil"/>
              <w:bottom w:val="nil"/>
              <w:right w:val="nil"/>
            </w:tcBorders>
            <w:shd w:val="clear" w:color="auto" w:fill="FFFFFF" w:themeFill="background1"/>
          </w:tcPr>
          <w:p w:rsidR="007E6C73" w:rsidRPr="00626D32" w:rsidRDefault="007E6C73" w:rsidP="00734116">
            <w:pPr>
              <w:pStyle w:val="BoxSpaceBelow"/>
            </w:pPr>
          </w:p>
        </w:tc>
      </w:tr>
    </w:tbl>
    <w:p w:rsidR="001F39F2" w:rsidRPr="003D31DC" w:rsidRDefault="001F39F2" w:rsidP="00585E2C">
      <w:pPr>
        <w:pStyle w:val="BodyText"/>
      </w:pPr>
      <w:r w:rsidRPr="003D31DC">
        <w:t>This chapter provides information on the assistance provided by governments to people with disability and their carers, focusing on specialist disability services provided under the NDA and funded by the ND SPP</w:t>
      </w:r>
      <w:r w:rsidR="00417B0B" w:rsidRPr="003D31DC">
        <w:t xml:space="preserve">. </w:t>
      </w:r>
      <w:r w:rsidRPr="003D31DC">
        <w:t xml:space="preserve">The chapter reports NDA and ND SPP data </w:t>
      </w:r>
      <w:r w:rsidR="00937D91" w:rsidRPr="003D31DC">
        <w:t xml:space="preserve">from </w:t>
      </w:r>
      <w:r w:rsidR="00494E73" w:rsidRPr="003D31DC">
        <w:br/>
      </w:r>
      <w:r w:rsidR="00937D91" w:rsidRPr="003D31DC">
        <w:t>2009</w:t>
      </w:r>
      <w:r w:rsidR="00B84AF2">
        <w:noBreakHyphen/>
      </w:r>
      <w:r w:rsidR="00937D91" w:rsidRPr="003D31DC">
        <w:t xml:space="preserve">10 to </w:t>
      </w:r>
      <w:r w:rsidR="00E93087" w:rsidRPr="003D31DC">
        <w:t>20</w:t>
      </w:r>
      <w:r w:rsidR="003B3BAE" w:rsidRPr="003D31DC">
        <w:t>12</w:t>
      </w:r>
      <w:r w:rsidR="00B84AF2">
        <w:noBreakHyphen/>
      </w:r>
      <w:r w:rsidR="003B3BAE" w:rsidRPr="003D31DC">
        <w:t>13</w:t>
      </w:r>
      <w:r w:rsidRPr="003D31DC">
        <w:t>, a combination of NDA and CSTDA data for 2008</w:t>
      </w:r>
      <w:r w:rsidR="00B84AF2">
        <w:noBreakHyphen/>
      </w:r>
      <w:r w:rsidRPr="003D31DC">
        <w:t>09</w:t>
      </w:r>
      <w:r w:rsidR="000A77A8" w:rsidRPr="003D31DC">
        <w:t>,</w:t>
      </w:r>
      <w:r w:rsidRPr="003D31DC">
        <w:t xml:space="preserve"> and CSTDA data for earlier years</w:t>
      </w:r>
      <w:r w:rsidR="000A77A8" w:rsidRPr="003D31DC">
        <w:t>.</w:t>
      </w:r>
      <w:r w:rsidRPr="003D31DC">
        <w:t xml:space="preserve"> </w:t>
      </w:r>
      <w:r w:rsidR="007E6C73" w:rsidRPr="000453A1">
        <w:rPr>
          <w:shd w:val="clear" w:color="auto" w:fill="FFFFFF" w:themeFill="background1"/>
        </w:rPr>
        <w:t xml:space="preserve">Data on the </w:t>
      </w:r>
      <w:r w:rsidR="00AF13FC" w:rsidRPr="000453A1">
        <w:rPr>
          <w:shd w:val="clear" w:color="auto" w:fill="FFFFFF" w:themeFill="background1"/>
        </w:rPr>
        <w:t xml:space="preserve">specialist disability services </w:t>
      </w:r>
      <w:r w:rsidR="007E6C73" w:rsidRPr="000453A1">
        <w:rPr>
          <w:shd w:val="clear" w:color="auto" w:fill="FFFFFF" w:themeFill="background1"/>
        </w:rPr>
        <w:t>provided under the NDA are collected in the Disability Services National Minimum Data Set (DS NMDS).</w:t>
      </w:r>
    </w:p>
    <w:p w:rsidR="001F39F2" w:rsidRPr="003D31DC" w:rsidRDefault="001F39F2" w:rsidP="00585E2C">
      <w:pPr>
        <w:pStyle w:val="ListBullet"/>
      </w:pPr>
      <w:r w:rsidRPr="003D31DC">
        <w:t xml:space="preserve">Specialist psychiatric disability services are excluded to improve data comparability across jurisdictions. </w:t>
      </w:r>
      <w:r w:rsidR="00652860" w:rsidRPr="003D31DC">
        <w:t xml:space="preserve">Further information regarding specialist psychiatric services are reported in </w:t>
      </w:r>
      <w:r w:rsidR="004071BF" w:rsidRPr="003D31DC">
        <w:t>c</w:t>
      </w:r>
      <w:r w:rsidR="00652860" w:rsidRPr="003D31DC">
        <w:t xml:space="preserve">hapter 12, </w:t>
      </w:r>
      <w:proofErr w:type="gramStart"/>
      <w:r w:rsidR="00652860" w:rsidRPr="003D31DC">
        <w:t>Mental</w:t>
      </w:r>
      <w:proofErr w:type="gramEnd"/>
      <w:r w:rsidR="00652860" w:rsidRPr="003D31DC">
        <w:t xml:space="preserve"> </w:t>
      </w:r>
      <w:r w:rsidR="002E6026" w:rsidRPr="003D31DC">
        <w:t>h</w:t>
      </w:r>
      <w:r w:rsidR="00652860" w:rsidRPr="003D31DC">
        <w:t xml:space="preserve">ealth </w:t>
      </w:r>
      <w:r w:rsidR="002E6026" w:rsidRPr="003D31DC">
        <w:t>m</w:t>
      </w:r>
      <w:r w:rsidR="00652860" w:rsidRPr="003D31DC">
        <w:t>anagement.</w:t>
      </w:r>
    </w:p>
    <w:p w:rsidR="001F39F2" w:rsidRPr="003D31DC" w:rsidRDefault="001F39F2" w:rsidP="00585E2C">
      <w:pPr>
        <w:pStyle w:val="ListBullet"/>
      </w:pPr>
      <w:r w:rsidRPr="003D31DC">
        <w:t>Performance information on access by people with disability to mainstream services is excluded. Further information on access by people with disability to mainstream services is included elsewhere in this Report — for example, School education (chapter</w:t>
      </w:r>
      <w:r w:rsidR="008F2226" w:rsidRPr="003D31DC">
        <w:t> </w:t>
      </w:r>
      <w:r w:rsidRPr="003D31DC">
        <w:t>4), Vocational education and training (VET) (chapter</w:t>
      </w:r>
      <w:r w:rsidR="008F2226" w:rsidRPr="003D31DC">
        <w:t> </w:t>
      </w:r>
      <w:r w:rsidRPr="003D31DC">
        <w:t>5), Public hospitals (chapter</w:t>
      </w:r>
      <w:r w:rsidR="008F2226" w:rsidRPr="003D31DC">
        <w:t> </w:t>
      </w:r>
      <w:r w:rsidR="00FE40E3" w:rsidRPr="003D31DC">
        <w:t>11</w:t>
      </w:r>
      <w:r w:rsidRPr="003D31DC">
        <w:t xml:space="preserve">), Mental health management (chapter 12) and </w:t>
      </w:r>
      <w:r w:rsidR="00647033" w:rsidRPr="003D31DC">
        <w:t>H</w:t>
      </w:r>
      <w:r w:rsidRPr="003D31DC">
        <w:t>ousing (chapter 1</w:t>
      </w:r>
      <w:r w:rsidR="00B3738B" w:rsidRPr="003D31DC">
        <w:t>7</w:t>
      </w:r>
      <w:r w:rsidRPr="003D31DC">
        <w:t>). Other mainstream services and supports provided to people with disability — such as transport and utility services at concessional rates — are outside the scope of this Report.</w:t>
      </w:r>
    </w:p>
    <w:p w:rsidR="001F39F2" w:rsidRPr="003D31DC" w:rsidRDefault="001F39F2" w:rsidP="00585E2C">
      <w:pPr>
        <w:pStyle w:val="ListBullet"/>
      </w:pPr>
      <w:r w:rsidRPr="003D31DC">
        <w:t>Descriptive information on income support to people with disability and their carers is included, for context. This Report generally does not include performance information on income support</w:t>
      </w:r>
      <w:r w:rsidR="00AC230B" w:rsidRPr="003D31DC">
        <w:t>.</w:t>
      </w:r>
    </w:p>
    <w:p w:rsidR="007E6C73" w:rsidRDefault="007E6C73" w:rsidP="000453A1">
      <w:pPr>
        <w:pStyle w:val="BodyText"/>
        <w:shd w:val="clear" w:color="auto" w:fill="FFFFFF" w:themeFill="background1"/>
      </w:pPr>
      <w:r>
        <w:t>With the gradual roll</w:t>
      </w:r>
      <w:r w:rsidR="00B84AF2">
        <w:noBreakHyphen/>
      </w:r>
      <w:r>
        <w:t>out of the NDIS across Australia, it is expected that most existing NDA service users will transition to the NDIS and exit from the DS NMDS collection over time</w:t>
      </w:r>
      <w:r w:rsidRPr="005F6619">
        <w:t>. It is anticipated that</w:t>
      </w:r>
      <w:r w:rsidR="001A7BB8">
        <w:t>,</w:t>
      </w:r>
      <w:r w:rsidRPr="005F6619">
        <w:t xml:space="preserve"> by 2019</w:t>
      </w:r>
      <w:r w:rsidR="00B84AF2">
        <w:noBreakHyphen/>
      </w:r>
      <w:r>
        <w:t xml:space="preserve">20, all eligible Australians under the age of 65 will be covered by the NDIS (except for WA residents). For this Report, service user data from the </w:t>
      </w:r>
      <w:r>
        <w:lastRenderedPageBreak/>
        <w:t>DS NMDS are not affected by the introduction of the NDIS as they relate to the 2012</w:t>
      </w:r>
      <w:r w:rsidR="00B84AF2">
        <w:noBreakHyphen/>
      </w:r>
      <w:r>
        <w:t>13 financial year.</w:t>
      </w:r>
    </w:p>
    <w:p w:rsidR="007E6C73" w:rsidRDefault="007E6C73" w:rsidP="000453A1">
      <w:pPr>
        <w:pStyle w:val="BodyText"/>
        <w:shd w:val="clear" w:color="auto" w:fill="FFFFFF" w:themeFill="background1"/>
      </w:pPr>
      <w:r w:rsidRPr="006A369E">
        <w:t xml:space="preserve">Data on the services provided under the </w:t>
      </w:r>
      <w:r>
        <w:t>NDIS</w:t>
      </w:r>
      <w:r w:rsidRPr="006A369E">
        <w:t xml:space="preserve"> are collected</w:t>
      </w:r>
      <w:r>
        <w:t xml:space="preserve"> by the National Disability Insurance Agency (NDIA). Some 2013</w:t>
      </w:r>
      <w:r w:rsidR="00B84AF2">
        <w:noBreakHyphen/>
      </w:r>
      <w:r>
        <w:t xml:space="preserve">14 NDIS data are provided in section 14.4 as contextual information for this </w:t>
      </w:r>
      <w:r w:rsidRPr="00734116">
        <w:t>Report. Access</w:t>
      </w:r>
      <w:r>
        <w:t xml:space="preserve"> to NDIS data will be </w:t>
      </w:r>
      <w:r w:rsidR="00BD1E94">
        <w:t xml:space="preserve">sought </w:t>
      </w:r>
      <w:r>
        <w:t>for reporting against the disability framework in future reports.</w:t>
      </w:r>
    </w:p>
    <w:p w:rsidR="0067322D" w:rsidRPr="00C6586E" w:rsidRDefault="001F39F2" w:rsidP="00F657DF">
      <w:pPr>
        <w:pStyle w:val="BodyText"/>
      </w:pPr>
      <w:r w:rsidRPr="00C6586E">
        <w:t xml:space="preserve">Major improvements in the reporting of services for people with disability </w:t>
      </w:r>
      <w:r w:rsidR="00E6086E" w:rsidRPr="00C6586E">
        <w:t xml:space="preserve">in </w:t>
      </w:r>
      <w:r w:rsidRPr="00C6586E">
        <w:t xml:space="preserve">this </w:t>
      </w:r>
      <w:r w:rsidR="00E6086E" w:rsidRPr="00C6586E">
        <w:t xml:space="preserve">edition </w:t>
      </w:r>
      <w:r w:rsidRPr="00C6586E">
        <w:t>include</w:t>
      </w:r>
      <w:r w:rsidR="00321568" w:rsidRPr="00C6586E">
        <w:t>:</w:t>
      </w:r>
    </w:p>
    <w:p w:rsidR="001B654D" w:rsidRPr="00C6586E" w:rsidRDefault="001B654D" w:rsidP="001B654D">
      <w:pPr>
        <w:pStyle w:val="ListBullet"/>
      </w:pPr>
      <w:r w:rsidRPr="00C6586E">
        <w:t>reporting data for the ‘client and carer satisfaction’ indicator from the 2012 Survey of Disability Ageing and Carers (SDAC) for the first time</w:t>
      </w:r>
    </w:p>
    <w:p w:rsidR="00275112" w:rsidRPr="00AE3578" w:rsidRDefault="001B654D" w:rsidP="00275112">
      <w:pPr>
        <w:pStyle w:val="ListBullet"/>
      </w:pPr>
      <w:r w:rsidRPr="00C6586E">
        <w:t xml:space="preserve">reporting data disaggregated by </w:t>
      </w:r>
      <w:r w:rsidR="008D7CDF">
        <w:t>State and Territory for tables</w:t>
      </w:r>
      <w:r w:rsidR="00AE3578">
        <w:t> </w:t>
      </w:r>
      <w:r w:rsidR="00CB2E08" w:rsidRPr="00C6586E">
        <w:t>14A.</w:t>
      </w:r>
      <w:r w:rsidR="00683393">
        <w:t>3</w:t>
      </w:r>
      <w:r w:rsidR="00CB2E08" w:rsidRPr="00C6586E">
        <w:t>, 14A.</w:t>
      </w:r>
      <w:r w:rsidR="00683393">
        <w:t>5</w:t>
      </w:r>
      <w:r w:rsidR="00CB2E08" w:rsidRPr="00C6586E">
        <w:t>, 14A.</w:t>
      </w:r>
      <w:r w:rsidR="00683393" w:rsidRPr="00C6586E">
        <w:t>5</w:t>
      </w:r>
      <w:r w:rsidR="00683393">
        <w:t>6</w:t>
      </w:r>
      <w:r w:rsidR="00CB2E08" w:rsidRPr="00C6586E">
        <w:t>, 14A.</w:t>
      </w:r>
      <w:r w:rsidR="00683393" w:rsidRPr="00C6586E">
        <w:t>5</w:t>
      </w:r>
      <w:r w:rsidR="00683393">
        <w:t>7</w:t>
      </w:r>
      <w:r w:rsidR="006C7D95">
        <w:t xml:space="preserve"> and</w:t>
      </w:r>
      <w:r w:rsidR="00CB2E08" w:rsidRPr="00C6586E">
        <w:t xml:space="preserve"> 14A.</w:t>
      </w:r>
      <w:r w:rsidR="00683393" w:rsidRPr="00C6586E">
        <w:t>5</w:t>
      </w:r>
      <w:r w:rsidR="00683393">
        <w:t>8</w:t>
      </w:r>
    </w:p>
    <w:p w:rsidR="00275112" w:rsidRPr="00AE3578" w:rsidRDefault="00321568" w:rsidP="00275112">
      <w:pPr>
        <w:pStyle w:val="ListBullet"/>
      </w:pPr>
      <w:r w:rsidRPr="00C6586E">
        <w:t>reporting</w:t>
      </w:r>
      <w:r w:rsidR="00570042" w:rsidRPr="00C6586E">
        <w:t xml:space="preserve"> 2013</w:t>
      </w:r>
      <w:r w:rsidR="00B84AF2">
        <w:noBreakHyphen/>
      </w:r>
      <w:r w:rsidR="00570042" w:rsidRPr="00C6586E">
        <w:t>14 Basic Community Care (BCC) data for Victoria and</w:t>
      </w:r>
      <w:r w:rsidR="00275112" w:rsidRPr="00C6586E">
        <w:t xml:space="preserve"> WA</w:t>
      </w:r>
    </w:p>
    <w:p w:rsidR="00321568" w:rsidRPr="00C6586E" w:rsidRDefault="00321568" w:rsidP="00321568">
      <w:pPr>
        <w:pStyle w:val="ListBullet"/>
      </w:pPr>
      <w:proofErr w:type="gramStart"/>
      <w:r w:rsidRPr="00C6586E">
        <w:t>data</w:t>
      </w:r>
      <w:proofErr w:type="gramEnd"/>
      <w:r w:rsidRPr="00C6586E">
        <w:t xml:space="preserve"> quality information (DQI) available for the first time for the indicator ‘client and carer satisfaction’</w:t>
      </w:r>
      <w:r w:rsidR="00776064" w:rsidRPr="00C6586E">
        <w:t>.</w:t>
      </w:r>
    </w:p>
    <w:p w:rsidR="001F39F2" w:rsidRPr="00B02DB0" w:rsidRDefault="00321568" w:rsidP="00A50256">
      <w:pPr>
        <w:pStyle w:val="Heading2"/>
      </w:pPr>
      <w:bookmarkStart w:id="3" w:name="_Toc248563902"/>
      <w:bookmarkStart w:id="4" w:name="_Toc397527173"/>
      <w:r w:rsidRPr="00B02DB0">
        <w:t>14.</w:t>
      </w:r>
      <w:r w:rsidR="0085284B">
        <w:rPr>
          <w:noProof/>
        </w:rPr>
        <w:t>1</w:t>
      </w:r>
      <w:r w:rsidR="001F39F2" w:rsidRPr="00B02DB0">
        <w:tab/>
        <w:t>Profile of disability services</w:t>
      </w:r>
      <w:bookmarkEnd w:id="3"/>
      <w:bookmarkEnd w:id="4"/>
    </w:p>
    <w:p w:rsidR="001F39F2" w:rsidRPr="00B02DB0" w:rsidRDefault="001F39F2" w:rsidP="00321568">
      <w:pPr>
        <w:pStyle w:val="Heading3"/>
        <w:keepNext w:val="0"/>
      </w:pPr>
      <w:r w:rsidRPr="00B02DB0">
        <w:t>Service overview</w:t>
      </w:r>
    </w:p>
    <w:p w:rsidR="001F39F2" w:rsidRPr="007E6C73" w:rsidRDefault="001F39F2" w:rsidP="00417B0B">
      <w:pPr>
        <w:pStyle w:val="BodyText"/>
      </w:pPr>
      <w:r w:rsidRPr="007E6C73">
        <w:t>Government assistance for people with disability and their carers comprises provision of specialist disability services, access to mainstream services</w:t>
      </w:r>
      <w:r w:rsidR="003A1782" w:rsidRPr="007E6C73">
        <w:t xml:space="preserve">, </w:t>
      </w:r>
      <w:r w:rsidRPr="007E6C73">
        <w:t>provision of income support</w:t>
      </w:r>
      <w:r w:rsidR="003A1782" w:rsidRPr="007E6C73">
        <w:t xml:space="preserve"> and the </w:t>
      </w:r>
      <w:r w:rsidR="00931730" w:rsidRPr="007E6C73">
        <w:t>NDIS</w:t>
      </w:r>
      <w:r w:rsidRPr="007E6C73">
        <w:t>. Definitions of disability are provided in box</w:t>
      </w:r>
      <w:r w:rsidR="00AE3578">
        <w:t> </w:t>
      </w:r>
      <w:r w:rsidR="00B9634A">
        <w:t>14.3</w:t>
      </w:r>
      <w:r w:rsidRPr="007E6C73">
        <w:t>.</w:t>
      </w:r>
    </w:p>
    <w:p w:rsidR="005141DE" w:rsidRPr="000233CD" w:rsidRDefault="005141DE" w:rsidP="00321568">
      <w:pPr>
        <w:pStyle w:val="BoxSpaceAbove"/>
        <w:keepNext w:val="0"/>
        <w:rPr>
          <w:color w:val="A6A6A6" w:themeColor="background1" w:themeShade="A6"/>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2DB0" w:rsidRPr="00B02DB0" w:rsidTr="0012485D">
        <w:tc>
          <w:tcPr>
            <w:tcW w:w="8771" w:type="dxa"/>
            <w:tcBorders>
              <w:top w:val="single" w:sz="6" w:space="0" w:color="78A22F"/>
              <w:left w:val="nil"/>
              <w:bottom w:val="nil"/>
              <w:right w:val="nil"/>
            </w:tcBorders>
            <w:shd w:val="clear" w:color="auto" w:fill="F2F2F2"/>
          </w:tcPr>
          <w:p w:rsidR="005141DE" w:rsidRPr="00B02DB0" w:rsidRDefault="005141DE" w:rsidP="00A50256">
            <w:pPr>
              <w:pStyle w:val="BoxTitle"/>
              <w:keepNext w:val="0"/>
            </w:pPr>
            <w:r w:rsidRPr="00B02DB0">
              <w:rPr>
                <w:b w:val="0"/>
              </w:rPr>
              <w:t xml:space="preserve">Box </w:t>
            </w:r>
            <w:r w:rsidR="00321568" w:rsidRPr="00B02DB0">
              <w:rPr>
                <w:b w:val="0"/>
              </w:rPr>
              <w:t>14.</w:t>
            </w:r>
            <w:r w:rsidR="0085284B">
              <w:rPr>
                <w:b w:val="0"/>
                <w:noProof/>
              </w:rPr>
              <w:t>3</w:t>
            </w:r>
            <w:r w:rsidRPr="00B02DB0">
              <w:tab/>
              <w:t>Definitions of disability</w:t>
            </w:r>
          </w:p>
        </w:tc>
      </w:tr>
      <w:tr w:rsidR="00B02DB0" w:rsidRPr="00B02DB0" w:rsidTr="0012485D">
        <w:trPr>
          <w:cantSplit/>
        </w:trPr>
        <w:tc>
          <w:tcPr>
            <w:tcW w:w="8771" w:type="dxa"/>
            <w:tcBorders>
              <w:top w:val="nil"/>
              <w:left w:val="nil"/>
              <w:bottom w:val="nil"/>
              <w:right w:val="nil"/>
            </w:tcBorders>
            <w:shd w:val="clear" w:color="auto" w:fill="F2F2F2"/>
          </w:tcPr>
          <w:p w:rsidR="005141DE" w:rsidRPr="00B02DB0" w:rsidRDefault="005141DE" w:rsidP="00321568">
            <w:pPr>
              <w:pStyle w:val="Box"/>
              <w:keepNext w:val="0"/>
            </w:pPr>
            <w:r w:rsidRPr="00B02DB0">
              <w:t xml:space="preserve">The United Nation’s </w:t>
            </w:r>
            <w:r w:rsidRPr="00B02DB0">
              <w:rPr>
                <w:i/>
              </w:rPr>
              <w:t>Convention on the Rights of Persons with Disabilities,</w:t>
            </w:r>
            <w:r w:rsidRPr="00B02DB0">
              <w:t xml:space="preserve"> ratified by Australia on </w:t>
            </w:r>
            <w:r w:rsidRPr="00B02DB0">
              <w:rPr>
                <w:rFonts w:cs="Arial"/>
                <w:lang w:val="en"/>
              </w:rPr>
              <w:t xml:space="preserve">17 July 2008, </w:t>
            </w:r>
            <w:proofErr w:type="gramStart"/>
            <w:r w:rsidRPr="00B02DB0">
              <w:rPr>
                <w:rFonts w:cs="Arial"/>
                <w:lang w:val="en"/>
              </w:rPr>
              <w:t>defines ‘p</w:t>
            </w:r>
            <w:r w:rsidRPr="00B02DB0">
              <w:t xml:space="preserve">ersons with disabilities’ as those who have </w:t>
            </w:r>
            <w:r w:rsidRPr="00B02DB0">
              <w:br/>
              <w:t>long</w:t>
            </w:r>
            <w:r w:rsidR="00B84AF2">
              <w:noBreakHyphen/>
            </w:r>
            <w:r w:rsidRPr="00B02DB0">
              <w:t>term</w:t>
            </w:r>
            <w:proofErr w:type="gramEnd"/>
            <w:r w:rsidRPr="00B02DB0">
              <w:t xml:space="preserve"> physical, mental, intellectual or sensory impairments which, in interaction with various barriers, may hinder their full and effective participation in society on an equal basis with others. </w:t>
            </w:r>
          </w:p>
          <w:p w:rsidR="00AC230B" w:rsidRPr="00B02DB0" w:rsidRDefault="005141DE" w:rsidP="00321568">
            <w:pPr>
              <w:pStyle w:val="Box"/>
              <w:keepNext w:val="0"/>
              <w:rPr>
                <w:szCs w:val="24"/>
              </w:rPr>
            </w:pPr>
            <w:r w:rsidRPr="00B02DB0">
              <w:t>The World Health Organisation (WHO) defines ‘disabilities’ as impairments, activity limitations and participation restrictions: an impairment is a problem in body function or structure; an activity limitation is a difficulty encountered by an individual in executing a task or action; and a participation restriction is a problem experienced by an individual in involvement in life situations. Disability is a complex phenomenon, reflecting an interaction between features of a person’s body and features of the society in which he or she lives (WHO 2009).</w:t>
            </w:r>
          </w:p>
          <w:p w:rsidR="005141DE" w:rsidRPr="00B02DB0" w:rsidRDefault="005141DE" w:rsidP="00417B0B">
            <w:pPr>
              <w:pStyle w:val="Continued"/>
            </w:pPr>
            <w:r w:rsidRPr="00B02DB0">
              <w:t>(Continued on next page)</w:t>
            </w:r>
          </w:p>
        </w:tc>
      </w:tr>
      <w:tr w:rsidR="00B02DB0" w:rsidRPr="00B02DB0" w:rsidTr="0012485D">
        <w:trPr>
          <w:cantSplit/>
        </w:trPr>
        <w:tc>
          <w:tcPr>
            <w:tcW w:w="8771" w:type="dxa"/>
            <w:tcBorders>
              <w:top w:val="nil"/>
              <w:left w:val="nil"/>
              <w:bottom w:val="single" w:sz="6" w:space="0" w:color="78A22F"/>
              <w:right w:val="nil"/>
            </w:tcBorders>
            <w:shd w:val="clear" w:color="auto" w:fill="F2F2F2"/>
          </w:tcPr>
          <w:p w:rsidR="005141DE" w:rsidRPr="00B02DB0" w:rsidRDefault="005141DE" w:rsidP="00321568">
            <w:pPr>
              <w:pStyle w:val="Box"/>
              <w:keepNext w:val="0"/>
              <w:spacing w:before="0" w:line="120" w:lineRule="exact"/>
              <w:rPr>
                <w:szCs w:val="24"/>
              </w:rPr>
            </w:pPr>
          </w:p>
        </w:tc>
      </w:tr>
      <w:tr w:rsidR="00B02DB0" w:rsidRPr="00B02DB0" w:rsidTr="0012485D">
        <w:tc>
          <w:tcPr>
            <w:tcW w:w="8771" w:type="dxa"/>
            <w:tcBorders>
              <w:top w:val="single" w:sz="6" w:space="0" w:color="78A22F"/>
              <w:left w:val="nil"/>
              <w:bottom w:val="nil"/>
              <w:right w:val="nil"/>
            </w:tcBorders>
          </w:tcPr>
          <w:p w:rsidR="005141DE" w:rsidRPr="00B02DB0" w:rsidRDefault="005141DE" w:rsidP="00417B0B">
            <w:pPr>
              <w:pStyle w:val="BoxSpaceBelow"/>
            </w:pPr>
          </w:p>
        </w:tc>
      </w:tr>
    </w:tbl>
    <w:p w:rsidR="005141DE" w:rsidRPr="000233CD" w:rsidRDefault="005141DE">
      <w:pPr>
        <w:pStyle w:val="BoxSpaceAbove"/>
        <w:rPr>
          <w:color w:val="A6A6A6" w:themeColor="background1" w:themeShade="A6"/>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2DB0" w:rsidRPr="00B02DB0" w:rsidTr="0012485D">
        <w:tc>
          <w:tcPr>
            <w:tcW w:w="8771" w:type="dxa"/>
            <w:tcBorders>
              <w:top w:val="single" w:sz="6" w:space="0" w:color="78A22F"/>
              <w:left w:val="nil"/>
              <w:bottom w:val="nil"/>
              <w:right w:val="nil"/>
            </w:tcBorders>
            <w:shd w:val="clear" w:color="auto" w:fill="F2F2F2"/>
          </w:tcPr>
          <w:p w:rsidR="005141DE" w:rsidRPr="00B02DB0" w:rsidRDefault="005141DE" w:rsidP="00610020">
            <w:pPr>
              <w:pStyle w:val="BoxTitle"/>
            </w:pPr>
            <w:r w:rsidRPr="00B02DB0">
              <w:rPr>
                <w:b w:val="0"/>
              </w:rPr>
              <w:t xml:space="preserve">Box </w:t>
            </w:r>
            <w:r w:rsidR="00321568" w:rsidRPr="00B02DB0">
              <w:rPr>
                <w:b w:val="0"/>
              </w:rPr>
              <w:t>14.</w:t>
            </w:r>
            <w:r w:rsidR="00B9634A">
              <w:rPr>
                <w:b w:val="0"/>
              </w:rPr>
              <w:t>3</w:t>
            </w:r>
            <w:r w:rsidRPr="00B02DB0">
              <w:tab/>
            </w:r>
            <w:r w:rsidRPr="00E373DF">
              <w:rPr>
                <w:rStyle w:val="ContinuedChar"/>
              </w:rPr>
              <w:t>(</w:t>
            </w:r>
            <w:r w:rsidR="00610020" w:rsidRPr="00E373DF">
              <w:rPr>
                <w:rStyle w:val="ContinuedChar"/>
              </w:rPr>
              <w:t>c</w:t>
            </w:r>
            <w:r w:rsidRPr="00E373DF">
              <w:rPr>
                <w:rStyle w:val="ContinuedChar"/>
              </w:rPr>
              <w:t>ontinued)</w:t>
            </w:r>
          </w:p>
        </w:tc>
      </w:tr>
      <w:tr w:rsidR="00B02DB0" w:rsidRPr="00B02DB0" w:rsidTr="0012485D">
        <w:trPr>
          <w:cantSplit/>
        </w:trPr>
        <w:tc>
          <w:tcPr>
            <w:tcW w:w="8771" w:type="dxa"/>
            <w:tcBorders>
              <w:top w:val="nil"/>
              <w:left w:val="nil"/>
              <w:bottom w:val="nil"/>
              <w:right w:val="nil"/>
            </w:tcBorders>
            <w:shd w:val="clear" w:color="auto" w:fill="F2F2F2"/>
          </w:tcPr>
          <w:p w:rsidR="00321568" w:rsidRPr="00B02DB0" w:rsidRDefault="00321568" w:rsidP="00321568">
            <w:pPr>
              <w:pStyle w:val="Box"/>
              <w:keepNext w:val="0"/>
              <w:rPr>
                <w:szCs w:val="24"/>
              </w:rPr>
            </w:pPr>
            <w:r w:rsidRPr="00B02DB0">
              <w:t>The third Commonwealth, State and Territory Disability Agreement ([CSTDA] 2003, p.</w:t>
            </w:r>
            <w:r w:rsidR="00AE3578">
              <w:t> </w:t>
            </w:r>
            <w:r w:rsidRPr="00B02DB0">
              <w:t>9) defined ‘people with disabilities’ as those whose disability manifests itself before the age of 65 years and for which they require significant ongoing and/or long</w:t>
            </w:r>
            <w:r w:rsidRPr="00B02DB0">
              <w:noBreakHyphen/>
              <w:t xml:space="preserve">term episodic support. </w:t>
            </w:r>
          </w:p>
          <w:p w:rsidR="00AC230B" w:rsidRPr="00B02DB0" w:rsidRDefault="00AC230B" w:rsidP="00AC230B">
            <w:pPr>
              <w:pStyle w:val="Box"/>
              <w:keepNext w:val="0"/>
            </w:pPr>
            <w:r w:rsidRPr="00B02DB0">
              <w:t>For these people, the disability will be attributable to an intellectual, psychiatric, sensory, physical or neurological impairment or acquired brain injury (or some combination of these) which is likely to be permanent and results in substantially reduced capacity in at least one of the following:</w:t>
            </w:r>
          </w:p>
          <w:p w:rsidR="00AC230B" w:rsidRPr="00B02DB0" w:rsidRDefault="00734116" w:rsidP="00AC230B">
            <w:pPr>
              <w:pStyle w:val="BoxListBullet"/>
              <w:keepNext w:val="0"/>
            </w:pPr>
            <w:r w:rsidRPr="00B02DB0">
              <w:t>self</w:t>
            </w:r>
            <w:r w:rsidR="00B84AF2">
              <w:noBreakHyphen/>
            </w:r>
            <w:r w:rsidRPr="00B02DB0">
              <w:t>care</w:t>
            </w:r>
            <w:r w:rsidR="00AC230B" w:rsidRPr="00B02DB0">
              <w:t>/management</w:t>
            </w:r>
          </w:p>
          <w:p w:rsidR="00AC230B" w:rsidRPr="00B02DB0" w:rsidRDefault="00AC230B" w:rsidP="00AC230B">
            <w:pPr>
              <w:pStyle w:val="BoxListBullet"/>
              <w:keepNext w:val="0"/>
            </w:pPr>
            <w:r w:rsidRPr="00B02DB0">
              <w:t>mobility</w:t>
            </w:r>
          </w:p>
          <w:p w:rsidR="00AC230B" w:rsidRPr="00B02DB0" w:rsidRDefault="00AC230B" w:rsidP="00AC230B">
            <w:pPr>
              <w:pStyle w:val="BoxListBullet"/>
              <w:keepNext w:val="0"/>
            </w:pPr>
            <w:proofErr w:type="gramStart"/>
            <w:r w:rsidRPr="00B02DB0">
              <w:t>communication</w:t>
            </w:r>
            <w:proofErr w:type="gramEnd"/>
            <w:r w:rsidRPr="00B02DB0">
              <w:t>.</w:t>
            </w:r>
          </w:p>
          <w:p w:rsidR="00AC230B" w:rsidRPr="00B02DB0" w:rsidRDefault="00AC230B" w:rsidP="00AC230B">
            <w:pPr>
              <w:pStyle w:val="Box"/>
              <w:keepNext w:val="0"/>
            </w:pPr>
            <w:r w:rsidRPr="00B02DB0">
              <w:t>The NDA does not include a specific definition of ‘people with disability’.</w:t>
            </w:r>
          </w:p>
          <w:p w:rsidR="00AC230B" w:rsidRPr="00B02DB0" w:rsidRDefault="00AC230B" w:rsidP="00AC230B">
            <w:pPr>
              <w:pStyle w:val="Box"/>
            </w:pPr>
            <w:r w:rsidRPr="00B02DB0">
              <w:t xml:space="preserve">The Australian Bureau of Statistics (ABS) </w:t>
            </w:r>
            <w:r w:rsidRPr="00B02DB0">
              <w:rPr>
                <w:i/>
              </w:rPr>
              <w:t>Survey of Disability, Ageing and Carers</w:t>
            </w:r>
            <w:r w:rsidRPr="00B02DB0">
              <w:t xml:space="preserve"> (SDAC) 2012 defines ‘disability’ as a limitation, restriction or impairment, which has lasted, or is likely to last, for at least 6 months and restricts everyday activities. Examples range from hearing loss that requires the use of a hearing aid, to difficulty dressing due to arthritis, to advanced dementia requiring constant help and supervision. The SDAC reports on the spectrum of disability experiences using three main ‘categories’ of disability:</w:t>
            </w:r>
          </w:p>
          <w:p w:rsidR="00AC230B" w:rsidRPr="00B02DB0" w:rsidRDefault="00AC230B" w:rsidP="00AC230B">
            <w:pPr>
              <w:pStyle w:val="BoxListBullet"/>
            </w:pPr>
            <w:r w:rsidRPr="00B02DB0">
              <w:t xml:space="preserve">with a core activity limitation (mild, moderate, severe </w:t>
            </w:r>
            <w:r w:rsidR="00C327E2" w:rsidRPr="00B02DB0">
              <w:t xml:space="preserve">or </w:t>
            </w:r>
            <w:r w:rsidRPr="00B02DB0">
              <w:t>profound)</w:t>
            </w:r>
          </w:p>
          <w:p w:rsidR="00AC230B" w:rsidRPr="00B02DB0" w:rsidRDefault="00AC230B" w:rsidP="00AC230B">
            <w:pPr>
              <w:pStyle w:val="BoxListBullet"/>
            </w:pPr>
            <w:r w:rsidRPr="00B02DB0">
              <w:t xml:space="preserve">with a schooling or employment restriction </w:t>
            </w:r>
          </w:p>
          <w:p w:rsidR="00AC230B" w:rsidRPr="00B02DB0" w:rsidRDefault="00AC230B" w:rsidP="00AC230B">
            <w:pPr>
              <w:pStyle w:val="BoxListBullet"/>
            </w:pPr>
            <w:r w:rsidRPr="00B02DB0">
              <w:t xml:space="preserve">with a disability, but without a specific limitation or restriction — includes people who need assistance with health care, cognition and emotion, paperwork, transport, housework, property maintenance or meal preparation. </w:t>
            </w:r>
          </w:p>
          <w:p w:rsidR="005141DE" w:rsidRPr="00B02DB0" w:rsidRDefault="005141DE" w:rsidP="005141DE">
            <w:pPr>
              <w:pStyle w:val="Box"/>
            </w:pPr>
            <w:r w:rsidRPr="00B02DB0">
              <w:t>Self</w:t>
            </w:r>
            <w:r w:rsidR="00B84AF2">
              <w:noBreakHyphen/>
            </w:r>
            <w:r w:rsidRPr="00B02DB0">
              <w:t>care, mobility and communication are defined as core activities. The ABS defines levels of core activity limitation as:</w:t>
            </w:r>
          </w:p>
          <w:p w:rsidR="005141DE" w:rsidRPr="00B02DB0" w:rsidRDefault="005141DE" w:rsidP="005141DE">
            <w:pPr>
              <w:pStyle w:val="BoxListBullet"/>
            </w:pPr>
            <w:proofErr w:type="gramStart"/>
            <w:r w:rsidRPr="00B02DB0">
              <w:t>mild</w:t>
            </w:r>
            <w:proofErr w:type="gramEnd"/>
            <w:r w:rsidRPr="00B02DB0">
              <w:t xml:space="preserve"> — where a person does not need assistance and has no difficulty with self</w:t>
            </w:r>
            <w:r w:rsidR="00B84AF2">
              <w:noBreakHyphen/>
            </w:r>
            <w:r w:rsidRPr="00B02DB0">
              <w:t xml:space="preserve">care, mobility and/or communication, but uses aids or equipment. They may also not be able to easily walk 200m, walk up and down stairs without a handrail, bend to pick up objects from the floor or use public transport easily or without help or supervision </w:t>
            </w:r>
          </w:p>
          <w:p w:rsidR="005141DE" w:rsidRPr="00B02DB0" w:rsidRDefault="005141DE" w:rsidP="005141DE">
            <w:pPr>
              <w:pStyle w:val="BoxListBullet"/>
            </w:pPr>
            <w:r w:rsidRPr="00B02DB0">
              <w:t>moderate — where a person does not need assistance, but has difficulty with self</w:t>
            </w:r>
            <w:r w:rsidR="00B84AF2">
              <w:noBreakHyphen/>
            </w:r>
            <w:r w:rsidRPr="00B02DB0">
              <w:t xml:space="preserve">care, mobility and/or communication </w:t>
            </w:r>
          </w:p>
          <w:p w:rsidR="005141DE" w:rsidRPr="00B02DB0" w:rsidRDefault="005141DE" w:rsidP="005141DE">
            <w:pPr>
              <w:pStyle w:val="BoxListBullet"/>
            </w:pPr>
            <w:r w:rsidRPr="00B02DB0">
              <w:t>severe — where a person sometimes needs assistance with self</w:t>
            </w:r>
            <w:r w:rsidR="00B84AF2">
              <w:noBreakHyphen/>
            </w:r>
            <w:r w:rsidRPr="00B02DB0">
              <w:t>care, mobility and/or communication tasks; has difficulty understanding or being understood by family or friends; or can communicate more easil</w:t>
            </w:r>
            <w:r w:rsidR="00BC3FDC">
              <w:t xml:space="preserve">y using sign language or other </w:t>
            </w:r>
            <w:r w:rsidRPr="00B02DB0">
              <w:t>non</w:t>
            </w:r>
            <w:r w:rsidRPr="00B02DB0">
              <w:noBreakHyphen/>
              <w:t xml:space="preserve">spoken forms of communication </w:t>
            </w:r>
          </w:p>
          <w:p w:rsidR="005141DE" w:rsidRPr="00B02DB0" w:rsidRDefault="005141DE" w:rsidP="007554C2">
            <w:pPr>
              <w:pStyle w:val="BoxListBullet"/>
            </w:pPr>
            <w:proofErr w:type="gramStart"/>
            <w:r w:rsidRPr="00B02DB0">
              <w:t>profound</w:t>
            </w:r>
            <w:proofErr w:type="gramEnd"/>
            <w:r w:rsidRPr="00B02DB0">
              <w:t xml:space="preserve"> — where a person is unable, or always needs assistance, to perform self</w:t>
            </w:r>
            <w:r w:rsidR="00B84AF2">
              <w:noBreakHyphen/>
            </w:r>
            <w:r w:rsidRPr="00B02DB0">
              <w:t>care, mobility and/or communication tasks.</w:t>
            </w:r>
          </w:p>
        </w:tc>
      </w:tr>
      <w:tr w:rsidR="00B02DB0" w:rsidRPr="00B02DB0" w:rsidTr="0012485D">
        <w:trPr>
          <w:cantSplit/>
        </w:trPr>
        <w:tc>
          <w:tcPr>
            <w:tcW w:w="8771" w:type="dxa"/>
            <w:tcBorders>
              <w:top w:val="nil"/>
              <w:left w:val="nil"/>
              <w:bottom w:val="nil"/>
              <w:right w:val="nil"/>
            </w:tcBorders>
            <w:shd w:val="clear" w:color="auto" w:fill="F2F2F2"/>
          </w:tcPr>
          <w:p w:rsidR="005141DE" w:rsidRPr="00B02DB0" w:rsidRDefault="005141DE" w:rsidP="0012485D">
            <w:pPr>
              <w:pStyle w:val="BoxSource"/>
            </w:pPr>
            <w:r w:rsidRPr="00B02DB0">
              <w:rPr>
                <w:i/>
              </w:rPr>
              <w:t>Source</w:t>
            </w:r>
            <w:r w:rsidRPr="00B02DB0">
              <w:t>: CSTDA (2003); WHO (2009); ABS (2013).</w:t>
            </w:r>
          </w:p>
        </w:tc>
      </w:tr>
      <w:tr w:rsidR="00B02DB0" w:rsidRPr="00B02DB0" w:rsidTr="0012485D">
        <w:trPr>
          <w:cantSplit/>
        </w:trPr>
        <w:tc>
          <w:tcPr>
            <w:tcW w:w="8771" w:type="dxa"/>
            <w:tcBorders>
              <w:top w:val="nil"/>
              <w:left w:val="nil"/>
              <w:bottom w:val="single" w:sz="6" w:space="0" w:color="78A22F"/>
              <w:right w:val="nil"/>
            </w:tcBorders>
            <w:shd w:val="clear" w:color="auto" w:fill="F2F2F2"/>
          </w:tcPr>
          <w:p w:rsidR="005141DE" w:rsidRPr="00B02DB0" w:rsidRDefault="005141DE">
            <w:pPr>
              <w:pStyle w:val="Box"/>
              <w:spacing w:before="0" w:line="120" w:lineRule="exact"/>
            </w:pPr>
          </w:p>
        </w:tc>
      </w:tr>
      <w:tr w:rsidR="00B02DB0" w:rsidRPr="00B02DB0" w:rsidTr="0012485D">
        <w:tc>
          <w:tcPr>
            <w:tcW w:w="8771" w:type="dxa"/>
            <w:tcBorders>
              <w:top w:val="single" w:sz="6" w:space="0" w:color="78A22F"/>
              <w:left w:val="nil"/>
              <w:bottom w:val="nil"/>
              <w:right w:val="nil"/>
            </w:tcBorders>
          </w:tcPr>
          <w:p w:rsidR="005141DE" w:rsidRPr="00B02DB0" w:rsidRDefault="005141DE" w:rsidP="0012485D">
            <w:pPr>
              <w:pStyle w:val="BoxSpaceBelow"/>
            </w:pPr>
          </w:p>
        </w:tc>
      </w:tr>
    </w:tbl>
    <w:p w:rsidR="001F39F2" w:rsidRPr="007E6C73" w:rsidRDefault="001F39F2" w:rsidP="00585E2C">
      <w:pPr>
        <w:pStyle w:val="Heading4"/>
      </w:pPr>
      <w:r w:rsidRPr="007E6C73">
        <w:lastRenderedPageBreak/>
        <w:t>Specialist disability services</w:t>
      </w:r>
    </w:p>
    <w:p w:rsidR="001F39F2" w:rsidRPr="007E6C73" w:rsidRDefault="001F39F2" w:rsidP="00585E2C">
      <w:pPr>
        <w:pStyle w:val="BodyText"/>
      </w:pPr>
      <w:r w:rsidRPr="007E6C73">
        <w:t xml:space="preserve">Specialist disability services are services designed to meet the needs of people with disability. These services tend to be targeted at those who have profound or severe </w:t>
      </w:r>
      <w:r w:rsidR="000A77A8" w:rsidRPr="007E6C73">
        <w:t>core activity limitations. The</w:t>
      </w:r>
      <w:r w:rsidRPr="007E6C73">
        <w:t xml:space="preserve"> seven broad categories of specialist disability services </w:t>
      </w:r>
      <w:r w:rsidR="000A77A8" w:rsidRPr="007E6C73">
        <w:t xml:space="preserve">are </w:t>
      </w:r>
      <w:r w:rsidRPr="007E6C73">
        <w:t>outlined below. These categories underpin the collection of the Disability Services National Minimum Data Set (DS</w:t>
      </w:r>
      <w:r w:rsidR="008F2226" w:rsidRPr="007E6C73">
        <w:t> </w:t>
      </w:r>
      <w:r w:rsidRPr="007E6C73">
        <w:t xml:space="preserve">NMDS) and expenditure data on specialist disability services: </w:t>
      </w:r>
    </w:p>
    <w:p w:rsidR="001F39F2" w:rsidRPr="00B02DB0" w:rsidRDefault="001F39F2" w:rsidP="00585E2C">
      <w:pPr>
        <w:pStyle w:val="ListBullet"/>
      </w:pPr>
      <w:r w:rsidRPr="00B02DB0">
        <w:rPr>
          <w:i/>
        </w:rPr>
        <w:t>accommodation support services</w:t>
      </w:r>
      <w:r w:rsidR="00B2421E" w:rsidRPr="00B02DB0">
        <w:t xml:space="preserve">, which </w:t>
      </w:r>
      <w:r w:rsidRPr="00B02DB0">
        <w:t>provide support to people with disability in accommodation settings (hostels, institutions and group homes) and in their own home</w:t>
      </w:r>
      <w:r w:rsidR="009A4249" w:rsidRPr="00B02DB0">
        <w:t>s</w:t>
      </w:r>
      <w:r w:rsidRPr="00B02DB0">
        <w:t xml:space="preserve"> (including attendant/personal care, in home support and alternative family placements)</w:t>
      </w:r>
    </w:p>
    <w:p w:rsidR="001F39F2" w:rsidRPr="00B02DB0" w:rsidRDefault="001F39F2" w:rsidP="00585E2C">
      <w:pPr>
        <w:pStyle w:val="ListBullet"/>
      </w:pPr>
      <w:r w:rsidRPr="00B02DB0">
        <w:rPr>
          <w:i/>
        </w:rPr>
        <w:t>community support services</w:t>
      </w:r>
      <w:r w:rsidR="00B2421E" w:rsidRPr="00B02DB0">
        <w:t>, which</w:t>
      </w:r>
      <w:r w:rsidRPr="00B02DB0">
        <w:t xml:space="preserve"> provide the support needed for a person with disability to live in a non</w:t>
      </w:r>
      <w:r w:rsidR="00B84AF2">
        <w:noBreakHyphen/>
      </w:r>
      <w:r w:rsidRPr="00B02DB0">
        <w:t xml:space="preserve">institutional setting — including therapy support, counselling and early childhood intervention </w:t>
      </w:r>
    </w:p>
    <w:p w:rsidR="001F39F2" w:rsidRPr="00B02DB0" w:rsidRDefault="001F39F2" w:rsidP="00585E2C">
      <w:pPr>
        <w:pStyle w:val="ListBullet"/>
      </w:pPr>
      <w:r w:rsidRPr="00B02DB0">
        <w:rPr>
          <w:i/>
        </w:rPr>
        <w:t>community access services</w:t>
      </w:r>
      <w:r w:rsidR="00B2421E" w:rsidRPr="00B02DB0">
        <w:t>, which</w:t>
      </w:r>
      <w:r w:rsidRPr="00B02DB0">
        <w:t xml:space="preserve"> provide opportunities for people with disability to gain and use their abilities to enjoy their full potential for social independence — including learning and life skills development and recreation/holiday programs</w:t>
      </w:r>
    </w:p>
    <w:p w:rsidR="001F39F2" w:rsidRPr="00B02DB0" w:rsidRDefault="001F39F2" w:rsidP="00585E2C">
      <w:pPr>
        <w:pStyle w:val="ListBullet"/>
      </w:pPr>
      <w:r w:rsidRPr="00B02DB0">
        <w:rPr>
          <w:i/>
        </w:rPr>
        <w:t>respite care services</w:t>
      </w:r>
      <w:r w:rsidR="00B2421E" w:rsidRPr="00B02DB0">
        <w:t>, which</w:t>
      </w:r>
      <w:r w:rsidRPr="00B02DB0">
        <w:t xml:space="preserve"> provide a short</w:t>
      </w:r>
      <w:r w:rsidR="00B84AF2">
        <w:noBreakHyphen/>
      </w:r>
      <w:r w:rsidRPr="00B02DB0">
        <w:t>term and time</w:t>
      </w:r>
      <w:r w:rsidR="00B84AF2">
        <w:noBreakHyphen/>
      </w:r>
      <w:r w:rsidRPr="00B02DB0">
        <w:t>limited break for families and other voluntary caregivers of people with disability, to assist in supporting and maintaining the primary care</w:t>
      </w:r>
      <w:r w:rsidR="00B84AF2">
        <w:noBreakHyphen/>
      </w:r>
      <w:r w:rsidRPr="00B02DB0">
        <w:t xml:space="preserve">giving relationship, while providing a positive experience for the person with disability </w:t>
      </w:r>
    </w:p>
    <w:p w:rsidR="001F39F2" w:rsidRPr="00B02DB0" w:rsidRDefault="001F39F2" w:rsidP="00585E2C">
      <w:pPr>
        <w:pStyle w:val="ListBullet"/>
      </w:pPr>
      <w:r w:rsidRPr="00B02DB0">
        <w:rPr>
          <w:i/>
        </w:rPr>
        <w:t>employment services</w:t>
      </w:r>
      <w:r w:rsidR="00B2421E" w:rsidRPr="00B02DB0">
        <w:t xml:space="preserve"> for people with disability, which </w:t>
      </w:r>
      <w:r w:rsidRPr="00B02DB0">
        <w:t>provide:</w:t>
      </w:r>
      <w:r w:rsidR="001A2F72" w:rsidRPr="00B02DB0">
        <w:t xml:space="preserve"> </w:t>
      </w:r>
    </w:p>
    <w:p w:rsidR="001F39F2" w:rsidRPr="00B02DB0" w:rsidRDefault="001F39F2" w:rsidP="00585E2C">
      <w:pPr>
        <w:pStyle w:val="ListBullet2"/>
      </w:pPr>
      <w:r w:rsidRPr="00B02DB0">
        <w:t xml:space="preserve">open employment services — assistance in obtaining and/or retaining paid employment in the open labour market </w:t>
      </w:r>
    </w:p>
    <w:p w:rsidR="001F39F2" w:rsidRPr="00B02DB0" w:rsidRDefault="001F39F2" w:rsidP="00585E2C">
      <w:pPr>
        <w:pStyle w:val="ListBullet2"/>
      </w:pPr>
      <w:r w:rsidRPr="00B02DB0">
        <w:t xml:space="preserve">supported employment services — support and employment within the same organisation </w:t>
      </w:r>
    </w:p>
    <w:p w:rsidR="001F39F2" w:rsidRPr="00B02DB0" w:rsidRDefault="001F39F2" w:rsidP="00585E2C">
      <w:pPr>
        <w:pStyle w:val="ListBullet"/>
        <w:rPr>
          <w:i/>
        </w:rPr>
      </w:pPr>
      <w:r w:rsidRPr="00B02DB0">
        <w:rPr>
          <w:i/>
        </w:rPr>
        <w:t>advocacy, information and alternative forms of communication</w:t>
      </w:r>
      <w:r w:rsidR="00B2421E" w:rsidRPr="00B02DB0">
        <w:t>, which provide</w:t>
      </w:r>
      <w:r w:rsidR="0071748B" w:rsidRPr="00B02DB0">
        <w:t>:</w:t>
      </w:r>
    </w:p>
    <w:p w:rsidR="001F39F2" w:rsidRPr="00B02DB0" w:rsidRDefault="001F39F2" w:rsidP="00585E2C">
      <w:pPr>
        <w:pStyle w:val="ListBullet2"/>
      </w:pPr>
      <w:r w:rsidRPr="00B02DB0">
        <w:t>advocacy services</w:t>
      </w:r>
      <w:r w:rsidR="00B2421E" w:rsidRPr="00B02DB0">
        <w:t xml:space="preserve"> to</w:t>
      </w:r>
      <w:r w:rsidRPr="00B02DB0">
        <w:t xml:space="preserve"> enable people with disability to increase their control over their lives by representing their interests and views in the community</w:t>
      </w:r>
    </w:p>
    <w:p w:rsidR="001F39F2" w:rsidRPr="00B02DB0" w:rsidRDefault="001F39F2" w:rsidP="00585E2C">
      <w:pPr>
        <w:pStyle w:val="ListBullet2"/>
      </w:pPr>
      <w:r w:rsidRPr="00B02DB0">
        <w:t>information services</w:t>
      </w:r>
      <w:r w:rsidR="00B2421E" w:rsidRPr="00B02DB0">
        <w:t xml:space="preserve"> </w:t>
      </w:r>
      <w:r w:rsidR="00B36BA4" w:rsidRPr="00B02DB0">
        <w:t xml:space="preserve">to assist </w:t>
      </w:r>
      <w:r w:rsidRPr="00B02DB0">
        <w:t xml:space="preserve">people with disability, their carers, families and related professionals </w:t>
      </w:r>
      <w:r w:rsidR="00B36BA4" w:rsidRPr="00B02DB0">
        <w:t xml:space="preserve">accessing information </w:t>
      </w:r>
      <w:r w:rsidRPr="00B02DB0">
        <w:t>about disabilities, specific and mainstream services and equipment; and promote the development of community awareness</w:t>
      </w:r>
    </w:p>
    <w:p w:rsidR="001F39F2" w:rsidRPr="00B02DB0" w:rsidRDefault="001F39F2" w:rsidP="00585E2C">
      <w:pPr>
        <w:pStyle w:val="ListBullet2"/>
      </w:pPr>
      <w:r w:rsidRPr="00B02DB0">
        <w:t>alternative forms of communication for people who are</w:t>
      </w:r>
      <w:r w:rsidR="007265EE" w:rsidRPr="00B02DB0">
        <w:t>,</w:t>
      </w:r>
      <w:r w:rsidRPr="00B02DB0">
        <w:t xml:space="preserve"> by reason of their disability, unable to access information provided in </w:t>
      </w:r>
      <w:r w:rsidR="009A4249" w:rsidRPr="00B02DB0">
        <w:t>standard format</w:t>
      </w:r>
      <w:r w:rsidR="007265EE" w:rsidRPr="00B02DB0">
        <w:t>s</w:t>
      </w:r>
    </w:p>
    <w:p w:rsidR="001F39F2" w:rsidRPr="00B02DB0" w:rsidRDefault="001F39F2" w:rsidP="00585E2C">
      <w:pPr>
        <w:pStyle w:val="ListBullet"/>
      </w:pPr>
      <w:proofErr w:type="gramStart"/>
      <w:r w:rsidRPr="00B02DB0">
        <w:rPr>
          <w:i/>
        </w:rPr>
        <w:t>other</w:t>
      </w:r>
      <w:proofErr w:type="gramEnd"/>
      <w:r w:rsidRPr="00B02DB0">
        <w:rPr>
          <w:i/>
        </w:rPr>
        <w:t xml:space="preserve"> support services</w:t>
      </w:r>
      <w:r w:rsidR="00B2421E" w:rsidRPr="00B02DB0">
        <w:t>, which</w:t>
      </w:r>
      <w:r w:rsidRPr="00B02DB0">
        <w:t xml:space="preserve"> include research and evaluation, and training and development projects.</w:t>
      </w:r>
    </w:p>
    <w:p w:rsidR="007E6C73" w:rsidRPr="00834CC4" w:rsidRDefault="007E6C73" w:rsidP="007E6C73">
      <w:pPr>
        <w:pStyle w:val="Heading4"/>
      </w:pPr>
      <w:r w:rsidRPr="00834CC4">
        <w:lastRenderedPageBreak/>
        <w:t>National Disability Insurance Scheme</w:t>
      </w:r>
    </w:p>
    <w:p w:rsidR="007E6C73" w:rsidRDefault="007E6C73" w:rsidP="007E6C73">
      <w:pPr>
        <w:pStyle w:val="BodyText"/>
        <w:rPr>
          <w:shd w:val="clear" w:color="auto" w:fill="FFFFFF" w:themeFill="background1"/>
        </w:rPr>
      </w:pPr>
      <w:r>
        <w:t xml:space="preserve">The NDIS is an insurance scheme that assists people with disability to access mainstream and community supports, helps support informal care and funds reasonable and necessary supports, including early intervention supports, for its participants. </w:t>
      </w:r>
      <w:r w:rsidRPr="000453A1">
        <w:rPr>
          <w:shd w:val="clear" w:color="auto" w:fill="FFFFFF" w:themeFill="background1"/>
        </w:rPr>
        <w:t xml:space="preserve">Currently, people with disability can access the scheme if they are in a </w:t>
      </w:r>
      <w:r w:rsidR="006B6CE7" w:rsidRPr="000453A1">
        <w:rPr>
          <w:shd w:val="clear" w:color="auto" w:fill="FFFFFF" w:themeFill="background1"/>
        </w:rPr>
        <w:t>trial</w:t>
      </w:r>
      <w:r w:rsidRPr="000453A1">
        <w:rPr>
          <w:shd w:val="clear" w:color="auto" w:fill="FFFFFF" w:themeFill="background1"/>
        </w:rPr>
        <w:t xml:space="preserve"> location, are the eligible age for that location and meet either the disability or early intervention requirements. Disability requirements include people who have a significant and permanent disability and who need assistance with everyday activities. This includes people whose disability is attributed to intellectual, cognitive, neurological, sensory, or physical impairment, or a psychiatric condition. Early intervention requirements include people who have a permanent impairment or are aged </w:t>
      </w:r>
      <w:proofErr w:type="gramStart"/>
      <w:r w:rsidRPr="000453A1">
        <w:rPr>
          <w:shd w:val="clear" w:color="auto" w:fill="FFFFFF" w:themeFill="background1"/>
        </w:rPr>
        <w:t>under</w:t>
      </w:r>
      <w:proofErr w:type="gramEnd"/>
      <w:r w:rsidRPr="000453A1">
        <w:rPr>
          <w:shd w:val="clear" w:color="auto" w:fill="FFFFFF" w:themeFill="background1"/>
        </w:rPr>
        <w:t xml:space="preserve"> six years with a developmental delay. Data on NDIS participants are included as contextual information in box</w:t>
      </w:r>
      <w:r w:rsidR="00AE3578">
        <w:rPr>
          <w:shd w:val="clear" w:color="auto" w:fill="FFFFFF" w:themeFill="background1"/>
        </w:rPr>
        <w:t> </w:t>
      </w:r>
      <w:r w:rsidRPr="000453A1">
        <w:rPr>
          <w:shd w:val="clear" w:color="auto" w:fill="FFFFFF" w:themeFill="background1"/>
        </w:rPr>
        <w:t>14.4. Data from the scheme were not provided for reporting on performance indicators in the framework.</w:t>
      </w:r>
    </w:p>
    <w:p w:rsidR="00BC3FDC" w:rsidRPr="00B02DB0" w:rsidRDefault="00BC3FDC" w:rsidP="00BC3FDC">
      <w:pPr>
        <w:pStyle w:val="Heading5"/>
      </w:pPr>
      <w:r>
        <w:t>NDIS funding</w:t>
      </w:r>
    </w:p>
    <w:p w:rsidR="00BC3FDC" w:rsidRPr="00B02DB0" w:rsidRDefault="00BC3FDC" w:rsidP="00BC3FDC">
      <w:pPr>
        <w:pStyle w:val="BodyText"/>
      </w:pPr>
      <w:r w:rsidRPr="00B02DB0">
        <w:t xml:space="preserve">Both the </w:t>
      </w:r>
      <w:r w:rsidRPr="000453A1">
        <w:rPr>
          <w:shd w:val="clear" w:color="auto" w:fill="FFFFFF" w:themeFill="background1"/>
        </w:rPr>
        <w:t>Australian Government and</w:t>
      </w:r>
      <w:r w:rsidRPr="00B02DB0">
        <w:t xml:space="preserve"> host jurisdictions are responsible for the cost of the NDIS </w:t>
      </w:r>
      <w:r>
        <w:t>trial</w:t>
      </w:r>
      <w:r w:rsidRPr="00B02DB0">
        <w:t xml:space="preserve"> sites in accordance with </w:t>
      </w:r>
      <w:r w:rsidRPr="00B02DB0">
        <w:rPr>
          <w:i/>
        </w:rPr>
        <w:t>Intergovernmental Agreement for the National Disability Insurance Scheme (NDIS) Launch</w:t>
      </w:r>
      <w:r w:rsidRPr="00B02DB0">
        <w:t xml:space="preserve"> (COAG 2012b). Total funding committed to the NDIS for 2013</w:t>
      </w:r>
      <w:r w:rsidR="00B84AF2">
        <w:noBreakHyphen/>
      </w:r>
      <w:r w:rsidRPr="00B02DB0">
        <w:t>14 was $148.8 million, including cash and in</w:t>
      </w:r>
      <w:r w:rsidR="00B84AF2">
        <w:noBreakHyphen/>
      </w:r>
      <w:r w:rsidRPr="00B02DB0">
        <w:t>kind contributions. The average annualised package cost at 30</w:t>
      </w:r>
      <w:r w:rsidR="00B84AF2">
        <w:t> </w:t>
      </w:r>
      <w:r w:rsidRPr="00B02DB0">
        <w:t>June 2014 was approximately $34 600 (NDIA 2014a).</w:t>
      </w:r>
    </w:p>
    <w:p w:rsidR="00BC3FDC" w:rsidRDefault="00BC3FDC" w:rsidP="007E6C73">
      <w:pPr>
        <w:pStyle w:val="BodyText"/>
      </w:pPr>
      <w:r w:rsidRPr="00B02DB0">
        <w:t xml:space="preserve">The NDIS identifies six life domains </w:t>
      </w:r>
      <w:r>
        <w:t>(areas of focus for participant</w:t>
      </w:r>
      <w:r w:rsidRPr="00B02DB0">
        <w:t xml:space="preserve"> goals, objectives and strategies) — economic participation, education, health and wellbeing, independence, living arrangements and social participation. Across each of the trial sites the most commonly funded life domains at 30</w:t>
      </w:r>
      <w:r w:rsidR="00B84AF2">
        <w:t> </w:t>
      </w:r>
      <w:r w:rsidRPr="00B02DB0">
        <w:t>June 2014 were independence (5289 plans), social participation (5327 plans) and health and wellbeing (4255 plans) (NDIA 2014b).</w:t>
      </w: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11"/>
      </w:tblGrid>
      <w:tr w:rsidR="007E6C73" w:rsidRPr="00347B8C" w:rsidTr="007E6C73">
        <w:tc>
          <w:tcPr>
            <w:tcW w:w="8811" w:type="dxa"/>
            <w:tcBorders>
              <w:top w:val="single" w:sz="6" w:space="0" w:color="78A22F"/>
              <w:left w:val="nil"/>
              <w:bottom w:val="nil"/>
              <w:right w:val="nil"/>
            </w:tcBorders>
            <w:shd w:val="clear" w:color="auto" w:fill="F2F2F2"/>
          </w:tcPr>
          <w:p w:rsidR="007E6C73" w:rsidRPr="00347B8C" w:rsidRDefault="007E6C73" w:rsidP="00734116">
            <w:pPr>
              <w:pStyle w:val="BoxTitle"/>
            </w:pPr>
            <w:r w:rsidRPr="00347B8C">
              <w:rPr>
                <w:b w:val="0"/>
              </w:rPr>
              <w:lastRenderedPageBreak/>
              <w:t>Box 14.</w:t>
            </w:r>
            <w:r w:rsidR="0085284B">
              <w:rPr>
                <w:b w:val="0"/>
                <w:noProof/>
              </w:rPr>
              <w:t>4</w:t>
            </w:r>
            <w:r w:rsidRPr="00347B8C">
              <w:tab/>
              <w:t>National Disability Insurance Scheme</w:t>
            </w:r>
            <w:r w:rsidR="00BD1C57">
              <w:t xml:space="preserve"> (NDIS)</w:t>
            </w:r>
            <w:r w:rsidRPr="00347B8C">
              <w:t xml:space="preserve"> participants</w:t>
            </w:r>
          </w:p>
        </w:tc>
      </w:tr>
      <w:tr w:rsidR="007E6C73" w:rsidRPr="00347B8C" w:rsidTr="007E6C73">
        <w:trPr>
          <w:cantSplit/>
        </w:trPr>
        <w:tc>
          <w:tcPr>
            <w:tcW w:w="8811" w:type="dxa"/>
            <w:tcBorders>
              <w:top w:val="nil"/>
              <w:left w:val="nil"/>
              <w:bottom w:val="nil"/>
              <w:right w:val="nil"/>
            </w:tcBorders>
            <w:shd w:val="clear" w:color="auto" w:fill="F2F2F2"/>
          </w:tcPr>
          <w:p w:rsidR="007E6C73" w:rsidRPr="00347B8C" w:rsidRDefault="007E6C73" w:rsidP="00B92965">
            <w:pPr>
              <w:pStyle w:val="Box"/>
            </w:pPr>
            <w:r w:rsidRPr="00347B8C">
              <w:t>As at 30</w:t>
            </w:r>
            <w:r w:rsidR="00B84AF2">
              <w:t> </w:t>
            </w:r>
            <w:r w:rsidRPr="00347B8C">
              <w:t xml:space="preserve">June 2014, 7316 </w:t>
            </w:r>
            <w:r w:rsidR="00014A9A" w:rsidRPr="00B92965">
              <w:t xml:space="preserve">participants </w:t>
            </w:r>
            <w:r w:rsidR="0043237B" w:rsidRPr="00B92965">
              <w:t>were receiving supports under an</w:t>
            </w:r>
            <w:r w:rsidR="00014A9A" w:rsidRPr="00B92965">
              <w:t xml:space="preserve"> approved plan</w:t>
            </w:r>
            <w:r w:rsidRPr="00347B8C">
              <w:t>. Participant numbers varied by State and Territory, with 2268 in NSW, 2907 in Victoria, 1355 in SA and 786 in Tasmania. Aboriginal and Torres Strait Islander people made up 2 per cent of all participants and 3 per cent of participants were classified as Culturally and Linguistically Diverse (CaLD)</w:t>
            </w:r>
            <w:r w:rsidRPr="00347B8C">
              <w:rPr>
                <w:rStyle w:val="FootnoteReference"/>
              </w:rPr>
              <w:footnoteReference w:id="2"/>
            </w:r>
            <w:r w:rsidR="0043237B">
              <w:t>.</w:t>
            </w:r>
            <w:r w:rsidRPr="00347B8C">
              <w:t xml:space="preserve"> The proportion of male participants is higher than females across all trial sites (61 per cent to 39 per cent).</w:t>
            </w:r>
          </w:p>
          <w:p w:rsidR="007E6C73" w:rsidRPr="00347B8C" w:rsidRDefault="007E6C73" w:rsidP="00B92965">
            <w:pPr>
              <w:pStyle w:val="BoxHeading1"/>
              <w:rPr>
                <w:szCs w:val="24"/>
              </w:rPr>
            </w:pPr>
            <w:r w:rsidRPr="00347B8C">
              <w:t>Access to mainstream services</w:t>
            </w:r>
          </w:p>
          <w:p w:rsidR="007E6C73" w:rsidRPr="00347B8C" w:rsidRDefault="007E6C73" w:rsidP="00B92965">
            <w:pPr>
              <w:pStyle w:val="Box"/>
            </w:pPr>
            <w:r w:rsidRPr="00347B8C">
              <w:t>Table</w:t>
            </w:r>
            <w:r w:rsidR="00AE3578">
              <w:t> </w:t>
            </w:r>
            <w:r w:rsidRPr="00347B8C">
              <w:t>14.4.1 shows that the majority of participants with approved plans are also accessing mainstream services (80 per cent). The NDIA records information on mainstream supports in the following categories: education and training, community participation (sport, child care and recreation), community support (youth services, parenting programs, etc.), health, legal and justice, housing, employment, transport, income support, other assistance.</w:t>
            </w:r>
          </w:p>
          <w:p w:rsidR="007E6C73" w:rsidRPr="00347B8C" w:rsidRDefault="007E6C73" w:rsidP="00734116">
            <w:pPr>
              <w:pStyle w:val="BoxSpaceBelow"/>
              <w:rPr>
                <w:szCs w:val="24"/>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363"/>
            </w:tblGrid>
            <w:tr w:rsidR="007E6C73" w:rsidRPr="00347B8C" w:rsidTr="00734116">
              <w:tc>
                <w:tcPr>
                  <w:tcW w:w="8363" w:type="dxa"/>
                  <w:tcBorders>
                    <w:top w:val="single" w:sz="6" w:space="0" w:color="78A22F"/>
                    <w:left w:val="nil"/>
                    <w:bottom w:val="nil"/>
                    <w:right w:val="nil"/>
                  </w:tcBorders>
                  <w:shd w:val="clear" w:color="auto" w:fill="auto"/>
                </w:tcPr>
                <w:p w:rsidR="007E6C73" w:rsidRPr="00347B8C" w:rsidRDefault="007E6C73" w:rsidP="00734116">
                  <w:pPr>
                    <w:pStyle w:val="TableTitle"/>
                  </w:pPr>
                  <w:r w:rsidRPr="00347B8C">
                    <w:rPr>
                      <w:b w:val="0"/>
                    </w:rPr>
                    <w:t>Table 14.4.</w:t>
                  </w:r>
                  <w:r w:rsidR="0085284B">
                    <w:rPr>
                      <w:b w:val="0"/>
                      <w:noProof/>
                    </w:rPr>
                    <w:t>1</w:t>
                  </w:r>
                  <w:r w:rsidRPr="00347B8C">
                    <w:rPr>
                      <w:b w:val="0"/>
                    </w:rPr>
                    <w:t>.</w:t>
                  </w:r>
                  <w:r w:rsidRPr="00347B8C">
                    <w:tab/>
                    <w:t>Proportion of NDIS participants with approved plans accessing mainstream services, 30</w:t>
                  </w:r>
                  <w:r w:rsidR="00B84AF2">
                    <w:t> </w:t>
                  </w:r>
                  <w:r w:rsidRPr="00347B8C">
                    <w:t>June 2014</w:t>
                  </w:r>
                  <w:r w:rsidRPr="00347B8C">
                    <w:rPr>
                      <w:rStyle w:val="NoteLabel"/>
                    </w:rPr>
                    <w:t>a</w:t>
                  </w:r>
                </w:p>
              </w:tc>
            </w:tr>
            <w:tr w:rsidR="007E6C73" w:rsidRPr="00347B8C" w:rsidTr="00734116">
              <w:trPr>
                <w:cantSplit/>
              </w:trPr>
              <w:tc>
                <w:tcPr>
                  <w:tcW w:w="8363" w:type="dxa"/>
                  <w:tcBorders>
                    <w:top w:val="nil"/>
                    <w:left w:val="nil"/>
                    <w:bottom w:val="nil"/>
                    <w:right w:val="nil"/>
                  </w:tcBorders>
                  <w:shd w:val="clear" w:color="auto" w:fill="auto"/>
                </w:tcPr>
                <w:tbl>
                  <w:tblPr>
                    <w:tblW w:w="8079" w:type="dxa"/>
                    <w:tblBorders>
                      <w:top w:val="single" w:sz="6" w:space="0" w:color="A6A6A6" w:themeColor="background1" w:themeShade="A6"/>
                      <w:bottom w:val="single" w:sz="6" w:space="0" w:color="A6A6A6" w:themeColor="background1" w:themeShade="A6"/>
                    </w:tblBorders>
                    <w:tblCellMar>
                      <w:left w:w="0" w:type="dxa"/>
                      <w:right w:w="0" w:type="dxa"/>
                    </w:tblCellMar>
                    <w:tblLook w:val="0000" w:firstRow="0" w:lastRow="0" w:firstColumn="0" w:lastColumn="0" w:noHBand="0" w:noVBand="0"/>
                  </w:tblPr>
                  <w:tblGrid>
                    <w:gridCol w:w="1969"/>
                    <w:gridCol w:w="1222"/>
                    <w:gridCol w:w="1222"/>
                    <w:gridCol w:w="1222"/>
                    <w:gridCol w:w="1222"/>
                    <w:gridCol w:w="1222"/>
                  </w:tblGrid>
                  <w:tr w:rsidR="007E6C73" w:rsidRPr="00347B8C" w:rsidTr="00734116">
                    <w:tc>
                      <w:tcPr>
                        <w:tcW w:w="1219" w:type="pct"/>
                        <w:tcBorders>
                          <w:top w:val="single" w:sz="6" w:space="0" w:color="A6A6A6" w:themeColor="background1" w:themeShade="A6"/>
                          <w:bottom w:val="single" w:sz="6" w:space="0" w:color="A6A6A6" w:themeColor="background1" w:themeShade="A6"/>
                        </w:tcBorders>
                        <w:shd w:val="clear" w:color="auto" w:fill="auto"/>
                      </w:tcPr>
                      <w:p w:rsidR="007E6C73" w:rsidRPr="00347B8C" w:rsidRDefault="007E6C73" w:rsidP="00734116">
                        <w:pPr>
                          <w:pStyle w:val="TableColumnHeading"/>
                        </w:pPr>
                      </w:p>
                    </w:tc>
                    <w:tc>
                      <w:tcPr>
                        <w:tcW w:w="756" w:type="pct"/>
                        <w:tcBorders>
                          <w:top w:val="single" w:sz="6" w:space="0" w:color="A6A6A6" w:themeColor="background1" w:themeShade="A6"/>
                          <w:bottom w:val="single" w:sz="6" w:space="0" w:color="A6A6A6" w:themeColor="background1" w:themeShade="A6"/>
                        </w:tcBorders>
                        <w:shd w:val="clear" w:color="auto" w:fill="auto"/>
                      </w:tcPr>
                      <w:p w:rsidR="007E6C73" w:rsidRPr="00347B8C" w:rsidRDefault="007E6C73" w:rsidP="00734116">
                        <w:pPr>
                          <w:pStyle w:val="TableColumnHeading"/>
                        </w:pPr>
                        <w:r w:rsidRPr="00347B8C">
                          <w:t>NSW</w:t>
                        </w:r>
                      </w:p>
                    </w:tc>
                    <w:tc>
                      <w:tcPr>
                        <w:tcW w:w="756" w:type="pct"/>
                        <w:tcBorders>
                          <w:top w:val="single" w:sz="6" w:space="0" w:color="A6A6A6" w:themeColor="background1" w:themeShade="A6"/>
                          <w:bottom w:val="single" w:sz="6" w:space="0" w:color="A6A6A6" w:themeColor="background1" w:themeShade="A6"/>
                        </w:tcBorders>
                        <w:shd w:val="clear" w:color="auto" w:fill="auto"/>
                      </w:tcPr>
                      <w:p w:rsidR="007E6C73" w:rsidRPr="00347B8C" w:rsidRDefault="007E6C73" w:rsidP="00734116">
                        <w:pPr>
                          <w:pStyle w:val="TableColumnHeading"/>
                        </w:pPr>
                        <w:r w:rsidRPr="00347B8C">
                          <w:t>Vic</w:t>
                        </w:r>
                      </w:p>
                    </w:tc>
                    <w:tc>
                      <w:tcPr>
                        <w:tcW w:w="756" w:type="pct"/>
                        <w:tcBorders>
                          <w:top w:val="single" w:sz="6" w:space="0" w:color="A6A6A6" w:themeColor="background1" w:themeShade="A6"/>
                          <w:bottom w:val="single" w:sz="6" w:space="0" w:color="A6A6A6" w:themeColor="background1" w:themeShade="A6"/>
                        </w:tcBorders>
                      </w:tcPr>
                      <w:p w:rsidR="007E6C73" w:rsidRPr="00347B8C" w:rsidRDefault="007E6C73" w:rsidP="00734116">
                        <w:pPr>
                          <w:pStyle w:val="TableColumnHeading"/>
                        </w:pPr>
                        <w:r w:rsidRPr="00347B8C">
                          <w:t>SA</w:t>
                        </w:r>
                      </w:p>
                    </w:tc>
                    <w:tc>
                      <w:tcPr>
                        <w:tcW w:w="756" w:type="pct"/>
                        <w:tcBorders>
                          <w:top w:val="single" w:sz="6" w:space="0" w:color="A6A6A6" w:themeColor="background1" w:themeShade="A6"/>
                          <w:bottom w:val="single" w:sz="6" w:space="0" w:color="A6A6A6" w:themeColor="background1" w:themeShade="A6"/>
                        </w:tcBorders>
                      </w:tcPr>
                      <w:p w:rsidR="007E6C73" w:rsidRPr="00347B8C" w:rsidRDefault="007E6C73" w:rsidP="00734116">
                        <w:pPr>
                          <w:pStyle w:val="TableColumnHeading"/>
                        </w:pPr>
                        <w:r w:rsidRPr="00347B8C">
                          <w:t>Tas</w:t>
                        </w:r>
                      </w:p>
                    </w:tc>
                    <w:tc>
                      <w:tcPr>
                        <w:tcW w:w="756" w:type="pct"/>
                        <w:tcBorders>
                          <w:top w:val="single" w:sz="6" w:space="0" w:color="A6A6A6" w:themeColor="background1" w:themeShade="A6"/>
                          <w:bottom w:val="single" w:sz="6" w:space="0" w:color="A6A6A6" w:themeColor="background1" w:themeShade="A6"/>
                        </w:tcBorders>
                      </w:tcPr>
                      <w:p w:rsidR="007E6C73" w:rsidRPr="00347B8C" w:rsidRDefault="007E6C73" w:rsidP="00734116">
                        <w:pPr>
                          <w:pStyle w:val="TableColumnHeading"/>
                        </w:pPr>
                        <w:r w:rsidRPr="00347B8C">
                          <w:t>Total</w:t>
                        </w:r>
                      </w:p>
                    </w:tc>
                  </w:tr>
                  <w:tr w:rsidR="007E6C73" w:rsidRPr="00347B8C" w:rsidTr="00734116">
                    <w:tc>
                      <w:tcPr>
                        <w:tcW w:w="1219" w:type="pct"/>
                        <w:tcBorders>
                          <w:top w:val="single" w:sz="6" w:space="0" w:color="A6A6A6" w:themeColor="background1" w:themeShade="A6"/>
                        </w:tcBorders>
                      </w:tcPr>
                      <w:p w:rsidR="007E6C73" w:rsidRPr="00347B8C" w:rsidRDefault="007E6C73" w:rsidP="00734116">
                        <w:pPr>
                          <w:pStyle w:val="TableUnitsRow"/>
                          <w:jc w:val="left"/>
                        </w:pPr>
                        <w:r w:rsidRPr="00347B8C">
                          <w:t>Number</w:t>
                        </w:r>
                      </w:p>
                    </w:tc>
                    <w:tc>
                      <w:tcPr>
                        <w:tcW w:w="756" w:type="pct"/>
                        <w:tcBorders>
                          <w:top w:val="single" w:sz="6" w:space="0" w:color="A6A6A6" w:themeColor="background1" w:themeShade="A6"/>
                        </w:tcBorders>
                      </w:tcPr>
                      <w:p w:rsidR="007E6C73" w:rsidRPr="00347B8C" w:rsidRDefault="007E6C73" w:rsidP="00734116">
                        <w:pPr>
                          <w:pStyle w:val="TableUnitsRow"/>
                        </w:pPr>
                        <w:r w:rsidRPr="00347B8C">
                          <w:t>1 498</w:t>
                        </w:r>
                      </w:p>
                    </w:tc>
                    <w:tc>
                      <w:tcPr>
                        <w:tcW w:w="756" w:type="pct"/>
                        <w:tcBorders>
                          <w:top w:val="single" w:sz="6" w:space="0" w:color="A6A6A6" w:themeColor="background1" w:themeShade="A6"/>
                        </w:tcBorders>
                      </w:tcPr>
                      <w:p w:rsidR="007E6C73" w:rsidRPr="00347B8C" w:rsidRDefault="007E6C73" w:rsidP="00734116">
                        <w:pPr>
                          <w:pStyle w:val="TableUnitsRow"/>
                        </w:pPr>
                        <w:r w:rsidRPr="00347B8C">
                          <w:t>2 589</w:t>
                        </w:r>
                      </w:p>
                    </w:tc>
                    <w:tc>
                      <w:tcPr>
                        <w:tcW w:w="756" w:type="pct"/>
                        <w:tcBorders>
                          <w:top w:val="single" w:sz="6" w:space="0" w:color="A6A6A6" w:themeColor="background1" w:themeShade="A6"/>
                        </w:tcBorders>
                      </w:tcPr>
                      <w:p w:rsidR="007E6C73" w:rsidRPr="00347B8C" w:rsidRDefault="007E6C73" w:rsidP="00734116">
                        <w:pPr>
                          <w:pStyle w:val="TableUnitsRow"/>
                        </w:pPr>
                        <w:r w:rsidRPr="00347B8C">
                          <w:t>1 138</w:t>
                        </w:r>
                      </w:p>
                    </w:tc>
                    <w:tc>
                      <w:tcPr>
                        <w:tcW w:w="756" w:type="pct"/>
                        <w:tcBorders>
                          <w:top w:val="single" w:sz="6" w:space="0" w:color="A6A6A6" w:themeColor="background1" w:themeShade="A6"/>
                        </w:tcBorders>
                      </w:tcPr>
                      <w:p w:rsidR="007E6C73" w:rsidRPr="00347B8C" w:rsidRDefault="007E6C73" w:rsidP="00734116">
                        <w:pPr>
                          <w:pStyle w:val="TableUnitsRow"/>
                        </w:pPr>
                        <w:r w:rsidRPr="00347B8C">
                          <w:t>590</w:t>
                        </w:r>
                      </w:p>
                    </w:tc>
                    <w:tc>
                      <w:tcPr>
                        <w:tcW w:w="756" w:type="pct"/>
                        <w:tcBorders>
                          <w:top w:val="single" w:sz="6" w:space="0" w:color="A6A6A6" w:themeColor="background1" w:themeShade="A6"/>
                        </w:tcBorders>
                      </w:tcPr>
                      <w:p w:rsidR="007E6C73" w:rsidRPr="00347B8C" w:rsidRDefault="007E6C73" w:rsidP="00734116">
                        <w:pPr>
                          <w:pStyle w:val="TableUnitsRow"/>
                        </w:pPr>
                        <w:r w:rsidRPr="00347B8C">
                          <w:t>5 815</w:t>
                        </w:r>
                      </w:p>
                    </w:tc>
                  </w:tr>
                  <w:tr w:rsidR="007E6C73" w:rsidRPr="00347B8C" w:rsidTr="00734116">
                    <w:tc>
                      <w:tcPr>
                        <w:tcW w:w="1219" w:type="pct"/>
                      </w:tcPr>
                      <w:p w:rsidR="007E6C73" w:rsidRPr="00347B8C" w:rsidRDefault="007E6C73" w:rsidP="00734116">
                        <w:pPr>
                          <w:pStyle w:val="TableUnitsRow"/>
                          <w:jc w:val="left"/>
                        </w:pPr>
                        <w:r w:rsidRPr="00347B8C">
                          <w:t>Proportion (per cent)</w:t>
                        </w:r>
                      </w:p>
                    </w:tc>
                    <w:tc>
                      <w:tcPr>
                        <w:tcW w:w="756" w:type="pct"/>
                      </w:tcPr>
                      <w:p w:rsidR="007E6C73" w:rsidRPr="00347B8C" w:rsidRDefault="007E6C73" w:rsidP="00734116">
                        <w:pPr>
                          <w:pStyle w:val="TableUnitsRow"/>
                        </w:pPr>
                        <w:r w:rsidRPr="00347B8C">
                          <w:t>67</w:t>
                        </w:r>
                      </w:p>
                    </w:tc>
                    <w:tc>
                      <w:tcPr>
                        <w:tcW w:w="756" w:type="pct"/>
                      </w:tcPr>
                      <w:p w:rsidR="007E6C73" w:rsidRPr="00347B8C" w:rsidRDefault="007E6C73" w:rsidP="00734116">
                        <w:pPr>
                          <w:pStyle w:val="TableUnitsRow"/>
                        </w:pPr>
                        <w:r w:rsidRPr="00347B8C">
                          <w:t>89</w:t>
                        </w:r>
                      </w:p>
                    </w:tc>
                    <w:tc>
                      <w:tcPr>
                        <w:tcW w:w="756" w:type="pct"/>
                      </w:tcPr>
                      <w:p w:rsidR="007E6C73" w:rsidRPr="00347B8C" w:rsidRDefault="007E6C73" w:rsidP="00734116">
                        <w:pPr>
                          <w:pStyle w:val="TableUnitsRow"/>
                        </w:pPr>
                        <w:r w:rsidRPr="00347B8C">
                          <w:t>84</w:t>
                        </w:r>
                      </w:p>
                    </w:tc>
                    <w:tc>
                      <w:tcPr>
                        <w:tcW w:w="756" w:type="pct"/>
                      </w:tcPr>
                      <w:p w:rsidR="007E6C73" w:rsidRPr="00347B8C" w:rsidRDefault="007E6C73" w:rsidP="00734116">
                        <w:pPr>
                          <w:pStyle w:val="TableUnitsRow"/>
                        </w:pPr>
                        <w:r w:rsidRPr="00347B8C">
                          <w:t>75</w:t>
                        </w:r>
                      </w:p>
                    </w:tc>
                    <w:tc>
                      <w:tcPr>
                        <w:tcW w:w="756" w:type="pct"/>
                      </w:tcPr>
                      <w:p w:rsidR="007E6C73" w:rsidRPr="00347B8C" w:rsidRDefault="007E6C73" w:rsidP="00734116">
                        <w:pPr>
                          <w:pStyle w:val="TableUnitsRow"/>
                        </w:pPr>
                        <w:r w:rsidRPr="00347B8C">
                          <w:t>80</w:t>
                        </w:r>
                      </w:p>
                    </w:tc>
                  </w:tr>
                </w:tbl>
                <w:p w:rsidR="007E6C73" w:rsidRPr="00347B8C" w:rsidRDefault="007E6C73" w:rsidP="00734116">
                  <w:pPr>
                    <w:pStyle w:val="Box"/>
                  </w:pPr>
                </w:p>
              </w:tc>
            </w:tr>
            <w:tr w:rsidR="007E6C73" w:rsidRPr="00347B8C" w:rsidTr="00734116">
              <w:trPr>
                <w:cantSplit/>
              </w:trPr>
              <w:tc>
                <w:tcPr>
                  <w:tcW w:w="8363" w:type="dxa"/>
                  <w:tcBorders>
                    <w:top w:val="nil"/>
                    <w:left w:val="nil"/>
                    <w:bottom w:val="nil"/>
                    <w:right w:val="nil"/>
                  </w:tcBorders>
                  <w:shd w:val="clear" w:color="auto" w:fill="auto"/>
                </w:tcPr>
                <w:p w:rsidR="007E6C73" w:rsidRPr="00347B8C" w:rsidRDefault="007E6C73" w:rsidP="008D7CDF">
                  <w:pPr>
                    <w:pStyle w:val="Note"/>
                    <w:rPr>
                      <w:b/>
                      <w:szCs w:val="24"/>
                    </w:rPr>
                  </w:pPr>
                  <w:proofErr w:type="gramStart"/>
                  <w:r w:rsidRPr="00347B8C">
                    <w:rPr>
                      <w:rStyle w:val="NoteLabel"/>
                    </w:rPr>
                    <w:t>a</w:t>
                  </w:r>
                  <w:proofErr w:type="gramEnd"/>
                  <w:r w:rsidRPr="00347B8C">
                    <w:t xml:space="preserve"> </w:t>
                  </w:r>
                  <w:r w:rsidRPr="00347B8C">
                    <w:rPr>
                      <w:rStyle w:val="FootnoteTextChar"/>
                    </w:rPr>
                    <w:t>Data are not comparable across jurisdictions due to different cohorts of people with disability participating in each trial site. For example, a high number of participant</w:t>
                  </w:r>
                  <w:r w:rsidR="008D7CDF">
                    <w:rPr>
                      <w:rStyle w:val="FootnoteTextChar"/>
                    </w:rPr>
                    <w:t>s</w:t>
                  </w:r>
                  <w:r w:rsidRPr="00347B8C">
                    <w:rPr>
                      <w:rStyle w:val="FootnoteTextChar"/>
                    </w:rPr>
                    <w:t xml:space="preserve"> in the Barwon (Victoria) trial site are school aged children who are receiving mainstream education supports.</w:t>
                  </w:r>
                </w:p>
              </w:tc>
            </w:tr>
            <w:tr w:rsidR="007E6C73" w:rsidRPr="00347B8C" w:rsidTr="00734116">
              <w:trPr>
                <w:cantSplit/>
              </w:trPr>
              <w:tc>
                <w:tcPr>
                  <w:tcW w:w="8363" w:type="dxa"/>
                  <w:tcBorders>
                    <w:top w:val="nil"/>
                    <w:left w:val="nil"/>
                    <w:bottom w:val="single" w:sz="6" w:space="0" w:color="78A22F"/>
                    <w:right w:val="nil"/>
                  </w:tcBorders>
                  <w:shd w:val="clear" w:color="auto" w:fill="auto"/>
                </w:tcPr>
                <w:p w:rsidR="007E6C73" w:rsidRPr="00347B8C" w:rsidRDefault="007E6C73" w:rsidP="00734116">
                  <w:pPr>
                    <w:pStyle w:val="Box"/>
                    <w:spacing w:before="0" w:line="120" w:lineRule="exact"/>
                  </w:pPr>
                </w:p>
              </w:tc>
            </w:tr>
          </w:tbl>
          <w:p w:rsidR="007E6C73" w:rsidRPr="00347B8C" w:rsidRDefault="007E6C73" w:rsidP="00734116">
            <w:pPr>
              <w:pStyle w:val="BoxHeading1"/>
              <w:rPr>
                <w:szCs w:val="24"/>
              </w:rPr>
            </w:pPr>
            <w:r w:rsidRPr="00347B8C">
              <w:t>Client/carer satisfaction</w:t>
            </w:r>
          </w:p>
          <w:p w:rsidR="007E6C73" w:rsidRPr="00347B8C" w:rsidRDefault="007E6C73" w:rsidP="00734116">
            <w:pPr>
              <w:pStyle w:val="Box"/>
              <w:rPr>
                <w:szCs w:val="24"/>
              </w:rPr>
            </w:pPr>
            <w:r w:rsidRPr="00347B8C">
              <w:t xml:space="preserve">The NDIA reports data on both participant and experience satisfaction. </w:t>
            </w:r>
            <w:r w:rsidRPr="00347B8C">
              <w:rPr>
                <w:i/>
              </w:rPr>
              <w:t>Participant satisfaction</w:t>
            </w:r>
            <w:r w:rsidRPr="00347B8C">
              <w:t xml:space="preserve"> indicates the satisfaction of participants with the Agency, in particular, the planning process. </w:t>
            </w:r>
            <w:r w:rsidRPr="00347B8C">
              <w:rPr>
                <w:i/>
              </w:rPr>
              <w:t>Experience satisfaction</w:t>
            </w:r>
            <w:r w:rsidRPr="00347B8C">
              <w:t xml:space="preserve"> indicates the overall satisfaction of a participant with their current life experience and outcomes. As at 30</w:t>
            </w:r>
            <w:r w:rsidR="00B84AF2">
              <w:t> </w:t>
            </w:r>
            <w:r w:rsidRPr="00347B8C">
              <w:t>June 2014, participant satisfaction was at 1.66 on a scale of -2 (extremely dissatisfied) to +2 (extremely satisfied) (table</w:t>
            </w:r>
            <w:r w:rsidR="00AE3578">
              <w:t> </w:t>
            </w:r>
            <w:r w:rsidRPr="00347B8C">
              <w:t>14.4.2). It is anticipated that carer satisfaction data will be available for future reporting.</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323"/>
            </w:tblGrid>
            <w:tr w:rsidR="007E6C73" w:rsidRPr="00347B8C" w:rsidTr="00734116">
              <w:tc>
                <w:tcPr>
                  <w:tcW w:w="8323" w:type="dxa"/>
                  <w:tcBorders>
                    <w:top w:val="single" w:sz="6" w:space="0" w:color="78A22F"/>
                    <w:left w:val="nil"/>
                    <w:bottom w:val="nil"/>
                    <w:right w:val="nil"/>
                  </w:tcBorders>
                  <w:shd w:val="clear" w:color="auto" w:fill="auto"/>
                </w:tcPr>
                <w:p w:rsidR="007E6C73" w:rsidRPr="00347B8C" w:rsidRDefault="007E6C73" w:rsidP="00734116">
                  <w:pPr>
                    <w:pStyle w:val="TableTitle"/>
                  </w:pPr>
                  <w:r w:rsidRPr="00347B8C">
                    <w:rPr>
                      <w:b w:val="0"/>
                    </w:rPr>
                    <w:t>Table 14.4.</w:t>
                  </w:r>
                  <w:r w:rsidR="0085284B">
                    <w:rPr>
                      <w:b w:val="0"/>
                      <w:noProof/>
                    </w:rPr>
                    <w:t>2</w:t>
                  </w:r>
                  <w:r w:rsidRPr="00347B8C">
                    <w:tab/>
                    <w:t>NDIS participant satisfaction, 30</w:t>
                  </w:r>
                  <w:r w:rsidR="00B84AF2">
                    <w:t> </w:t>
                  </w:r>
                  <w:r w:rsidRPr="00347B8C">
                    <w:t>June 2014</w:t>
                  </w:r>
                  <w:r w:rsidRPr="00347B8C">
                    <w:rPr>
                      <w:rStyle w:val="NoteLabel"/>
                    </w:rPr>
                    <w:t>a</w:t>
                  </w:r>
                </w:p>
              </w:tc>
            </w:tr>
            <w:tr w:rsidR="007E6C73" w:rsidRPr="00347B8C" w:rsidTr="00734116">
              <w:trPr>
                <w:cantSplit/>
              </w:trPr>
              <w:tc>
                <w:tcPr>
                  <w:tcW w:w="8323"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10"/>
                    <w:gridCol w:w="1165"/>
                    <w:gridCol w:w="1166"/>
                    <w:gridCol w:w="1166"/>
                    <w:gridCol w:w="1166"/>
                    <w:gridCol w:w="1166"/>
                  </w:tblGrid>
                  <w:tr w:rsidR="007E6C73" w:rsidRPr="00347B8C" w:rsidTr="00734116">
                    <w:tc>
                      <w:tcPr>
                        <w:tcW w:w="1375" w:type="pct"/>
                        <w:tcBorders>
                          <w:top w:val="single" w:sz="6" w:space="0" w:color="BFBFBF"/>
                          <w:bottom w:val="single" w:sz="6" w:space="0" w:color="BFBFBF"/>
                        </w:tcBorders>
                        <w:shd w:val="clear" w:color="auto" w:fill="auto"/>
                        <w:tcMar>
                          <w:top w:w="28" w:type="dxa"/>
                        </w:tcMar>
                      </w:tcPr>
                      <w:p w:rsidR="007E6C73" w:rsidRPr="00347B8C" w:rsidRDefault="007E6C73" w:rsidP="00734116">
                        <w:pPr>
                          <w:pStyle w:val="TableColumnHeading"/>
                        </w:pPr>
                      </w:p>
                    </w:tc>
                    <w:tc>
                      <w:tcPr>
                        <w:tcW w:w="725" w:type="pct"/>
                        <w:tcBorders>
                          <w:top w:val="single" w:sz="6" w:space="0" w:color="BFBFBF"/>
                          <w:bottom w:val="single" w:sz="6" w:space="0" w:color="BFBFBF"/>
                        </w:tcBorders>
                      </w:tcPr>
                      <w:p w:rsidR="007E6C73" w:rsidRPr="00347B8C" w:rsidRDefault="007E6C73" w:rsidP="00734116">
                        <w:pPr>
                          <w:pStyle w:val="TableColumnHeading"/>
                        </w:pPr>
                        <w:r w:rsidRPr="00347B8C">
                          <w:t>NSW</w:t>
                        </w:r>
                      </w:p>
                    </w:tc>
                    <w:tc>
                      <w:tcPr>
                        <w:tcW w:w="725" w:type="pct"/>
                        <w:tcBorders>
                          <w:top w:val="single" w:sz="6" w:space="0" w:color="BFBFBF"/>
                          <w:bottom w:val="single" w:sz="6" w:space="0" w:color="BFBFBF"/>
                        </w:tcBorders>
                      </w:tcPr>
                      <w:p w:rsidR="007E6C73" w:rsidRPr="00347B8C" w:rsidRDefault="007E6C73" w:rsidP="00734116">
                        <w:pPr>
                          <w:pStyle w:val="TableColumnHeading"/>
                        </w:pPr>
                        <w:r w:rsidRPr="00347B8C">
                          <w:t>Vic</w:t>
                        </w:r>
                      </w:p>
                    </w:tc>
                    <w:tc>
                      <w:tcPr>
                        <w:tcW w:w="725" w:type="pct"/>
                        <w:tcBorders>
                          <w:top w:val="single" w:sz="6" w:space="0" w:color="BFBFBF"/>
                          <w:bottom w:val="single" w:sz="6" w:space="0" w:color="BFBFBF"/>
                        </w:tcBorders>
                      </w:tcPr>
                      <w:p w:rsidR="007E6C73" w:rsidRPr="00347B8C" w:rsidRDefault="007E6C73" w:rsidP="00734116">
                        <w:pPr>
                          <w:pStyle w:val="TableColumnHeading"/>
                        </w:pPr>
                        <w:r w:rsidRPr="00347B8C">
                          <w:t>SA</w:t>
                        </w:r>
                      </w:p>
                    </w:tc>
                    <w:tc>
                      <w:tcPr>
                        <w:tcW w:w="725" w:type="pct"/>
                        <w:tcBorders>
                          <w:top w:val="single" w:sz="6" w:space="0" w:color="BFBFBF"/>
                          <w:bottom w:val="single" w:sz="6" w:space="0" w:color="BFBFBF"/>
                        </w:tcBorders>
                      </w:tcPr>
                      <w:p w:rsidR="007E6C73" w:rsidRPr="00347B8C" w:rsidRDefault="007E6C73" w:rsidP="00734116">
                        <w:pPr>
                          <w:pStyle w:val="TableColumnHeading"/>
                        </w:pPr>
                        <w:r w:rsidRPr="00347B8C">
                          <w:t>Tas</w:t>
                        </w:r>
                      </w:p>
                    </w:tc>
                    <w:tc>
                      <w:tcPr>
                        <w:tcW w:w="725" w:type="pct"/>
                        <w:tcBorders>
                          <w:top w:val="single" w:sz="6" w:space="0" w:color="BFBFBF"/>
                          <w:bottom w:val="single" w:sz="6" w:space="0" w:color="BFBFBF"/>
                        </w:tcBorders>
                        <w:shd w:val="clear" w:color="auto" w:fill="auto"/>
                        <w:tcMar>
                          <w:top w:w="28" w:type="dxa"/>
                        </w:tcMar>
                      </w:tcPr>
                      <w:p w:rsidR="007E6C73" w:rsidRPr="00347B8C" w:rsidRDefault="007E6C73" w:rsidP="00734116">
                        <w:pPr>
                          <w:pStyle w:val="TableColumnHeading"/>
                        </w:pPr>
                        <w:r w:rsidRPr="00347B8C">
                          <w:t>Total</w:t>
                        </w:r>
                      </w:p>
                    </w:tc>
                  </w:tr>
                  <w:tr w:rsidR="007E6C73" w:rsidRPr="00347B8C" w:rsidTr="00734116">
                    <w:tc>
                      <w:tcPr>
                        <w:tcW w:w="1375" w:type="pct"/>
                        <w:tcBorders>
                          <w:top w:val="single" w:sz="6" w:space="0" w:color="BFBFBF"/>
                          <w:bottom w:val="single" w:sz="6" w:space="0" w:color="BFBFBF"/>
                        </w:tcBorders>
                      </w:tcPr>
                      <w:p w:rsidR="007E6C73" w:rsidRPr="00347B8C" w:rsidRDefault="007E6C73" w:rsidP="00734116">
                        <w:pPr>
                          <w:pStyle w:val="TableUnitsRow"/>
                          <w:jc w:val="left"/>
                        </w:pPr>
                        <w:r w:rsidRPr="00347B8C">
                          <w:t>Participant satisfaction</w:t>
                        </w:r>
                      </w:p>
                    </w:tc>
                    <w:tc>
                      <w:tcPr>
                        <w:tcW w:w="725" w:type="pct"/>
                        <w:tcBorders>
                          <w:top w:val="single" w:sz="6" w:space="0" w:color="BFBFBF"/>
                          <w:bottom w:val="single" w:sz="6" w:space="0" w:color="BFBFBF"/>
                        </w:tcBorders>
                      </w:tcPr>
                      <w:p w:rsidR="007E6C73" w:rsidRPr="00347B8C" w:rsidRDefault="007E6C73" w:rsidP="00734116">
                        <w:pPr>
                          <w:pStyle w:val="TableUnitsRow"/>
                        </w:pPr>
                        <w:r w:rsidRPr="00347B8C">
                          <w:t>1.8</w:t>
                        </w:r>
                      </w:p>
                    </w:tc>
                    <w:tc>
                      <w:tcPr>
                        <w:tcW w:w="725" w:type="pct"/>
                        <w:tcBorders>
                          <w:top w:val="single" w:sz="6" w:space="0" w:color="BFBFBF"/>
                          <w:bottom w:val="single" w:sz="6" w:space="0" w:color="BFBFBF"/>
                        </w:tcBorders>
                      </w:tcPr>
                      <w:p w:rsidR="007E6C73" w:rsidRPr="00347B8C" w:rsidRDefault="007E6C73" w:rsidP="00734116">
                        <w:pPr>
                          <w:pStyle w:val="TableUnitsRow"/>
                        </w:pPr>
                        <w:r w:rsidRPr="00347B8C">
                          <w:t>1.75</w:t>
                        </w:r>
                      </w:p>
                    </w:tc>
                    <w:tc>
                      <w:tcPr>
                        <w:tcW w:w="725" w:type="pct"/>
                        <w:tcBorders>
                          <w:top w:val="single" w:sz="6" w:space="0" w:color="BFBFBF"/>
                          <w:bottom w:val="single" w:sz="6" w:space="0" w:color="BFBFBF"/>
                        </w:tcBorders>
                      </w:tcPr>
                      <w:p w:rsidR="007E6C73" w:rsidRPr="00347B8C" w:rsidRDefault="007E6C73" w:rsidP="00734116">
                        <w:pPr>
                          <w:pStyle w:val="TableUnitsRow"/>
                        </w:pPr>
                        <w:r w:rsidRPr="00347B8C">
                          <w:t>1.44</w:t>
                        </w:r>
                      </w:p>
                    </w:tc>
                    <w:tc>
                      <w:tcPr>
                        <w:tcW w:w="725" w:type="pct"/>
                        <w:tcBorders>
                          <w:top w:val="single" w:sz="6" w:space="0" w:color="BFBFBF"/>
                          <w:bottom w:val="single" w:sz="6" w:space="0" w:color="BFBFBF"/>
                        </w:tcBorders>
                      </w:tcPr>
                      <w:p w:rsidR="007E6C73" w:rsidRPr="00347B8C" w:rsidRDefault="007E6C73" w:rsidP="00734116">
                        <w:pPr>
                          <w:pStyle w:val="TableUnitsRow"/>
                        </w:pPr>
                        <w:r w:rsidRPr="00347B8C">
                          <w:t>1.9</w:t>
                        </w:r>
                      </w:p>
                    </w:tc>
                    <w:tc>
                      <w:tcPr>
                        <w:tcW w:w="725" w:type="pct"/>
                        <w:tcBorders>
                          <w:top w:val="single" w:sz="6" w:space="0" w:color="BFBFBF"/>
                          <w:bottom w:val="single" w:sz="6" w:space="0" w:color="BFBFBF"/>
                        </w:tcBorders>
                      </w:tcPr>
                      <w:p w:rsidR="007E6C73" w:rsidRPr="00347B8C" w:rsidRDefault="007E6C73" w:rsidP="00734116">
                        <w:pPr>
                          <w:pStyle w:val="TableUnitsRow"/>
                        </w:pPr>
                        <w:r w:rsidRPr="00347B8C">
                          <w:t>1.66</w:t>
                        </w:r>
                      </w:p>
                    </w:tc>
                  </w:tr>
                </w:tbl>
                <w:p w:rsidR="007E6C73" w:rsidRPr="00347B8C" w:rsidRDefault="007E6C73" w:rsidP="00734116">
                  <w:pPr>
                    <w:pStyle w:val="Box"/>
                  </w:pPr>
                </w:p>
              </w:tc>
            </w:tr>
            <w:tr w:rsidR="007E6C73" w:rsidRPr="00347B8C" w:rsidTr="00734116">
              <w:trPr>
                <w:cantSplit/>
              </w:trPr>
              <w:tc>
                <w:tcPr>
                  <w:tcW w:w="8323" w:type="dxa"/>
                  <w:tcBorders>
                    <w:top w:val="nil"/>
                    <w:left w:val="nil"/>
                    <w:bottom w:val="nil"/>
                    <w:right w:val="nil"/>
                  </w:tcBorders>
                  <w:shd w:val="clear" w:color="auto" w:fill="auto"/>
                </w:tcPr>
                <w:p w:rsidR="007E6C73" w:rsidRPr="00347B8C" w:rsidRDefault="007E6C73" w:rsidP="00734116">
                  <w:pPr>
                    <w:pStyle w:val="Note"/>
                    <w:rPr>
                      <w:i/>
                    </w:rPr>
                  </w:pPr>
                  <w:r w:rsidRPr="00347B8C">
                    <w:rPr>
                      <w:rStyle w:val="NoteLabel"/>
                    </w:rPr>
                    <w:t>a</w:t>
                  </w:r>
                  <w:r w:rsidRPr="00347B8C">
                    <w:t xml:space="preserve"> </w:t>
                  </w:r>
                  <w:r w:rsidRPr="00347B8C">
                    <w:rPr>
                      <w:rFonts w:ascii="Calibri" w:hAnsi="Calibri"/>
                      <w:sz w:val="20"/>
                    </w:rPr>
                    <w:t xml:space="preserve">Satisfaction is reported on a scale of -2 </w:t>
                  </w:r>
                  <w:r w:rsidRPr="00347B8C">
                    <w:rPr>
                      <w:rFonts w:ascii="Calibri" w:hAnsi="Calibri"/>
                      <w:i/>
                      <w:iCs/>
                      <w:sz w:val="20"/>
                    </w:rPr>
                    <w:t>extremely dissatisfied</w:t>
                  </w:r>
                  <w:r w:rsidRPr="00347B8C">
                    <w:rPr>
                      <w:rFonts w:ascii="Calibri" w:hAnsi="Calibri"/>
                      <w:sz w:val="20"/>
                    </w:rPr>
                    <w:t xml:space="preserve"> to +2 </w:t>
                  </w:r>
                  <w:r w:rsidRPr="00347B8C">
                    <w:rPr>
                      <w:rFonts w:ascii="Calibri" w:hAnsi="Calibri"/>
                      <w:i/>
                      <w:iCs/>
                      <w:sz w:val="20"/>
                    </w:rPr>
                    <w:t>extremely satisfied</w:t>
                  </w:r>
                  <w:r w:rsidRPr="00347B8C">
                    <w:rPr>
                      <w:rFonts w:ascii="Calibri" w:hAnsi="Calibri"/>
                      <w:sz w:val="20"/>
                    </w:rPr>
                    <w:t>, with 0 = </w:t>
                  </w:r>
                  <w:r w:rsidRPr="00347B8C">
                    <w:rPr>
                      <w:rFonts w:ascii="Calibri" w:hAnsi="Calibri"/>
                      <w:i/>
                      <w:iCs/>
                      <w:sz w:val="20"/>
                    </w:rPr>
                    <w:t>neutral.</w:t>
                  </w:r>
                </w:p>
              </w:tc>
            </w:tr>
            <w:tr w:rsidR="007E6C73" w:rsidRPr="00347B8C" w:rsidTr="00734116">
              <w:trPr>
                <w:cantSplit/>
              </w:trPr>
              <w:tc>
                <w:tcPr>
                  <w:tcW w:w="8323" w:type="dxa"/>
                  <w:tcBorders>
                    <w:top w:val="nil"/>
                    <w:left w:val="nil"/>
                    <w:bottom w:val="single" w:sz="6" w:space="0" w:color="78A22F"/>
                    <w:right w:val="nil"/>
                  </w:tcBorders>
                  <w:shd w:val="clear" w:color="auto" w:fill="auto"/>
                </w:tcPr>
                <w:p w:rsidR="007E6C73" w:rsidRPr="00347B8C" w:rsidRDefault="007E6C73" w:rsidP="00734116">
                  <w:pPr>
                    <w:pStyle w:val="Box"/>
                    <w:spacing w:before="0" w:line="120" w:lineRule="exact"/>
                  </w:pPr>
                </w:p>
              </w:tc>
            </w:tr>
            <w:tr w:rsidR="007E6C73" w:rsidRPr="00347B8C" w:rsidTr="00734116">
              <w:tc>
                <w:tcPr>
                  <w:tcW w:w="8323" w:type="dxa"/>
                  <w:tcBorders>
                    <w:top w:val="single" w:sz="6" w:space="0" w:color="78A22F"/>
                    <w:left w:val="nil"/>
                    <w:bottom w:val="nil"/>
                    <w:right w:val="nil"/>
                  </w:tcBorders>
                </w:tcPr>
                <w:p w:rsidR="007E6C73" w:rsidRPr="00347B8C" w:rsidRDefault="007E6C73" w:rsidP="00734116">
                  <w:pPr>
                    <w:pStyle w:val="BoxSpaceBelow"/>
                  </w:pPr>
                </w:p>
              </w:tc>
            </w:tr>
          </w:tbl>
          <w:p w:rsidR="007E6C73" w:rsidRPr="00347B8C" w:rsidRDefault="007E6C73" w:rsidP="00734116">
            <w:pPr>
              <w:pStyle w:val="Box"/>
            </w:pPr>
          </w:p>
        </w:tc>
      </w:tr>
      <w:tr w:rsidR="007E6C73" w:rsidRPr="00347B8C" w:rsidTr="007E6C73">
        <w:trPr>
          <w:cantSplit/>
        </w:trPr>
        <w:tc>
          <w:tcPr>
            <w:tcW w:w="8811" w:type="dxa"/>
            <w:tcBorders>
              <w:top w:val="nil"/>
              <w:left w:val="nil"/>
              <w:bottom w:val="nil"/>
              <w:right w:val="nil"/>
            </w:tcBorders>
            <w:shd w:val="clear" w:color="auto" w:fill="F2F2F2"/>
          </w:tcPr>
          <w:p w:rsidR="007E6C73" w:rsidRPr="00347B8C" w:rsidRDefault="007E6C73" w:rsidP="00AE3578">
            <w:pPr>
              <w:pStyle w:val="BoxSource"/>
            </w:pPr>
            <w:r w:rsidRPr="00347B8C">
              <w:rPr>
                <w:i/>
              </w:rPr>
              <w:t>Source</w:t>
            </w:r>
            <w:r w:rsidRPr="00347B8C">
              <w:t>: NDIA (2014</w:t>
            </w:r>
            <w:r w:rsidR="00C5493C">
              <w:t>a</w:t>
            </w:r>
            <w:r w:rsidRPr="00347B8C">
              <w:t xml:space="preserve">), </w:t>
            </w:r>
            <w:r w:rsidRPr="00347B8C">
              <w:rPr>
                <w:i/>
              </w:rPr>
              <w:t>Quarterly Report to COAG Disability Reform Council, 30</w:t>
            </w:r>
            <w:r w:rsidR="00B84AF2">
              <w:rPr>
                <w:i/>
              </w:rPr>
              <w:t> </w:t>
            </w:r>
            <w:r w:rsidRPr="00347B8C">
              <w:rPr>
                <w:i/>
              </w:rPr>
              <w:t>June 201</w:t>
            </w:r>
            <w:r w:rsidR="00AE3578">
              <w:rPr>
                <w:i/>
              </w:rPr>
              <w:t>.</w:t>
            </w:r>
          </w:p>
        </w:tc>
      </w:tr>
      <w:tr w:rsidR="007E6C73" w:rsidRPr="00347B8C" w:rsidTr="007E6C73">
        <w:trPr>
          <w:cantSplit/>
        </w:trPr>
        <w:tc>
          <w:tcPr>
            <w:tcW w:w="8811" w:type="dxa"/>
            <w:tcBorders>
              <w:top w:val="nil"/>
              <w:left w:val="nil"/>
              <w:bottom w:val="single" w:sz="6" w:space="0" w:color="78A22F"/>
              <w:right w:val="nil"/>
            </w:tcBorders>
            <w:shd w:val="clear" w:color="auto" w:fill="F2F2F2"/>
          </w:tcPr>
          <w:p w:rsidR="007E6C73" w:rsidRPr="00347B8C" w:rsidRDefault="007E6C73" w:rsidP="00734116">
            <w:pPr>
              <w:pStyle w:val="Box"/>
              <w:spacing w:before="0" w:line="120" w:lineRule="exact"/>
              <w:rPr>
                <w:highlight w:val="yellow"/>
              </w:rPr>
            </w:pPr>
          </w:p>
        </w:tc>
      </w:tr>
      <w:tr w:rsidR="007E6C73" w:rsidRPr="00347B8C" w:rsidTr="007E6C73">
        <w:tc>
          <w:tcPr>
            <w:tcW w:w="8811" w:type="dxa"/>
            <w:tcBorders>
              <w:top w:val="single" w:sz="6" w:space="0" w:color="78A22F"/>
              <w:left w:val="nil"/>
              <w:bottom w:val="nil"/>
              <w:right w:val="nil"/>
            </w:tcBorders>
          </w:tcPr>
          <w:p w:rsidR="007E6C73" w:rsidRPr="00347B8C" w:rsidRDefault="007E6C73" w:rsidP="00734116">
            <w:pPr>
              <w:pStyle w:val="BoxSpaceBelow"/>
            </w:pPr>
          </w:p>
        </w:tc>
      </w:tr>
    </w:tbl>
    <w:p w:rsidR="001F39F2" w:rsidRPr="00B02DB0" w:rsidRDefault="001F39F2" w:rsidP="00585E2C">
      <w:pPr>
        <w:pStyle w:val="Heading4"/>
      </w:pPr>
      <w:r w:rsidRPr="00B02DB0">
        <w:lastRenderedPageBreak/>
        <w:t>Mainstream services</w:t>
      </w:r>
    </w:p>
    <w:p w:rsidR="00DF6DD6" w:rsidRPr="00B02DB0" w:rsidRDefault="001F39F2" w:rsidP="00585E2C">
      <w:pPr>
        <w:pStyle w:val="BodyText"/>
      </w:pPr>
      <w:r w:rsidRPr="00B02DB0">
        <w:t xml:space="preserve">Mainstream services are services provided to the community as a whole. Governments acknowledge that specialist disability services are complemented by mainstream services. Under the NDA, </w:t>
      </w:r>
      <w:r w:rsidR="003D31DC" w:rsidRPr="000453A1">
        <w:rPr>
          <w:shd w:val="clear" w:color="auto" w:fill="FFFFFF" w:themeFill="background1"/>
        </w:rPr>
        <w:t>and consistent with the National Disability Strategy 2010</w:t>
      </w:r>
      <w:r w:rsidR="00B84AF2">
        <w:rPr>
          <w:shd w:val="clear" w:color="auto" w:fill="FFFFFF" w:themeFill="background1"/>
        </w:rPr>
        <w:t>–</w:t>
      </w:r>
      <w:r w:rsidR="003D31DC" w:rsidRPr="000453A1">
        <w:rPr>
          <w:shd w:val="clear" w:color="auto" w:fill="FFFFFF" w:themeFill="background1"/>
        </w:rPr>
        <w:t xml:space="preserve">2020, </w:t>
      </w:r>
      <w:r w:rsidR="00D93951" w:rsidRPr="000453A1">
        <w:rPr>
          <w:shd w:val="clear" w:color="auto" w:fill="FFFFFF" w:themeFill="background1"/>
        </w:rPr>
        <w:t>the Australian and State and Territory governments</w:t>
      </w:r>
      <w:r w:rsidR="00D93951" w:rsidRPr="00B02DB0">
        <w:t xml:space="preserve"> </w:t>
      </w:r>
      <w:r w:rsidRPr="00B02DB0">
        <w:t xml:space="preserve">have agreed to strive to ensure that all people with disability have access to mainstream government services within their jurisdictions. It is recognised that improved outcomes for people with disability, their families and their carers, are contingent upon the effective coordination of efforts across government services. Some mainstream services give priority to people with disability (for example, </w:t>
      </w:r>
      <w:r w:rsidR="0019455A" w:rsidRPr="00B02DB0">
        <w:t>social</w:t>
      </w:r>
      <w:r w:rsidRPr="00B02DB0">
        <w:t xml:space="preserve"> housing) or have programs to meet the special needs of people with disability (for example, school education).</w:t>
      </w:r>
    </w:p>
    <w:p w:rsidR="001F39F2" w:rsidRPr="00B02DB0" w:rsidRDefault="001F39F2" w:rsidP="00585E2C">
      <w:pPr>
        <w:pStyle w:val="Heading4"/>
      </w:pPr>
      <w:r w:rsidRPr="00B02DB0">
        <w:t xml:space="preserve">Income support and allowances </w:t>
      </w:r>
    </w:p>
    <w:p w:rsidR="001F39F2" w:rsidRPr="00B02DB0" w:rsidRDefault="001F39F2" w:rsidP="00585E2C">
      <w:pPr>
        <w:pStyle w:val="BodyText"/>
      </w:pPr>
      <w:r w:rsidRPr="00B02DB0">
        <w:t>Income support for people with disability and their carers contributes to the outcomes of the NDA. The Australian Government is responsible for the provision of income support targeted to the needs of people with disability, the</w:t>
      </w:r>
      <w:r w:rsidR="00B9634A">
        <w:t>ir families and carers (box</w:t>
      </w:r>
      <w:r w:rsidR="00AE3578">
        <w:t> </w:t>
      </w:r>
      <w:r w:rsidR="00B9634A">
        <w:t>14.5</w:t>
      </w:r>
      <w:r w:rsidRPr="00B02DB0">
        <w:t xml:space="preserve">). Income support is provided to those who meet the relevant eligibility criteria. Income support payments and allowances include the Disability Support Pension, Carer Payment, Carer Allowance, Sickness Allowance, Mobility Allowance, Child Disability Assistance Payment and Carer Supplement. </w:t>
      </w:r>
    </w:p>
    <w:p w:rsidR="005141DE" w:rsidRPr="00B02DB0" w:rsidRDefault="005141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2DB0" w:rsidRPr="00B02DB0" w:rsidTr="0012485D">
        <w:tc>
          <w:tcPr>
            <w:tcW w:w="8771" w:type="dxa"/>
            <w:tcBorders>
              <w:top w:val="single" w:sz="6" w:space="0" w:color="78A22F"/>
              <w:left w:val="nil"/>
              <w:bottom w:val="nil"/>
              <w:right w:val="nil"/>
            </w:tcBorders>
            <w:shd w:val="clear" w:color="auto" w:fill="F2F2F2"/>
          </w:tcPr>
          <w:p w:rsidR="005141DE" w:rsidRPr="00B02DB0" w:rsidRDefault="005141DE" w:rsidP="005141DE">
            <w:pPr>
              <w:pStyle w:val="BoxTitle"/>
            </w:pPr>
            <w:r w:rsidRPr="00B02DB0">
              <w:rPr>
                <w:b w:val="0"/>
              </w:rPr>
              <w:t xml:space="preserve">Box </w:t>
            </w:r>
            <w:r w:rsidR="00321568" w:rsidRPr="00B02DB0">
              <w:rPr>
                <w:b w:val="0"/>
              </w:rPr>
              <w:t>14.</w:t>
            </w:r>
            <w:r w:rsidR="0085284B">
              <w:rPr>
                <w:b w:val="0"/>
                <w:noProof/>
              </w:rPr>
              <w:t>5</w:t>
            </w:r>
            <w:r w:rsidRPr="00B02DB0">
              <w:tab/>
              <w:t>Australian Government supplementary and income support arrangements</w:t>
            </w:r>
          </w:p>
        </w:tc>
      </w:tr>
      <w:tr w:rsidR="00B02DB0" w:rsidRPr="00B02DB0" w:rsidTr="0012485D">
        <w:trPr>
          <w:cantSplit/>
        </w:trPr>
        <w:tc>
          <w:tcPr>
            <w:tcW w:w="8771" w:type="dxa"/>
            <w:tcBorders>
              <w:top w:val="nil"/>
              <w:left w:val="nil"/>
              <w:bottom w:val="nil"/>
              <w:right w:val="nil"/>
            </w:tcBorders>
            <w:shd w:val="clear" w:color="auto" w:fill="F2F2F2"/>
          </w:tcPr>
          <w:p w:rsidR="005141DE" w:rsidRPr="00B02DB0" w:rsidRDefault="005141DE" w:rsidP="005141DE">
            <w:pPr>
              <w:pStyle w:val="Box"/>
            </w:pPr>
            <w:r w:rsidRPr="00B02DB0">
              <w:t>Under the NDA, provision of income support for people with disability, their families and carers is a key responsibility of the Australian Government (see ‘roles and responsibilities’ section). Outlays on income support payments and allowances to people with disability and their carers in 2013</w:t>
            </w:r>
            <w:r w:rsidR="00B84AF2">
              <w:noBreakHyphen/>
            </w:r>
            <w:r w:rsidRPr="00B02DB0">
              <w:t>14 (on an accrual basis) amounted to $</w:t>
            </w:r>
            <w:r w:rsidR="00671FE4" w:rsidRPr="00AE3578">
              <w:t>23.2</w:t>
            </w:r>
            <w:r w:rsidR="0019455A" w:rsidRPr="00AE3578">
              <w:t xml:space="preserve"> </w:t>
            </w:r>
            <w:r w:rsidRPr="00B02DB0">
              <w:t>billion, comprising $</w:t>
            </w:r>
            <w:r w:rsidR="00671FE4" w:rsidRPr="00AE3578">
              <w:t>16.1</w:t>
            </w:r>
            <w:r w:rsidRPr="00AE3578">
              <w:t xml:space="preserve"> </w:t>
            </w:r>
            <w:r w:rsidRPr="00B02DB0">
              <w:t>billion for the Disability Support Pension, $</w:t>
            </w:r>
            <w:r w:rsidR="00671FE4" w:rsidRPr="00AE3578">
              <w:t>4.2</w:t>
            </w:r>
            <w:r w:rsidRPr="00AE3578">
              <w:t xml:space="preserve"> </w:t>
            </w:r>
            <w:r w:rsidRPr="00B02DB0">
              <w:t>billion for the Carer Payment, $</w:t>
            </w:r>
            <w:r w:rsidR="00671FE4" w:rsidRPr="00AE3578">
              <w:t>2.0</w:t>
            </w:r>
            <w:r w:rsidRPr="00AE3578">
              <w:t xml:space="preserve"> </w:t>
            </w:r>
            <w:r w:rsidRPr="00B02DB0">
              <w:t>billion for the Carer Allowance, $</w:t>
            </w:r>
            <w:r w:rsidR="00671FE4" w:rsidRPr="00AE3578">
              <w:t>106.2</w:t>
            </w:r>
            <w:r w:rsidRPr="00AE3578">
              <w:t xml:space="preserve"> </w:t>
            </w:r>
            <w:r w:rsidRPr="00B02DB0">
              <w:t>million for the Sickness Allowance, $</w:t>
            </w:r>
            <w:r w:rsidR="00671FE4" w:rsidRPr="00AE3578">
              <w:t>155.6</w:t>
            </w:r>
            <w:r w:rsidRPr="00AE3578">
              <w:t xml:space="preserve"> </w:t>
            </w:r>
            <w:r w:rsidRPr="00B02DB0">
              <w:t>million for the Mobility Allowance, $</w:t>
            </w:r>
            <w:r w:rsidR="00671FE4" w:rsidRPr="00AE3578">
              <w:t>169.0</w:t>
            </w:r>
            <w:r w:rsidRPr="00AE3578">
              <w:t xml:space="preserve"> </w:t>
            </w:r>
            <w:r w:rsidRPr="00B02DB0">
              <w:t>million for the Child Disability Assistance Payment and $</w:t>
            </w:r>
            <w:r w:rsidR="00671FE4" w:rsidRPr="00AE3578">
              <w:t>532.7</w:t>
            </w:r>
            <w:r w:rsidRPr="00AE3578">
              <w:t xml:space="preserve"> </w:t>
            </w:r>
            <w:r w:rsidRPr="00B02DB0">
              <w:t>million for the Carer Supplement (Australian Government unpublished).</w:t>
            </w:r>
          </w:p>
          <w:p w:rsidR="005141DE" w:rsidRPr="00B02DB0" w:rsidRDefault="005141DE" w:rsidP="00AE3578">
            <w:pPr>
              <w:pStyle w:val="Box"/>
            </w:pPr>
            <w:r w:rsidRPr="00B02DB0">
              <w:t>At 30</w:t>
            </w:r>
            <w:r w:rsidR="00B84AF2">
              <w:t> </w:t>
            </w:r>
            <w:r w:rsidRPr="00B02DB0">
              <w:t xml:space="preserve">June 2014, there were around </w:t>
            </w:r>
            <w:r w:rsidR="00261A53" w:rsidRPr="00B02DB0">
              <w:t>830</w:t>
            </w:r>
            <w:r w:rsidR="00AE3578">
              <w:t> </w:t>
            </w:r>
            <w:r w:rsidR="00261A53" w:rsidRPr="00B02DB0">
              <w:t>500</w:t>
            </w:r>
            <w:r w:rsidRPr="00AE3578">
              <w:t xml:space="preserve"> </w:t>
            </w:r>
            <w:r w:rsidRPr="00B02DB0">
              <w:t xml:space="preserve">recipients of the Disability Support Pension, </w:t>
            </w:r>
            <w:r w:rsidR="00261A53" w:rsidRPr="00AE3578">
              <w:t>243</w:t>
            </w:r>
            <w:r w:rsidR="00671FE4" w:rsidRPr="00AE3578">
              <w:t> </w:t>
            </w:r>
            <w:r w:rsidR="00261A53" w:rsidRPr="00AE3578">
              <w:t>900</w:t>
            </w:r>
            <w:r w:rsidR="00671FE4" w:rsidRPr="00AE3578">
              <w:t xml:space="preserve"> </w:t>
            </w:r>
            <w:r w:rsidRPr="00B02DB0">
              <w:t xml:space="preserve">recipients of the Carer Payment, </w:t>
            </w:r>
            <w:r w:rsidR="00671FE4" w:rsidRPr="00AE3578">
              <w:t xml:space="preserve">613 100 </w:t>
            </w:r>
            <w:r w:rsidRPr="00B02DB0">
              <w:t xml:space="preserve">recipients of the Carer Allowance (including Health Care Card only recipients), </w:t>
            </w:r>
            <w:r w:rsidR="00671FE4" w:rsidRPr="00B02DB0">
              <w:t>63</w:t>
            </w:r>
            <w:r w:rsidR="00AE3578">
              <w:t> </w:t>
            </w:r>
            <w:r w:rsidR="00671FE4" w:rsidRPr="00B02DB0">
              <w:t xml:space="preserve">700 </w:t>
            </w:r>
            <w:r w:rsidRPr="00B02DB0">
              <w:t xml:space="preserve">recipients of the Mobility Allowance, </w:t>
            </w:r>
            <w:r w:rsidR="00776064" w:rsidRPr="00AE3578">
              <w:t>7</w:t>
            </w:r>
            <w:r w:rsidR="00261A53" w:rsidRPr="00AE3578">
              <w:t>800</w:t>
            </w:r>
            <w:r w:rsidR="00671FE4" w:rsidRPr="00AE3578">
              <w:t xml:space="preserve"> </w:t>
            </w:r>
            <w:r w:rsidRPr="00B02DB0">
              <w:t xml:space="preserve">recipients of the Sickness Allowance, </w:t>
            </w:r>
            <w:r w:rsidR="00261A53" w:rsidRPr="00AE3578">
              <w:t>147 700</w:t>
            </w:r>
            <w:r w:rsidRPr="00B02DB0" w:rsidDel="00503D6E">
              <w:t xml:space="preserve"> </w:t>
            </w:r>
            <w:r w:rsidRPr="00B02DB0">
              <w:t xml:space="preserve">recipients of the Child Disability Assistance Payment and </w:t>
            </w:r>
            <w:r w:rsidR="00261A53" w:rsidRPr="00AE3578">
              <w:t>597 700</w:t>
            </w:r>
            <w:r w:rsidR="00671FE4" w:rsidRPr="00AE3578">
              <w:t xml:space="preserve"> </w:t>
            </w:r>
            <w:r w:rsidRPr="00B02DB0">
              <w:t>recipients of the Carer Supplement</w:t>
            </w:r>
            <w:r w:rsidR="00776064" w:rsidRPr="00B02DB0">
              <w:t>.</w:t>
            </w:r>
          </w:p>
        </w:tc>
      </w:tr>
      <w:tr w:rsidR="00B02DB0" w:rsidRPr="00B02DB0" w:rsidTr="0012485D">
        <w:trPr>
          <w:cantSplit/>
        </w:trPr>
        <w:tc>
          <w:tcPr>
            <w:tcW w:w="8771" w:type="dxa"/>
            <w:tcBorders>
              <w:top w:val="nil"/>
              <w:left w:val="nil"/>
              <w:bottom w:val="nil"/>
              <w:right w:val="nil"/>
            </w:tcBorders>
            <w:shd w:val="clear" w:color="auto" w:fill="F2F2F2"/>
          </w:tcPr>
          <w:p w:rsidR="005141DE" w:rsidRPr="00B02DB0" w:rsidRDefault="0012485D" w:rsidP="0012485D">
            <w:pPr>
              <w:pStyle w:val="BoxSource"/>
            </w:pPr>
            <w:r w:rsidRPr="00B02DB0">
              <w:rPr>
                <w:i/>
              </w:rPr>
              <w:t>Source</w:t>
            </w:r>
            <w:r w:rsidRPr="00B02DB0">
              <w:t>: Australian Government (unpublished); table</w:t>
            </w:r>
            <w:r w:rsidR="00AE3578">
              <w:t> </w:t>
            </w:r>
            <w:r w:rsidRPr="00B02DB0">
              <w:t>14A.1.</w:t>
            </w:r>
          </w:p>
        </w:tc>
      </w:tr>
      <w:tr w:rsidR="00B02DB0" w:rsidRPr="00B02DB0" w:rsidTr="0012485D">
        <w:trPr>
          <w:cantSplit/>
        </w:trPr>
        <w:tc>
          <w:tcPr>
            <w:tcW w:w="8771" w:type="dxa"/>
            <w:tcBorders>
              <w:top w:val="nil"/>
              <w:left w:val="nil"/>
              <w:bottom w:val="single" w:sz="6" w:space="0" w:color="78A22F"/>
              <w:right w:val="nil"/>
            </w:tcBorders>
            <w:shd w:val="clear" w:color="auto" w:fill="F2F2F2"/>
          </w:tcPr>
          <w:p w:rsidR="005141DE" w:rsidRPr="00B02DB0" w:rsidRDefault="005141DE">
            <w:pPr>
              <w:pStyle w:val="Box"/>
              <w:spacing w:before="0" w:line="120" w:lineRule="exact"/>
            </w:pPr>
          </w:p>
        </w:tc>
      </w:tr>
      <w:tr w:rsidR="00B02DB0" w:rsidRPr="00B02DB0" w:rsidTr="0012485D">
        <w:tc>
          <w:tcPr>
            <w:tcW w:w="8771" w:type="dxa"/>
            <w:tcBorders>
              <w:top w:val="single" w:sz="6" w:space="0" w:color="78A22F"/>
              <w:left w:val="nil"/>
              <w:bottom w:val="nil"/>
              <w:right w:val="nil"/>
            </w:tcBorders>
          </w:tcPr>
          <w:p w:rsidR="005141DE" w:rsidRPr="00B02DB0" w:rsidRDefault="005141DE" w:rsidP="0012485D">
            <w:pPr>
              <w:pStyle w:val="BoxSpaceBelow"/>
            </w:pPr>
          </w:p>
        </w:tc>
      </w:tr>
    </w:tbl>
    <w:p w:rsidR="001F39F2" w:rsidRPr="00612EA6" w:rsidRDefault="001F39F2" w:rsidP="00585E2C">
      <w:pPr>
        <w:pStyle w:val="Heading3"/>
      </w:pPr>
      <w:r w:rsidRPr="00BD39EB">
        <w:lastRenderedPageBreak/>
        <w:t>Roles and responsibilities</w:t>
      </w:r>
    </w:p>
    <w:p w:rsidR="001F39F2" w:rsidRPr="00612EA6" w:rsidRDefault="001F39F2" w:rsidP="00585E2C">
      <w:pPr>
        <w:pStyle w:val="Heading4"/>
      </w:pPr>
      <w:r w:rsidRPr="00612EA6">
        <w:t>Australian, State and Territory governments</w:t>
      </w:r>
    </w:p>
    <w:p w:rsidR="001F39F2" w:rsidRPr="00EF28AC" w:rsidRDefault="001F39F2" w:rsidP="00585E2C">
      <w:pPr>
        <w:pStyle w:val="BodyText"/>
      </w:pPr>
      <w:r w:rsidRPr="00EF28AC">
        <w:t>The NDA defines the roles and responsibilities of the Australian, State and Territory governments in the provision of services and supports to people wi</w:t>
      </w:r>
      <w:r w:rsidR="00466280">
        <w:t>th disability and their carers.</w:t>
      </w:r>
    </w:p>
    <w:p w:rsidR="001F39F2" w:rsidRPr="00612EA6" w:rsidRDefault="001F39F2" w:rsidP="00585E2C">
      <w:pPr>
        <w:pStyle w:val="BodyText"/>
      </w:pPr>
      <w:r w:rsidRPr="00612EA6">
        <w:t>The Australian Government is responsible for:</w:t>
      </w:r>
    </w:p>
    <w:p w:rsidR="001F39F2" w:rsidRPr="00612EA6" w:rsidRDefault="001F39F2" w:rsidP="00585E2C">
      <w:pPr>
        <w:pStyle w:val="ListBullet"/>
      </w:pPr>
      <w:r w:rsidRPr="00612EA6">
        <w:t>provision of employment services for people with disability (which includes regulation, service quality and assurance, assessment, policy development</w:t>
      </w:r>
      <w:r w:rsidR="00D1603E" w:rsidRPr="00612EA6">
        <w:t>,</w:t>
      </w:r>
      <w:r w:rsidRPr="00612EA6">
        <w:t xml:space="preserve"> service planning, and workforce and sector development) in a manner that most effectively meets the needs of people with disability consistent with local needs and priorities</w:t>
      </w:r>
    </w:p>
    <w:p w:rsidR="001F39F2" w:rsidRPr="00612EA6" w:rsidRDefault="001F39F2" w:rsidP="00585E2C">
      <w:pPr>
        <w:pStyle w:val="ListBullet"/>
      </w:pPr>
      <w:r w:rsidRPr="00612EA6">
        <w:t>provision of income support targeted to the needs of people with disability, their families and carers</w:t>
      </w:r>
    </w:p>
    <w:p w:rsidR="001F39F2" w:rsidRPr="00612EA6" w:rsidRDefault="001F39F2" w:rsidP="00585E2C">
      <w:pPr>
        <w:pStyle w:val="ListBullet"/>
      </w:pPr>
      <w:r w:rsidRPr="00612EA6">
        <w:t>provision of funds to states and territories to contribute to the achievement of the NDA objective</w:t>
      </w:r>
      <w:r w:rsidR="008A6C71" w:rsidRPr="00612EA6">
        <w:t>s</w:t>
      </w:r>
      <w:r w:rsidRPr="00612EA6">
        <w:t xml:space="preserve"> and outcomes</w:t>
      </w:r>
    </w:p>
    <w:p w:rsidR="001F39F2" w:rsidRPr="00612EA6" w:rsidRDefault="001F39F2" w:rsidP="00585E2C">
      <w:pPr>
        <w:pStyle w:val="ListBullet"/>
      </w:pPr>
      <w:r w:rsidRPr="00612EA6">
        <w:t>where appropriate, investing in initiatives to support nationally agreed policy priorities, in consultation with State and Territory governments</w:t>
      </w:r>
    </w:p>
    <w:p w:rsidR="001F39F2" w:rsidRPr="00612EA6" w:rsidRDefault="001F39F2" w:rsidP="00585E2C">
      <w:pPr>
        <w:pStyle w:val="ListBullet"/>
      </w:pPr>
      <w:proofErr w:type="gramStart"/>
      <w:r w:rsidRPr="00612EA6">
        <w:t>ensuring</w:t>
      </w:r>
      <w:proofErr w:type="gramEnd"/>
      <w:r w:rsidRPr="00612EA6">
        <w:t xml:space="preserve"> that Commonwealth legislation and regulations are aligned with the national policy reform directions and the </w:t>
      </w:r>
      <w:r w:rsidRPr="00612EA6">
        <w:rPr>
          <w:i/>
        </w:rPr>
        <w:t>United Nations Convention on the Rights of Persons with Disabilities</w:t>
      </w:r>
      <w:r w:rsidRPr="00612EA6">
        <w:t xml:space="preserve">. </w:t>
      </w:r>
    </w:p>
    <w:p w:rsidR="001F39F2" w:rsidRPr="00FD76C0" w:rsidRDefault="001F39F2" w:rsidP="00585E2C">
      <w:pPr>
        <w:pStyle w:val="BodyText"/>
      </w:pPr>
      <w:r w:rsidRPr="00FD76C0">
        <w:t>State and Territory governments are responsible for:</w:t>
      </w:r>
    </w:p>
    <w:p w:rsidR="001F39F2" w:rsidRPr="00FD76C0" w:rsidRDefault="001F39F2" w:rsidP="00585E2C">
      <w:pPr>
        <w:pStyle w:val="ListBullet"/>
      </w:pPr>
      <w:r w:rsidRPr="00FD76C0">
        <w:t xml:space="preserve">the provision of specialist disability services, except disability employment services </w:t>
      </w:r>
    </w:p>
    <w:p w:rsidR="001F39F2" w:rsidRPr="00A202EC" w:rsidRDefault="001F39F2" w:rsidP="00585E2C">
      <w:pPr>
        <w:pStyle w:val="ListBullet"/>
      </w:pPr>
      <w:r w:rsidRPr="00A202EC">
        <w:t>ensuring that State and Territory legislation and regulations are aligned with the national policy and reform directions</w:t>
      </w:r>
    </w:p>
    <w:p w:rsidR="001F39F2" w:rsidRPr="00A202EC" w:rsidRDefault="001F39F2" w:rsidP="00585E2C">
      <w:pPr>
        <w:pStyle w:val="ListBullet"/>
      </w:pPr>
      <w:proofErr w:type="gramStart"/>
      <w:r w:rsidRPr="00A202EC">
        <w:t>where</w:t>
      </w:r>
      <w:proofErr w:type="gramEnd"/>
      <w:r w:rsidRPr="00A202EC">
        <w:t xml:space="preserve"> appropriate, investing in initiatives to support nationally agreed policy priorities, in consultation with the Australian Government.</w:t>
      </w:r>
    </w:p>
    <w:p w:rsidR="001F39F2" w:rsidRPr="00A202EC" w:rsidRDefault="001F39F2" w:rsidP="00585E2C">
      <w:pPr>
        <w:pStyle w:val="BodyText"/>
      </w:pPr>
      <w:r w:rsidRPr="00A202EC">
        <w:t>Australian, State and Territory governments are jointly responsible for:</w:t>
      </w:r>
    </w:p>
    <w:p w:rsidR="001F39F2" w:rsidRPr="00A202EC" w:rsidRDefault="001F39F2" w:rsidP="00585E2C">
      <w:pPr>
        <w:pStyle w:val="ListBullet"/>
      </w:pPr>
      <w:r w:rsidRPr="00A202EC">
        <w:t>development of national policy and reform directions to meet the agreed objectives and outcomes of the NDA</w:t>
      </w:r>
    </w:p>
    <w:p w:rsidR="001F39F2" w:rsidRPr="00A202EC" w:rsidRDefault="001F39F2" w:rsidP="00585E2C">
      <w:pPr>
        <w:pStyle w:val="ListBullet"/>
      </w:pPr>
      <w:r w:rsidRPr="00A202EC">
        <w:t>funding and pursuing research that provides an evidence base for national policy and reform directions</w:t>
      </w:r>
    </w:p>
    <w:p w:rsidR="001F39F2" w:rsidRPr="00A202EC" w:rsidRDefault="001F39F2" w:rsidP="00585E2C">
      <w:pPr>
        <w:pStyle w:val="ListBullet"/>
      </w:pPr>
      <w:r w:rsidRPr="00A202EC">
        <w:t xml:space="preserve">developing and implementing reforms to improve outcomes for </w:t>
      </w:r>
      <w:r w:rsidR="00904E97" w:rsidRPr="00A202EC">
        <w:t xml:space="preserve">Aboriginal and Torres Strait </w:t>
      </w:r>
      <w:r w:rsidR="00C21DBC">
        <w:t>Islander people</w:t>
      </w:r>
      <w:r w:rsidRPr="00A202EC">
        <w:t xml:space="preserve"> with disability</w:t>
      </w:r>
    </w:p>
    <w:p w:rsidR="001F39F2" w:rsidRPr="00A202EC" w:rsidRDefault="001F39F2" w:rsidP="00585E2C">
      <w:pPr>
        <w:pStyle w:val="ListBullet"/>
      </w:pPr>
      <w:proofErr w:type="gramStart"/>
      <w:r w:rsidRPr="00A202EC">
        <w:t>the</w:t>
      </w:r>
      <w:proofErr w:type="gramEnd"/>
      <w:r w:rsidRPr="00A202EC">
        <w:t xml:space="preserve"> provision of data, including a commitment to providing data for the DS NMDS and a commitment to the improvement of data</w:t>
      </w:r>
      <w:r w:rsidR="00920E50" w:rsidRPr="00A202EC">
        <w:t xml:space="preserve"> quality</w:t>
      </w:r>
      <w:r w:rsidRPr="00A202EC">
        <w:t>.</w:t>
      </w:r>
    </w:p>
    <w:p w:rsidR="001F39F2" w:rsidRPr="00AE3578" w:rsidRDefault="001F39F2" w:rsidP="00585E2C">
      <w:pPr>
        <w:pStyle w:val="Heading3"/>
      </w:pPr>
      <w:r w:rsidRPr="00485255">
        <w:lastRenderedPageBreak/>
        <w:t>Funding</w:t>
      </w:r>
    </w:p>
    <w:p w:rsidR="001F39F2" w:rsidRPr="00485255" w:rsidRDefault="001F39F2" w:rsidP="00626A1F">
      <w:pPr>
        <w:pStyle w:val="BodyText"/>
        <w:tabs>
          <w:tab w:val="left" w:pos="2835"/>
        </w:tabs>
      </w:pPr>
      <w:r w:rsidRPr="009B2713">
        <w:t xml:space="preserve">Australian and State and Territory governments fund both government and </w:t>
      </w:r>
      <w:r w:rsidR="00A202EC" w:rsidRPr="009B2713">
        <w:br/>
      </w:r>
      <w:r w:rsidRPr="009B2713">
        <w:t>non</w:t>
      </w:r>
      <w:r w:rsidR="00B84AF2">
        <w:noBreakHyphen/>
      </w:r>
      <w:r w:rsidRPr="009B2713">
        <w:t>government providers of specialist disability services under the NDA</w:t>
      </w:r>
      <w:r w:rsidR="00F83D9E" w:rsidRPr="009B2713">
        <w:t xml:space="preserve"> including employment services</w:t>
      </w:r>
      <w:r w:rsidRPr="009B2713">
        <w:t>. Total government expenditure on these services was $</w:t>
      </w:r>
      <w:r w:rsidR="00F12EAE" w:rsidRPr="009B2713">
        <w:t>7.5 </w:t>
      </w:r>
      <w:r w:rsidRPr="009B2713">
        <w:t>billion in 201</w:t>
      </w:r>
      <w:r w:rsidR="00E65C8B" w:rsidRPr="009B2713">
        <w:t>3</w:t>
      </w:r>
      <w:r w:rsidR="00B84AF2">
        <w:noBreakHyphen/>
      </w:r>
      <w:r w:rsidRPr="009B2713">
        <w:t>1</w:t>
      </w:r>
      <w:r w:rsidR="00E65C8B" w:rsidRPr="009B2713">
        <w:t>4</w:t>
      </w:r>
      <w:r w:rsidR="003457C2" w:rsidRPr="009B2713">
        <w:t xml:space="preserve"> — a real increase of </w:t>
      </w:r>
      <w:r w:rsidR="00F12EAE" w:rsidRPr="009B2713">
        <w:t>4.1 </w:t>
      </w:r>
      <w:r w:rsidRPr="009B2713">
        <w:t>per cent on the expenditure in 20</w:t>
      </w:r>
      <w:r w:rsidR="00A26514" w:rsidRPr="009B2713">
        <w:t>1</w:t>
      </w:r>
      <w:r w:rsidR="00E65C8B" w:rsidRPr="009B2713">
        <w:t>2</w:t>
      </w:r>
      <w:r w:rsidR="00B84AF2">
        <w:noBreakHyphen/>
      </w:r>
      <w:r w:rsidR="00E65C8B" w:rsidRPr="009B2713">
        <w:t>13</w:t>
      </w:r>
      <w:r w:rsidR="00485255">
        <w:t xml:space="preserve"> </w:t>
      </w:r>
      <w:r w:rsidRPr="009B2713">
        <w:t>($</w:t>
      </w:r>
      <w:r w:rsidR="00D478A3">
        <w:t>7.2</w:t>
      </w:r>
      <w:r w:rsidR="00E65C8B" w:rsidRPr="009B2713" w:rsidDel="00E65C8B">
        <w:t xml:space="preserve"> </w:t>
      </w:r>
      <w:r w:rsidRPr="009B2713">
        <w:t>billion) (table</w:t>
      </w:r>
      <w:r w:rsidR="00AE3578">
        <w:t> </w:t>
      </w:r>
      <w:r w:rsidRPr="009B2713">
        <w:t>14A.</w:t>
      </w:r>
      <w:r w:rsidR="00683393">
        <w:t>6</w:t>
      </w:r>
      <w:r w:rsidRPr="009B2713">
        <w:t>). State and Territory governments funded the majority of this expenditure in 201</w:t>
      </w:r>
      <w:r w:rsidR="00E65C8B" w:rsidRPr="009B2713">
        <w:t>3</w:t>
      </w:r>
      <w:r w:rsidR="00B84AF2">
        <w:noBreakHyphen/>
      </w:r>
      <w:r w:rsidR="00E65C8B" w:rsidRPr="009B2713">
        <w:t>14</w:t>
      </w:r>
      <w:r w:rsidR="0094274D">
        <w:t xml:space="preserve"> </w:t>
      </w:r>
      <w:r w:rsidRPr="009B2713">
        <w:t>(</w:t>
      </w:r>
      <w:r w:rsidR="0094274D" w:rsidRPr="004810BF">
        <w:t xml:space="preserve">70.2 </w:t>
      </w:r>
      <w:r w:rsidRPr="009B2713">
        <w:t>per cent, or $</w:t>
      </w:r>
      <w:r w:rsidR="00D478A3" w:rsidRPr="009B2713">
        <w:t>5.3</w:t>
      </w:r>
      <w:r w:rsidR="00E65C8B" w:rsidRPr="009B2713" w:rsidDel="00E65C8B">
        <w:t xml:space="preserve"> </w:t>
      </w:r>
      <w:r w:rsidRPr="009B2713">
        <w:t>billion). The Australian Government funded the remainder (</w:t>
      </w:r>
      <w:r w:rsidR="0094274D" w:rsidRPr="009B2713">
        <w:t>29.8</w:t>
      </w:r>
      <w:r w:rsidR="00E65C8B" w:rsidRPr="009B2713" w:rsidDel="00E65C8B">
        <w:t xml:space="preserve"> </w:t>
      </w:r>
      <w:r w:rsidRPr="009B2713">
        <w:t>per cent, or $</w:t>
      </w:r>
      <w:r w:rsidR="00D478A3" w:rsidRPr="009B2713">
        <w:t>2.2</w:t>
      </w:r>
      <w:r w:rsidR="00E65C8B" w:rsidRPr="009B2713" w:rsidDel="00E65C8B">
        <w:t xml:space="preserve"> </w:t>
      </w:r>
      <w:r w:rsidRPr="009B2713">
        <w:t>billion), which included $</w:t>
      </w:r>
      <w:r w:rsidR="00D478A3" w:rsidRPr="009B2713">
        <w:t>1.3</w:t>
      </w:r>
      <w:r w:rsidR="00E65C8B" w:rsidRPr="009B2713" w:rsidDel="00E65C8B">
        <w:t xml:space="preserve"> </w:t>
      </w:r>
      <w:r w:rsidRPr="009B2713">
        <w:t xml:space="preserve">billion in transfer payments to states and territories </w:t>
      </w:r>
      <w:r w:rsidR="00D34CCC" w:rsidRPr="009B2713">
        <w:t>and $</w:t>
      </w:r>
      <w:r w:rsidR="00C715D2" w:rsidRPr="009B2713">
        <w:t>0.9</w:t>
      </w:r>
      <w:r w:rsidR="00E65C8B" w:rsidRPr="009B2713" w:rsidDel="00E65C8B">
        <w:t xml:space="preserve"> </w:t>
      </w:r>
      <w:r w:rsidR="00D34CCC" w:rsidRPr="009B2713">
        <w:t>billion for disability employment serv</w:t>
      </w:r>
      <w:r w:rsidR="009B2713">
        <w:t>ic</w:t>
      </w:r>
      <w:r w:rsidR="00D34CCC" w:rsidRPr="009B2713">
        <w:t xml:space="preserve">es and other disability services </w:t>
      </w:r>
      <w:r w:rsidRPr="009B2713">
        <w:t>(tables</w:t>
      </w:r>
      <w:r w:rsidR="00AE3578">
        <w:t> </w:t>
      </w:r>
      <w:r w:rsidRPr="009B2713">
        <w:t>14A.</w:t>
      </w:r>
      <w:r w:rsidR="00683393">
        <w:t>7</w:t>
      </w:r>
      <w:r w:rsidR="00683393" w:rsidRPr="009B2713">
        <w:t xml:space="preserve"> </w:t>
      </w:r>
      <w:r w:rsidRPr="009B2713">
        <w:t>and 14A.</w:t>
      </w:r>
      <w:r w:rsidR="00683393">
        <w:t>8</w:t>
      </w:r>
      <w:r w:rsidRPr="009B2713">
        <w:t>). Table</w:t>
      </w:r>
      <w:r w:rsidR="00AE3578">
        <w:t> </w:t>
      </w:r>
      <w:r w:rsidRPr="009B2713">
        <w:t>14A.</w:t>
      </w:r>
      <w:r w:rsidR="00683393">
        <w:t>9</w:t>
      </w:r>
      <w:r w:rsidR="00683393" w:rsidRPr="009B2713">
        <w:t xml:space="preserve"> </w:t>
      </w:r>
      <w:r w:rsidRPr="009B2713">
        <w:t>provides data on total government expenditure including and excluding payroll tax.</w:t>
      </w:r>
    </w:p>
    <w:p w:rsidR="001F39F2" w:rsidRDefault="001F39F2" w:rsidP="00626A1F">
      <w:pPr>
        <w:pStyle w:val="BodyText"/>
        <w:tabs>
          <w:tab w:val="left" w:pos="2835"/>
        </w:tabs>
      </w:pPr>
      <w:r w:rsidRPr="009B2713">
        <w:t xml:space="preserve">Direct government expenditure on specialist disability services </w:t>
      </w:r>
      <w:r w:rsidR="009D46E6" w:rsidRPr="009B2713">
        <w:t xml:space="preserve">under the NDA </w:t>
      </w:r>
      <w:r w:rsidRPr="009B2713">
        <w:t>(excluding expenditure on administration) was $</w:t>
      </w:r>
      <w:r w:rsidR="00512DAF">
        <w:t>7.0</w:t>
      </w:r>
      <w:r w:rsidR="00E65C8B" w:rsidRPr="009B2713" w:rsidDel="00E65C8B">
        <w:t xml:space="preserve"> </w:t>
      </w:r>
      <w:r w:rsidRPr="009B2713">
        <w:t xml:space="preserve">billion in </w:t>
      </w:r>
      <w:r w:rsidR="00CC4A67" w:rsidRPr="009B2713">
        <w:t>201</w:t>
      </w:r>
      <w:r w:rsidR="00E65C8B" w:rsidRPr="009B2713">
        <w:t>3</w:t>
      </w:r>
      <w:r w:rsidR="00B84AF2">
        <w:noBreakHyphen/>
      </w:r>
      <w:r w:rsidR="00E65C8B" w:rsidRPr="009B2713">
        <w:t>14</w:t>
      </w:r>
      <w:r w:rsidR="00184F38">
        <w:t xml:space="preserve"> </w:t>
      </w:r>
      <w:r w:rsidRPr="009B2713">
        <w:t>(table 14A.</w:t>
      </w:r>
      <w:r w:rsidR="00683393">
        <w:t>10</w:t>
      </w:r>
      <w:r w:rsidRPr="009B2713">
        <w:t>). The distribution of direct government expenditure varied across jurisdictions. The main areas of government expenditure were accommodation support services (</w:t>
      </w:r>
      <w:r w:rsidR="0092691B" w:rsidRPr="009B2713">
        <w:t>50.7</w:t>
      </w:r>
      <w:r w:rsidR="00E65C8B" w:rsidRPr="009B2713" w:rsidDel="00E65C8B">
        <w:t xml:space="preserve"> </w:t>
      </w:r>
      <w:r w:rsidRPr="009B2713">
        <w:t>per cent of total direct service expenditure) and community support (</w:t>
      </w:r>
      <w:r w:rsidR="0092691B" w:rsidRPr="009B2713">
        <w:t>18.1</w:t>
      </w:r>
      <w:r w:rsidR="00E65C8B" w:rsidRPr="009B2713" w:rsidDel="00E65C8B">
        <w:t xml:space="preserve"> </w:t>
      </w:r>
      <w:r w:rsidRPr="009B2713">
        <w:t>per cent of total direct service expenditure). Employment services were the main area of Australian Government expenditure in 201</w:t>
      </w:r>
      <w:r w:rsidR="002A0456" w:rsidRPr="009B2713">
        <w:t>3</w:t>
      </w:r>
      <w:r w:rsidR="00B84AF2">
        <w:noBreakHyphen/>
      </w:r>
      <w:r w:rsidRPr="009B2713">
        <w:t>1</w:t>
      </w:r>
      <w:r w:rsidR="002A0456" w:rsidRPr="009B2713">
        <w:t>4</w:t>
      </w:r>
      <w:r w:rsidRPr="009B2713">
        <w:t xml:space="preserve"> (</w:t>
      </w:r>
      <w:r w:rsidR="0092691B" w:rsidRPr="009B2713">
        <w:t>79.2</w:t>
      </w:r>
      <w:r w:rsidR="00E65C8B" w:rsidRPr="009B2713" w:rsidDel="00E65C8B">
        <w:t xml:space="preserve"> </w:t>
      </w:r>
      <w:r w:rsidRPr="009B2713">
        <w:t xml:space="preserve">per cent of Australian Government direct service expenditure) </w:t>
      </w:r>
      <w:r w:rsidR="00245596" w:rsidRPr="009B2713">
        <w:t>(figure 14.1)</w:t>
      </w:r>
      <w:r w:rsidRPr="009B2713">
        <w:t>.</w:t>
      </w:r>
    </w:p>
    <w:p w:rsidR="00466280" w:rsidRDefault="00466280" w:rsidP="00A54DB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6280" w:rsidTr="00730EA6">
        <w:tc>
          <w:tcPr>
            <w:tcW w:w="8771" w:type="dxa"/>
            <w:tcBorders>
              <w:top w:val="single" w:sz="6" w:space="0" w:color="78A22F"/>
              <w:left w:val="nil"/>
              <w:bottom w:val="nil"/>
              <w:right w:val="nil"/>
            </w:tcBorders>
            <w:shd w:val="clear" w:color="auto" w:fill="auto"/>
          </w:tcPr>
          <w:p w:rsidR="00466280" w:rsidRPr="00176D3F" w:rsidRDefault="00466280" w:rsidP="00A54DB5">
            <w:pPr>
              <w:pStyle w:val="FigureTitle"/>
            </w:pPr>
            <w:r w:rsidRPr="00784A05">
              <w:rPr>
                <w:b w:val="0"/>
              </w:rPr>
              <w:t xml:space="preserve">Figure </w:t>
            </w:r>
            <w:r w:rsidR="00321568">
              <w:rPr>
                <w:b w:val="0"/>
              </w:rPr>
              <w:t>14.</w:t>
            </w:r>
            <w:r w:rsidR="0085284B">
              <w:rPr>
                <w:b w:val="0"/>
                <w:noProof/>
              </w:rPr>
              <w:t>1</w:t>
            </w:r>
            <w:r>
              <w:tab/>
            </w:r>
            <w:r w:rsidRPr="001469BD">
              <w:t>Direct expenditure on NDA specialist disability services, by service type, 201</w:t>
            </w:r>
            <w:r w:rsidR="00B85CA7">
              <w:t>3</w:t>
            </w:r>
            <w:r w:rsidR="00B84AF2">
              <w:noBreakHyphen/>
            </w:r>
            <w:r w:rsidRPr="001469BD">
              <w:t>1</w:t>
            </w:r>
            <w:r w:rsidR="00B85CA7">
              <w:t>4</w:t>
            </w:r>
            <w:r w:rsidRPr="001469BD">
              <w:rPr>
                <w:rStyle w:val="NoteLabel"/>
                <w:b/>
              </w:rPr>
              <w:t>a, b, c</w:t>
            </w:r>
            <w:r w:rsidR="003F4E5B">
              <w:rPr>
                <w:rStyle w:val="NoteLabel"/>
                <w:b/>
              </w:rPr>
              <w:t>,</w:t>
            </w:r>
            <w:r w:rsidR="00BC3FDC">
              <w:rPr>
                <w:rStyle w:val="NoteLabel"/>
                <w:b/>
              </w:rPr>
              <w:t xml:space="preserve"> d,</w:t>
            </w:r>
            <w:r w:rsidR="003F4E5B">
              <w:rPr>
                <w:rStyle w:val="NoteLabel"/>
                <w:b/>
              </w:rPr>
              <w:t xml:space="preserve"> e</w:t>
            </w:r>
          </w:p>
        </w:tc>
      </w:tr>
      <w:tr w:rsidR="0046628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466280" w:rsidTr="00730EA6">
              <w:trPr>
                <w:jc w:val="center"/>
              </w:trPr>
              <w:tc>
                <w:tcPr>
                  <w:tcW w:w="5000" w:type="pct"/>
                  <w:tcBorders>
                    <w:top w:val="nil"/>
                    <w:bottom w:val="nil"/>
                  </w:tcBorders>
                </w:tcPr>
                <w:p w:rsidR="00466280" w:rsidRDefault="0072265E" w:rsidP="00A54DB5">
                  <w:pPr>
                    <w:pStyle w:val="BodyText"/>
                    <w:keepNext/>
                    <w:jc w:val="center"/>
                  </w:pPr>
                  <w:r>
                    <w:rPr>
                      <w:noProof/>
                    </w:rPr>
                    <w:drawing>
                      <wp:inline distT="0" distB="0" distL="0" distR="0">
                        <wp:extent cx="5238750" cy="2686050"/>
                        <wp:effectExtent l="0" t="0" r="0" b="0"/>
                        <wp:docPr id="1" name="Picture 1" descr="Figure 14.1 Direct expenditure on NDA specialist disability services, by service type,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466280" w:rsidRDefault="00466280" w:rsidP="00A54DB5">
            <w:pPr>
              <w:pStyle w:val="Figure"/>
            </w:pPr>
          </w:p>
        </w:tc>
      </w:tr>
      <w:tr w:rsidR="00466280" w:rsidRPr="003649E8" w:rsidTr="00730EA6">
        <w:tc>
          <w:tcPr>
            <w:tcW w:w="8771" w:type="dxa"/>
            <w:tcBorders>
              <w:top w:val="nil"/>
              <w:left w:val="nil"/>
              <w:bottom w:val="nil"/>
              <w:right w:val="nil"/>
            </w:tcBorders>
            <w:shd w:val="clear" w:color="auto" w:fill="auto"/>
          </w:tcPr>
          <w:p w:rsidR="00466280" w:rsidRPr="00BC3FDC" w:rsidRDefault="00466280" w:rsidP="00A54DB5">
            <w:pPr>
              <w:pStyle w:val="Note"/>
              <w:keepNext/>
            </w:pPr>
            <w:proofErr w:type="gramStart"/>
            <w:r w:rsidRPr="00BC3FDC">
              <w:rPr>
                <w:rStyle w:val="NoteLabel"/>
              </w:rPr>
              <w:t>a</w:t>
            </w:r>
            <w:proofErr w:type="gramEnd"/>
            <w:r w:rsidRPr="00BC3FDC">
              <w:t xml:space="preserve"> Other support services includes </w:t>
            </w:r>
            <w:r w:rsidR="00003E95" w:rsidRPr="00BC3FDC">
              <w:t>a</w:t>
            </w:r>
            <w:r w:rsidRPr="00BC3FDC">
              <w:t xml:space="preserve">dvocacy, information and print disability. </w:t>
            </w:r>
            <w:proofErr w:type="gramStart"/>
            <w:r w:rsidRPr="00BC3FDC">
              <w:rPr>
                <w:rStyle w:val="NoteLabel"/>
              </w:rPr>
              <w:t>b</w:t>
            </w:r>
            <w:proofErr w:type="gramEnd"/>
            <w:r w:rsidRPr="00BC3FDC">
              <w:t xml:space="preserve"> State and Territory expenditure includes a contribution from the Australian Government. </w:t>
            </w:r>
            <w:proofErr w:type="gramStart"/>
            <w:r w:rsidRPr="00BC3FDC">
              <w:rPr>
                <w:rStyle w:val="NoteLabel"/>
              </w:rPr>
              <w:t>c</w:t>
            </w:r>
            <w:proofErr w:type="gramEnd"/>
            <w:r w:rsidRPr="00BC3FDC">
              <w:t xml:space="preserve"> See table</w:t>
            </w:r>
            <w:r w:rsidR="00AE3578">
              <w:t> </w:t>
            </w:r>
            <w:r w:rsidRPr="00BC3FDC">
              <w:t>14A.</w:t>
            </w:r>
            <w:r w:rsidR="00683393" w:rsidRPr="00BC3FDC">
              <w:t xml:space="preserve">10 </w:t>
            </w:r>
            <w:r w:rsidRPr="00BC3FDC">
              <w:t xml:space="preserve">for detailed notes accompanying expenditure data. </w:t>
            </w:r>
            <w:proofErr w:type="gramStart"/>
            <w:r w:rsidRPr="00BC3FDC">
              <w:rPr>
                <w:rStyle w:val="NoteLabel"/>
              </w:rPr>
              <w:t>d</w:t>
            </w:r>
            <w:proofErr w:type="gramEnd"/>
            <w:r w:rsidRPr="00BC3FDC">
              <w:t xml:space="preserve"> See tables</w:t>
            </w:r>
            <w:r w:rsidR="00AE3578">
              <w:t> </w:t>
            </w:r>
            <w:r w:rsidRPr="00BC3FDC">
              <w:t>14A.</w:t>
            </w:r>
            <w:r w:rsidR="00683393" w:rsidRPr="00BC3FDC">
              <w:t xml:space="preserve">7 </w:t>
            </w:r>
            <w:r w:rsidRPr="00BC3FDC">
              <w:t>and 14A.</w:t>
            </w:r>
            <w:r w:rsidR="00683393" w:rsidRPr="00BC3FDC">
              <w:t xml:space="preserve">8 </w:t>
            </w:r>
            <w:r w:rsidRPr="00BC3FDC">
              <w:t xml:space="preserve">for expenditure by source of funding. </w:t>
            </w:r>
            <w:proofErr w:type="gramStart"/>
            <w:r w:rsidR="003F4E5B" w:rsidRPr="00BC3FDC">
              <w:rPr>
                <w:rStyle w:val="NoteLabel"/>
              </w:rPr>
              <w:t>e</w:t>
            </w:r>
            <w:proofErr w:type="gramEnd"/>
            <w:r w:rsidR="00BD1E94" w:rsidRPr="00BC3FDC">
              <w:t> </w:t>
            </w:r>
            <w:r w:rsidR="003F4E5B" w:rsidRPr="00BC3FDC">
              <w:t xml:space="preserve">Expenditure for NSW, </w:t>
            </w:r>
            <w:r w:rsidR="00AF5A59" w:rsidRPr="00BC3FDC">
              <w:t xml:space="preserve">Victoria, SA, </w:t>
            </w:r>
            <w:r w:rsidR="003F4E5B" w:rsidRPr="00BC3FDC">
              <w:t xml:space="preserve">Tasmania </w:t>
            </w:r>
            <w:r w:rsidR="00AF5A59" w:rsidRPr="00BC3FDC">
              <w:t xml:space="preserve">and the Australian Government </w:t>
            </w:r>
            <w:r w:rsidR="003F4E5B" w:rsidRPr="00BC3FDC">
              <w:t>for 2013</w:t>
            </w:r>
            <w:r w:rsidR="00B84AF2">
              <w:noBreakHyphen/>
            </w:r>
            <w:r w:rsidR="003F4E5B" w:rsidRPr="00BC3FDC">
              <w:t>14 are affected by the introduction of the National Disability Insurance Scheme (NDIS). For NSW, Victoria and Tasmania 2013</w:t>
            </w:r>
            <w:r w:rsidR="00B84AF2">
              <w:noBreakHyphen/>
            </w:r>
            <w:r w:rsidR="003F4E5B" w:rsidRPr="00BC3FDC">
              <w:t xml:space="preserve">14 total government expenditure includes </w:t>
            </w:r>
            <w:r w:rsidR="00B84AF2">
              <w:t>‘</w:t>
            </w:r>
            <w:r w:rsidR="003F4E5B" w:rsidRPr="00BC3FDC">
              <w:t>in</w:t>
            </w:r>
            <w:r w:rsidR="00B84AF2">
              <w:noBreakHyphen/>
            </w:r>
            <w:r w:rsidR="003F4E5B" w:rsidRPr="00BC3FDC">
              <w:t>kind</w:t>
            </w:r>
            <w:r w:rsidR="00B84AF2">
              <w:t>’</w:t>
            </w:r>
            <w:r w:rsidR="003F4E5B" w:rsidRPr="00BC3FDC">
              <w:t xml:space="preserve"> funding to the National Disability Insurance Agency (NDIA), but excludes </w:t>
            </w:r>
            <w:r w:rsidR="00B84AF2">
              <w:t>‘</w:t>
            </w:r>
            <w:r w:rsidR="003F4E5B" w:rsidRPr="00BC3FDC">
              <w:t>cash</w:t>
            </w:r>
            <w:r w:rsidR="00B84AF2">
              <w:t>’</w:t>
            </w:r>
            <w:r w:rsidR="003F4E5B" w:rsidRPr="00BC3FDC">
              <w:t xml:space="preserve"> contributions. </w:t>
            </w:r>
            <w:r w:rsidR="00AE560C" w:rsidRPr="00BC3FDC">
              <w:t xml:space="preserve">For Victoria, total government expenditure also includes </w:t>
            </w:r>
            <w:r w:rsidR="00B84AF2">
              <w:t>‘</w:t>
            </w:r>
            <w:r w:rsidR="00AE560C" w:rsidRPr="00BC3FDC">
              <w:t xml:space="preserve">cash' contributions. </w:t>
            </w:r>
            <w:r w:rsidR="003F4E5B" w:rsidRPr="00BC3FDC">
              <w:t>Total government expenditure for SA excludes 'cash</w:t>
            </w:r>
            <w:r w:rsidR="00B84AF2">
              <w:t>’</w:t>
            </w:r>
            <w:r w:rsidR="003F4E5B" w:rsidRPr="00BC3FDC">
              <w:t xml:space="preserve"> contributions to the NDIA ($2.</w:t>
            </w:r>
            <w:r w:rsidR="00BD1E94" w:rsidRPr="00BC3FDC">
              <w:t>6</w:t>
            </w:r>
            <w:r w:rsidR="001D0784" w:rsidRPr="00BC3FDC">
              <w:t> </w:t>
            </w:r>
            <w:r w:rsidR="003F4E5B" w:rsidRPr="00BC3FDC">
              <w:t xml:space="preserve">million), but includes </w:t>
            </w:r>
            <w:r w:rsidR="00AF5A59" w:rsidRPr="00BC3FDC">
              <w:t>‘</w:t>
            </w:r>
            <w:r w:rsidR="003F4E5B" w:rsidRPr="00BC3FDC">
              <w:t>in</w:t>
            </w:r>
            <w:r w:rsidR="00B84AF2">
              <w:noBreakHyphen/>
            </w:r>
            <w:r w:rsidR="003F4E5B" w:rsidRPr="00BC3FDC">
              <w:t>kind</w:t>
            </w:r>
            <w:r w:rsidR="00AF5A59" w:rsidRPr="00BC3FDC">
              <w:t>’</w:t>
            </w:r>
            <w:r w:rsidR="003F4E5B" w:rsidRPr="00BC3FDC">
              <w:t xml:space="preserve">. For SA, expenditure </w:t>
            </w:r>
            <w:r w:rsidR="001A7BB8" w:rsidRPr="00BC3FDC">
              <w:t>excludes</w:t>
            </w:r>
            <w:r w:rsidR="003F4E5B" w:rsidRPr="00BC3FDC">
              <w:t xml:space="preserve"> revenue received from NDIS trial ($485</w:t>
            </w:r>
            <w:r w:rsidR="00F65A76" w:rsidRPr="00BC3FDC">
              <w:t> 000)</w:t>
            </w:r>
            <w:r w:rsidR="003F4E5B" w:rsidRPr="00BC3FDC">
              <w:t xml:space="preserve"> and grant recoveries received in relation to transitioned clients ($672</w:t>
            </w:r>
            <w:r w:rsidR="00F65A76" w:rsidRPr="00BC3FDC">
              <w:t> 000</w:t>
            </w:r>
            <w:r w:rsidR="003F4E5B" w:rsidRPr="00BC3FDC">
              <w:t>).</w:t>
            </w:r>
            <w:r w:rsidR="00AF5A59" w:rsidRPr="00BC3FDC">
              <w:t xml:space="preserve"> Australian Government expenditure excludes both ‘cash’ and </w:t>
            </w:r>
            <w:r w:rsidR="00B84AF2">
              <w:t>‘</w:t>
            </w:r>
            <w:r w:rsidR="00AF5A59" w:rsidRPr="00BC3FDC">
              <w:t>in</w:t>
            </w:r>
            <w:r w:rsidR="00B84AF2">
              <w:noBreakHyphen/>
            </w:r>
            <w:r w:rsidR="00AF5A59" w:rsidRPr="00BC3FDC">
              <w:t>kind</w:t>
            </w:r>
            <w:r w:rsidR="00B84AF2">
              <w:t>’</w:t>
            </w:r>
            <w:r w:rsidR="00AF5A59" w:rsidRPr="00BC3FDC">
              <w:t xml:space="preserve"> funding to the NDIA.</w:t>
            </w:r>
          </w:p>
        </w:tc>
      </w:tr>
      <w:tr w:rsidR="00466280" w:rsidRPr="003649E8" w:rsidTr="00730EA6">
        <w:tc>
          <w:tcPr>
            <w:tcW w:w="8771" w:type="dxa"/>
            <w:tcBorders>
              <w:top w:val="nil"/>
              <w:left w:val="nil"/>
              <w:bottom w:val="nil"/>
              <w:right w:val="nil"/>
            </w:tcBorders>
            <w:shd w:val="clear" w:color="auto" w:fill="auto"/>
          </w:tcPr>
          <w:p w:rsidR="00466280" w:rsidRPr="003649E8" w:rsidRDefault="00894BE1" w:rsidP="00A54DB5">
            <w:pPr>
              <w:pStyle w:val="Source"/>
              <w:keepNext/>
            </w:pPr>
            <w:r>
              <w:rPr>
                <w:i/>
              </w:rPr>
              <w:t>S</w:t>
            </w:r>
            <w:r w:rsidR="00466280" w:rsidRPr="003649E8">
              <w:rPr>
                <w:i/>
              </w:rPr>
              <w:t>ource</w:t>
            </w:r>
            <w:r w:rsidR="00466280" w:rsidRPr="003649E8">
              <w:t>: Australian, State and Territory governments (unpublished); table</w:t>
            </w:r>
            <w:r w:rsidR="00AE3578">
              <w:t> </w:t>
            </w:r>
            <w:r w:rsidR="00466280" w:rsidRPr="003649E8">
              <w:t>14A.</w:t>
            </w:r>
            <w:r w:rsidR="00604140">
              <w:t>11</w:t>
            </w:r>
            <w:r w:rsidR="0027235C">
              <w:t>.</w:t>
            </w:r>
          </w:p>
        </w:tc>
      </w:tr>
      <w:tr w:rsidR="00466280" w:rsidTr="00730EA6">
        <w:tc>
          <w:tcPr>
            <w:tcW w:w="8771" w:type="dxa"/>
            <w:tcBorders>
              <w:top w:val="nil"/>
              <w:left w:val="nil"/>
              <w:bottom w:val="single" w:sz="6" w:space="0" w:color="78A22F"/>
              <w:right w:val="nil"/>
            </w:tcBorders>
            <w:shd w:val="clear" w:color="auto" w:fill="auto"/>
          </w:tcPr>
          <w:p w:rsidR="00466280" w:rsidRDefault="00466280" w:rsidP="00A54DB5">
            <w:pPr>
              <w:pStyle w:val="Figurespace"/>
            </w:pPr>
          </w:p>
        </w:tc>
      </w:tr>
      <w:tr w:rsidR="00466280" w:rsidRPr="000863A5" w:rsidTr="00730EA6">
        <w:tc>
          <w:tcPr>
            <w:tcW w:w="8771" w:type="dxa"/>
            <w:tcBorders>
              <w:top w:val="single" w:sz="6" w:space="0" w:color="78A22F"/>
              <w:left w:val="nil"/>
              <w:bottom w:val="nil"/>
              <w:right w:val="nil"/>
            </w:tcBorders>
          </w:tcPr>
          <w:p w:rsidR="00466280" w:rsidRPr="00626D32" w:rsidRDefault="00466280" w:rsidP="00730EA6">
            <w:pPr>
              <w:pStyle w:val="BoxSpaceBelow"/>
            </w:pPr>
          </w:p>
        </w:tc>
      </w:tr>
    </w:tbl>
    <w:p w:rsidR="001F39F2" w:rsidRPr="00FD76C0" w:rsidRDefault="001F39F2" w:rsidP="00585E2C">
      <w:pPr>
        <w:pStyle w:val="Heading3"/>
      </w:pPr>
      <w:bookmarkStart w:id="5" w:name="OLE_LINK1"/>
      <w:r w:rsidRPr="00FD76C0">
        <w:t xml:space="preserve">Size and scope </w:t>
      </w:r>
    </w:p>
    <w:p w:rsidR="001F39F2" w:rsidRPr="009B2713" w:rsidRDefault="001F39F2" w:rsidP="00585E2C">
      <w:pPr>
        <w:pStyle w:val="Heading4"/>
      </w:pPr>
      <w:r w:rsidRPr="009B2713">
        <w:t>Disability prevalence</w:t>
      </w:r>
    </w:p>
    <w:p w:rsidR="001F39F2" w:rsidRPr="009B2713" w:rsidRDefault="001F39F2" w:rsidP="00626A1F">
      <w:pPr>
        <w:pStyle w:val="BodyText"/>
      </w:pPr>
      <w:r w:rsidRPr="009B2713">
        <w:t>The A</w:t>
      </w:r>
      <w:r w:rsidR="0086127D">
        <w:t xml:space="preserve">ustralian </w:t>
      </w:r>
      <w:r w:rsidR="0086127D" w:rsidRPr="009B2713">
        <w:t>B</w:t>
      </w:r>
      <w:r w:rsidR="0086127D">
        <w:t xml:space="preserve">ureau of </w:t>
      </w:r>
      <w:r w:rsidRPr="009B2713">
        <w:t>S</w:t>
      </w:r>
      <w:r w:rsidR="0086127D">
        <w:t>tatistics (ABS)</w:t>
      </w:r>
      <w:r w:rsidRPr="009B2713">
        <w:t xml:space="preserve"> estimates that </w:t>
      </w:r>
      <w:r w:rsidR="00361EB7" w:rsidRPr="009B2713">
        <w:t xml:space="preserve">4.2 </w:t>
      </w:r>
      <w:r w:rsidR="00361EB7" w:rsidRPr="003F2D49">
        <w:t>million Australians, or 18.5 per cent of the population had a disability</w:t>
      </w:r>
      <w:r w:rsidRPr="003F2D49">
        <w:t xml:space="preserve"> in 20</w:t>
      </w:r>
      <w:r w:rsidR="00361EB7" w:rsidRPr="003F2D49">
        <w:t>12</w:t>
      </w:r>
      <w:r w:rsidRPr="003F2D49">
        <w:t xml:space="preserve"> (ABS 201</w:t>
      </w:r>
      <w:r w:rsidR="003A3D09" w:rsidRPr="003F2D49">
        <w:t>3</w:t>
      </w:r>
      <w:r w:rsidRPr="003F2D49">
        <w:t xml:space="preserve">), </w:t>
      </w:r>
      <w:r w:rsidR="00003E95" w:rsidRPr="003F2D49">
        <w:t xml:space="preserve">the </w:t>
      </w:r>
      <w:r w:rsidR="00EA2E7B" w:rsidRPr="003F2D49">
        <w:t>same</w:t>
      </w:r>
      <w:r w:rsidR="003A3D09" w:rsidRPr="003F2D49">
        <w:t xml:space="preserve"> </w:t>
      </w:r>
      <w:r w:rsidR="00D113DD" w:rsidRPr="000453A1">
        <w:rPr>
          <w:shd w:val="clear" w:color="auto" w:fill="FFFFFF" w:themeFill="background1"/>
        </w:rPr>
        <w:t>proportion</w:t>
      </w:r>
      <w:r w:rsidR="00D113DD" w:rsidRPr="003F2D49">
        <w:t xml:space="preserve"> </w:t>
      </w:r>
      <w:r w:rsidR="00EA2E7B" w:rsidRPr="003F2D49">
        <w:t>as in</w:t>
      </w:r>
      <w:r w:rsidR="00EA2E7B" w:rsidRPr="009B2713">
        <w:t xml:space="preserve"> </w:t>
      </w:r>
      <w:r w:rsidR="003A3D09" w:rsidRPr="009B2713">
        <w:t xml:space="preserve">2009 </w:t>
      </w:r>
      <w:r w:rsidRPr="009B2713">
        <w:t>(ABS 20</w:t>
      </w:r>
      <w:r w:rsidR="003A3D09" w:rsidRPr="009B2713">
        <w:t>11</w:t>
      </w:r>
      <w:r w:rsidR="006731B7">
        <w:t>a</w:t>
      </w:r>
      <w:r w:rsidRPr="009B2713">
        <w:t xml:space="preserve">). Of the </w:t>
      </w:r>
      <w:r w:rsidR="003A3D09" w:rsidRPr="009B2713">
        <w:t xml:space="preserve">total </w:t>
      </w:r>
      <w:r w:rsidRPr="009B2713">
        <w:t>population in 20</w:t>
      </w:r>
      <w:r w:rsidR="003A3D09" w:rsidRPr="009B2713">
        <w:t>12</w:t>
      </w:r>
      <w:r w:rsidR="009D46E6" w:rsidRPr="009B2713">
        <w:t>,</w:t>
      </w:r>
      <w:r w:rsidRPr="009B2713">
        <w:t xml:space="preserve"> an estimated </w:t>
      </w:r>
      <w:r w:rsidR="003A3D09" w:rsidRPr="009B2713">
        <w:t>6.1</w:t>
      </w:r>
      <w:r w:rsidRPr="009B2713">
        <w:t xml:space="preserve"> per cent had a </w:t>
      </w:r>
      <w:r w:rsidR="003A3D09" w:rsidRPr="009B2713">
        <w:t xml:space="preserve">profound or severe </w:t>
      </w:r>
      <w:r w:rsidRPr="009B2713">
        <w:t xml:space="preserve">core activity limitation </w:t>
      </w:r>
      <w:r w:rsidR="009D46E6" w:rsidRPr="009B2713">
        <w:t>(ABS 201</w:t>
      </w:r>
      <w:r w:rsidR="003A3D09" w:rsidRPr="009B2713">
        <w:t>3</w:t>
      </w:r>
      <w:r w:rsidR="009D46E6" w:rsidRPr="009B2713">
        <w:t xml:space="preserve">) </w:t>
      </w:r>
      <w:r w:rsidRPr="009B2713">
        <w:t xml:space="preserve">compared with </w:t>
      </w:r>
      <w:r w:rsidR="003A3D09" w:rsidRPr="009B2713">
        <w:t>5.8</w:t>
      </w:r>
      <w:r w:rsidRPr="009B2713">
        <w:t xml:space="preserve"> per cent in 200</w:t>
      </w:r>
      <w:r w:rsidR="003A3D09" w:rsidRPr="009B2713">
        <w:t>9</w:t>
      </w:r>
      <w:r w:rsidRPr="009B2713">
        <w:t xml:space="preserve"> (ABS 20</w:t>
      </w:r>
      <w:r w:rsidR="003A3D09" w:rsidRPr="009B2713">
        <w:t>11</w:t>
      </w:r>
      <w:r w:rsidR="006731B7">
        <w:t>a</w:t>
      </w:r>
      <w:r w:rsidR="00241794" w:rsidRPr="009B2713">
        <w:t xml:space="preserve">). </w:t>
      </w:r>
      <w:r w:rsidRPr="009B2713">
        <w:t>Tables</w:t>
      </w:r>
      <w:r w:rsidR="00AE3578">
        <w:t> </w:t>
      </w:r>
      <w:r w:rsidRPr="009B2713">
        <w:t>14A.</w:t>
      </w:r>
      <w:r w:rsidR="00683393" w:rsidRPr="009B2713">
        <w:t>1</w:t>
      </w:r>
      <w:r w:rsidR="00683393">
        <w:t>2</w:t>
      </w:r>
      <w:r w:rsidR="00683393" w:rsidRPr="009B2713">
        <w:t xml:space="preserve"> </w:t>
      </w:r>
      <w:r w:rsidRPr="009B2713">
        <w:t>and 14A.</w:t>
      </w:r>
      <w:r w:rsidR="00683393" w:rsidRPr="009B2713">
        <w:t>1</w:t>
      </w:r>
      <w:r w:rsidR="00683393">
        <w:t>3</w:t>
      </w:r>
      <w:r w:rsidR="00683393" w:rsidRPr="009B2713">
        <w:t xml:space="preserve"> </w:t>
      </w:r>
      <w:r w:rsidRPr="009B2713">
        <w:t>contain additional information on disability prevalence, and table 14A.</w:t>
      </w:r>
      <w:r w:rsidR="00683393" w:rsidRPr="009B2713">
        <w:t>1</w:t>
      </w:r>
      <w:r w:rsidR="00683393">
        <w:t>4</w:t>
      </w:r>
      <w:r w:rsidR="00683393" w:rsidRPr="009B2713">
        <w:t xml:space="preserve"> </w:t>
      </w:r>
      <w:r w:rsidRPr="009B2713">
        <w:t>contains information on the estimated number of people with a profound or severe core activity limitation who received help as a proportion of those who needed help.</w:t>
      </w:r>
    </w:p>
    <w:p w:rsidR="001F39F2" w:rsidRPr="0005735B" w:rsidRDefault="001F39F2" w:rsidP="006C5F8E">
      <w:pPr>
        <w:pStyle w:val="Heading5"/>
      </w:pPr>
      <w:r w:rsidRPr="0005735B">
        <w:lastRenderedPageBreak/>
        <w:t>Aboriginal and Torres Strait Islander people</w:t>
      </w:r>
    </w:p>
    <w:p w:rsidR="001F39F2" w:rsidRPr="00AE3578" w:rsidRDefault="00FC17DE" w:rsidP="00585E2C">
      <w:pPr>
        <w:pStyle w:val="BodyText"/>
      </w:pPr>
      <w:r w:rsidRPr="0005735B">
        <w:t xml:space="preserve">Aboriginal and Torres Strait </w:t>
      </w:r>
      <w:r w:rsidR="00C21DBC">
        <w:t>Islander people</w:t>
      </w:r>
      <w:r w:rsidR="00465494" w:rsidRPr="0005735B">
        <w:t xml:space="preserve"> </w:t>
      </w:r>
      <w:r w:rsidR="0093488C">
        <w:t>experience</w:t>
      </w:r>
      <w:r w:rsidR="00465494" w:rsidRPr="0005735B">
        <w:t xml:space="preserve"> significantly higher rates of disability than non</w:t>
      </w:r>
      <w:r w:rsidR="00B84AF2">
        <w:noBreakHyphen/>
      </w:r>
      <w:r w:rsidR="00ED3937">
        <w:t>Indigenous people</w:t>
      </w:r>
      <w:r w:rsidR="00465494" w:rsidRPr="0005735B">
        <w:t xml:space="preserve">. </w:t>
      </w:r>
      <w:r w:rsidR="00C766D5" w:rsidRPr="0005735B">
        <w:t xml:space="preserve">Data on </w:t>
      </w:r>
      <w:r w:rsidRPr="0005735B">
        <w:t xml:space="preserve">disability prevalence </w:t>
      </w:r>
      <w:r w:rsidR="00C766D5" w:rsidRPr="0005735B">
        <w:t xml:space="preserve">for Aboriginal and Torres Strait </w:t>
      </w:r>
      <w:r w:rsidR="00C21DBC">
        <w:t>Islander people</w:t>
      </w:r>
      <w:r w:rsidR="00C766D5" w:rsidRPr="0005735B">
        <w:t xml:space="preserve"> </w:t>
      </w:r>
      <w:r w:rsidRPr="0005735B">
        <w:t xml:space="preserve">are </w:t>
      </w:r>
      <w:r w:rsidR="00C766D5" w:rsidRPr="0005735B">
        <w:t>available from the 2012</w:t>
      </w:r>
      <w:r w:rsidRPr="0005735B">
        <w:t xml:space="preserve"> SDAC. </w:t>
      </w:r>
      <w:r w:rsidR="00940B9F" w:rsidRPr="0005735B">
        <w:t>D</w:t>
      </w:r>
      <w:r w:rsidRPr="0005735B">
        <w:t xml:space="preserve">ata are </w:t>
      </w:r>
      <w:r w:rsidR="00940B9F" w:rsidRPr="0005735B">
        <w:t xml:space="preserve">also </w:t>
      </w:r>
      <w:r w:rsidRPr="0005735B">
        <w:t>available from the 2012</w:t>
      </w:r>
      <w:r w:rsidR="00B84AF2">
        <w:noBreakHyphen/>
      </w:r>
      <w:r w:rsidRPr="0005735B">
        <w:t>13 ABS Australian Aboriginal and Torres Strait Islander Health Survey (AATSIHS)</w:t>
      </w:r>
      <w:r w:rsidR="00AF5B8C" w:rsidRPr="0005735B">
        <w:t xml:space="preserve"> and </w:t>
      </w:r>
      <w:r w:rsidR="0005735B">
        <w:t>2011</w:t>
      </w:r>
      <w:r w:rsidR="00B84AF2">
        <w:noBreakHyphen/>
      </w:r>
      <w:r w:rsidR="0005735B">
        <w:t xml:space="preserve">12 </w:t>
      </w:r>
      <w:r w:rsidR="009B2713">
        <w:t>Australian H</w:t>
      </w:r>
      <w:r w:rsidR="00AF5B8C" w:rsidRPr="0005735B">
        <w:t>ealth Survey (AHS)</w:t>
      </w:r>
      <w:r w:rsidRPr="0005735B">
        <w:t>.</w:t>
      </w:r>
      <w:r w:rsidR="009B2713">
        <w:t xml:space="preserve"> </w:t>
      </w:r>
      <w:r w:rsidR="00465494" w:rsidRPr="0005735B">
        <w:t xml:space="preserve">There are differences in the scope of </w:t>
      </w:r>
      <w:r w:rsidR="00003E95">
        <w:t>the SDAC, the AATSIHS and the AHS</w:t>
      </w:r>
      <w:r w:rsidR="00465494" w:rsidRPr="0005735B">
        <w:t xml:space="preserve"> which affect </w:t>
      </w:r>
      <w:r w:rsidR="007265EE" w:rsidRPr="0005735B">
        <w:t xml:space="preserve">direct </w:t>
      </w:r>
      <w:r w:rsidR="00465494" w:rsidRPr="0005735B">
        <w:t>comparability</w:t>
      </w:r>
      <w:r w:rsidR="00003E95">
        <w:t xml:space="preserve"> of these surveys</w:t>
      </w:r>
      <w:r w:rsidR="00BD41A1" w:rsidRPr="0005735B">
        <w:t>.</w:t>
      </w:r>
    </w:p>
    <w:p w:rsidR="001F39F2" w:rsidRPr="0005735B" w:rsidRDefault="009B2713" w:rsidP="00940B9F">
      <w:pPr>
        <w:pStyle w:val="BodyText"/>
      </w:pPr>
      <w:r w:rsidRPr="000453A1">
        <w:t>Nationally i</w:t>
      </w:r>
      <w:r w:rsidR="00940B9F" w:rsidRPr="000453A1">
        <w:t xml:space="preserve">n 2012, </w:t>
      </w:r>
      <w:r w:rsidR="00003E95" w:rsidRPr="000453A1">
        <w:t xml:space="preserve">after adjusting for differences in population age structures, the SDAC shows that </w:t>
      </w:r>
      <w:r w:rsidR="009F455E" w:rsidRPr="000453A1">
        <w:rPr>
          <w:shd w:val="clear" w:color="auto" w:fill="FFFFFF" w:themeFill="background1"/>
        </w:rPr>
        <w:t>8.4</w:t>
      </w:r>
      <w:r w:rsidR="0005735B" w:rsidRPr="000453A1">
        <w:rPr>
          <w:shd w:val="clear" w:color="auto" w:fill="FFFFFF" w:themeFill="background1"/>
        </w:rPr>
        <w:t> per cent</w:t>
      </w:r>
      <w:r w:rsidR="0005735B" w:rsidRPr="000453A1">
        <w:t xml:space="preserve"> of Aboriginal and Torres Strait </w:t>
      </w:r>
      <w:r w:rsidR="00C21DBC" w:rsidRPr="000453A1">
        <w:t>Islander people</w:t>
      </w:r>
      <w:r w:rsidR="0005735B" w:rsidRPr="000453A1">
        <w:t xml:space="preserve"> reported a profound or severe core activity limitation, around </w:t>
      </w:r>
      <w:r w:rsidR="00146CE5" w:rsidRPr="000453A1">
        <w:t>1.7 times</w:t>
      </w:r>
      <w:r w:rsidR="0005735B" w:rsidRPr="000453A1">
        <w:t xml:space="preserve"> the rate </w:t>
      </w:r>
      <w:r w:rsidR="00003E95" w:rsidRPr="000453A1">
        <w:t>for</w:t>
      </w:r>
      <w:r w:rsidR="0005735B" w:rsidRPr="000453A1">
        <w:t xml:space="preserve"> non</w:t>
      </w:r>
      <w:r w:rsidR="00B84AF2">
        <w:noBreakHyphen/>
      </w:r>
      <w:r w:rsidR="00ED3937" w:rsidRPr="000453A1">
        <w:t>Indigenous people</w:t>
      </w:r>
      <w:r w:rsidR="00D658BD" w:rsidRPr="000453A1">
        <w:t xml:space="preserve"> </w:t>
      </w:r>
      <w:r w:rsidR="00D658BD" w:rsidRPr="000453A1">
        <w:rPr>
          <w:shd w:val="clear" w:color="auto" w:fill="FFFFFF" w:themeFill="background1"/>
        </w:rPr>
        <w:t>(</w:t>
      </w:r>
      <w:r w:rsidR="00146CE5" w:rsidRPr="000453A1">
        <w:rPr>
          <w:shd w:val="clear" w:color="auto" w:fill="FFFFFF" w:themeFill="background1"/>
        </w:rPr>
        <w:t>4.9 per </w:t>
      </w:r>
      <w:r w:rsidR="00D658BD" w:rsidRPr="000453A1">
        <w:rPr>
          <w:shd w:val="clear" w:color="auto" w:fill="FFFFFF" w:themeFill="background1"/>
        </w:rPr>
        <w:t>cent). AATSIHS/AHS data for 2011–13 sho</w:t>
      </w:r>
      <w:r w:rsidR="002466CC">
        <w:rPr>
          <w:shd w:val="clear" w:color="auto" w:fill="FFFFFF" w:themeFill="background1"/>
        </w:rPr>
        <w:t xml:space="preserve">w similar trends. Nationally in </w:t>
      </w:r>
      <w:r w:rsidR="002466CC">
        <w:rPr>
          <w:shd w:val="clear" w:color="auto" w:fill="FFFFFF" w:themeFill="background1"/>
        </w:rPr>
        <w:br/>
        <w:t>2011–</w:t>
      </w:r>
      <w:r w:rsidR="00D658BD" w:rsidRPr="000453A1">
        <w:rPr>
          <w:shd w:val="clear" w:color="auto" w:fill="FFFFFF" w:themeFill="background1"/>
        </w:rPr>
        <w:t>13, after adjusting</w:t>
      </w:r>
      <w:r w:rsidR="00D658BD" w:rsidRPr="00D658BD">
        <w:t xml:space="preserve"> for differences in population age structures, the rate of profound or severe core activity restriction for Aboriginal and Torres Strait </w:t>
      </w:r>
      <w:r w:rsidR="00C21DBC">
        <w:t xml:space="preserve">Islander </w:t>
      </w:r>
      <w:r w:rsidR="00C21DBC" w:rsidRPr="008F6B5D">
        <w:t>people</w:t>
      </w:r>
      <w:r w:rsidR="00D658BD" w:rsidRPr="008F6B5D">
        <w:t xml:space="preserve"> was </w:t>
      </w:r>
      <w:r w:rsidR="00003E95">
        <w:t>twice</w:t>
      </w:r>
      <w:r w:rsidR="00D658BD" w:rsidRPr="008F6B5D">
        <w:t xml:space="preserve"> the rate for non</w:t>
      </w:r>
      <w:r w:rsidR="00B84AF2">
        <w:noBreakHyphen/>
      </w:r>
      <w:r w:rsidR="00ED3937">
        <w:t>Indigenous people</w:t>
      </w:r>
      <w:r w:rsidR="00D658BD" w:rsidRPr="008F6B5D">
        <w:t xml:space="preserve"> (</w:t>
      </w:r>
      <w:r w:rsidR="008F6B5D" w:rsidRPr="008F6B5D">
        <w:t>ABS unpublished</w:t>
      </w:r>
      <w:r w:rsidR="00B30C6E" w:rsidRPr="008F6B5D">
        <w:t>).</w:t>
      </w:r>
      <w:r w:rsidR="00D658BD" w:rsidRPr="008F6B5D">
        <w:t xml:space="preserve"> </w:t>
      </w:r>
      <w:r w:rsidR="001F39F2" w:rsidRPr="008F6B5D">
        <w:t>The disparity</w:t>
      </w:r>
      <w:r w:rsidR="001F39F2" w:rsidRPr="0005735B">
        <w:t xml:space="preserve"> between </w:t>
      </w:r>
      <w:r w:rsidR="000758C7" w:rsidRPr="0005735B">
        <w:t xml:space="preserve">Aboriginal and Torres Strait Islander </w:t>
      </w:r>
      <w:r w:rsidR="001F39F2" w:rsidRPr="0005735B">
        <w:t>and non</w:t>
      </w:r>
      <w:r w:rsidR="00B84AF2">
        <w:noBreakHyphen/>
      </w:r>
      <w:r w:rsidR="000F5B6E" w:rsidRPr="0005735B">
        <w:t xml:space="preserve">Indigenous </w:t>
      </w:r>
      <w:r w:rsidR="00ED3937">
        <w:t>people</w:t>
      </w:r>
      <w:r w:rsidR="001F39F2" w:rsidRPr="0005735B">
        <w:t xml:space="preserve"> is consistent across age groups</w:t>
      </w:r>
      <w:r>
        <w:t xml:space="preserve"> (figure </w:t>
      </w:r>
      <w:r w:rsidR="00BE25BB" w:rsidRPr="0005735B">
        <w:t>14.2).</w:t>
      </w:r>
    </w:p>
    <w:p w:rsidR="00BE25BB" w:rsidRPr="00631DBC" w:rsidRDefault="00BE25BB"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25BB" w:rsidRPr="00D658BD" w:rsidTr="00730EA6">
        <w:tc>
          <w:tcPr>
            <w:tcW w:w="8771" w:type="dxa"/>
            <w:tcBorders>
              <w:top w:val="single" w:sz="6" w:space="0" w:color="78A22F"/>
              <w:left w:val="nil"/>
              <w:bottom w:val="nil"/>
              <w:right w:val="nil"/>
            </w:tcBorders>
            <w:shd w:val="clear" w:color="auto" w:fill="auto"/>
          </w:tcPr>
          <w:p w:rsidR="00BE25BB" w:rsidRPr="00D658BD" w:rsidRDefault="00BE25BB" w:rsidP="00147FD2">
            <w:pPr>
              <w:pStyle w:val="FigureTitle"/>
            </w:pPr>
            <w:r w:rsidRPr="00D658BD">
              <w:rPr>
                <w:b w:val="0"/>
              </w:rPr>
              <w:t xml:space="preserve">Figure </w:t>
            </w:r>
            <w:r w:rsidR="00321568">
              <w:rPr>
                <w:b w:val="0"/>
              </w:rPr>
              <w:t>14.</w:t>
            </w:r>
            <w:r w:rsidR="0085284B">
              <w:rPr>
                <w:b w:val="0"/>
                <w:noProof/>
              </w:rPr>
              <w:t>2</w:t>
            </w:r>
            <w:r w:rsidRPr="00D658BD">
              <w:tab/>
            </w:r>
            <w:r w:rsidR="00B0519B" w:rsidRPr="00D658BD">
              <w:t xml:space="preserve">Disability prevalence, by </w:t>
            </w:r>
            <w:r w:rsidR="00147FD2">
              <w:t>Indigenous</w:t>
            </w:r>
            <w:r w:rsidR="00B0519B" w:rsidRPr="00D658BD">
              <w:t xml:space="preserve"> status, by age, 2012</w:t>
            </w:r>
            <w:r w:rsidR="00B0519B" w:rsidRPr="00D658BD">
              <w:rPr>
                <w:rStyle w:val="NoteLabel"/>
              </w:rPr>
              <w:t>a</w:t>
            </w:r>
            <w:r w:rsidR="00D113DD">
              <w:rPr>
                <w:rStyle w:val="NoteLabel"/>
              </w:rPr>
              <w:t>, b</w:t>
            </w:r>
          </w:p>
        </w:tc>
      </w:tr>
      <w:tr w:rsidR="00BE25BB" w:rsidRPr="009B2713"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tblCellMar>
              <w:tblLook w:val="0000" w:firstRow="0" w:lastRow="0" w:firstColumn="0" w:lastColumn="0" w:noHBand="0" w:noVBand="0"/>
            </w:tblPr>
            <w:tblGrid>
              <w:gridCol w:w="8504"/>
            </w:tblGrid>
            <w:tr w:rsidR="00BE25BB" w:rsidRPr="009B2713" w:rsidTr="00631DBC">
              <w:trPr>
                <w:jc w:val="center"/>
              </w:trPr>
              <w:tc>
                <w:tcPr>
                  <w:tcW w:w="8504" w:type="dxa"/>
                  <w:tcBorders>
                    <w:top w:val="nil"/>
                    <w:bottom w:val="nil"/>
                  </w:tcBorders>
                </w:tcPr>
                <w:p w:rsidR="00D24B1B" w:rsidRPr="009B2713" w:rsidRDefault="0072265E" w:rsidP="009B2713">
                  <w:pPr>
                    <w:pStyle w:val="Figure"/>
                    <w:rPr>
                      <w:rStyle w:val="DraftingNote"/>
                      <w:b w:val="0"/>
                      <w:color w:val="auto"/>
                      <w:u w:val="none"/>
                    </w:rPr>
                  </w:pPr>
                  <w:r>
                    <w:rPr>
                      <w:noProof/>
                    </w:rPr>
                    <w:drawing>
                      <wp:inline distT="0" distB="0" distL="0" distR="0">
                        <wp:extent cx="5238750" cy="2686050"/>
                        <wp:effectExtent l="0" t="0" r="0" b="0"/>
                        <wp:docPr id="2" name="Picture 2" descr="Figure 14.2 Disability prevalence, by Indigenous status, by age,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BE25BB" w:rsidRPr="009B2713" w:rsidRDefault="00BE25BB" w:rsidP="009B2713"/>
        </w:tc>
      </w:tr>
      <w:tr w:rsidR="00B0519B" w:rsidRPr="00D658BD" w:rsidTr="002A6A88">
        <w:tc>
          <w:tcPr>
            <w:tcW w:w="8771" w:type="dxa"/>
            <w:tcBorders>
              <w:top w:val="nil"/>
              <w:left w:val="nil"/>
              <w:bottom w:val="nil"/>
              <w:right w:val="nil"/>
            </w:tcBorders>
            <w:shd w:val="clear" w:color="auto" w:fill="FFFFFF" w:themeFill="background1"/>
          </w:tcPr>
          <w:p w:rsidR="00B0519B" w:rsidRPr="00D658BD" w:rsidRDefault="00B0519B" w:rsidP="00B3276E">
            <w:pPr>
              <w:pStyle w:val="Note"/>
            </w:pPr>
            <w:r w:rsidRPr="00D658BD">
              <w:t xml:space="preserve">AS = Age standardised. </w:t>
            </w:r>
            <w:proofErr w:type="gramStart"/>
            <w:r w:rsidRPr="00D658BD">
              <w:rPr>
                <w:rStyle w:val="NoteLabel"/>
              </w:rPr>
              <w:t>a</w:t>
            </w:r>
            <w:proofErr w:type="gramEnd"/>
            <w:r w:rsidRPr="00D658BD">
              <w:t xml:space="preserve"> </w:t>
            </w:r>
            <w:r w:rsidRPr="00A8683A">
              <w:t>The S</w:t>
            </w:r>
            <w:r w:rsidR="009B2713" w:rsidRPr="00A8683A">
              <w:t xml:space="preserve">urvey of </w:t>
            </w:r>
            <w:r w:rsidRPr="00A8683A">
              <w:t>D</w:t>
            </w:r>
            <w:r w:rsidR="009B2713" w:rsidRPr="00A8683A">
              <w:t xml:space="preserve">isability Ageing and </w:t>
            </w:r>
            <w:r w:rsidRPr="00A8683A">
              <w:t>C</w:t>
            </w:r>
            <w:r w:rsidR="009B2713" w:rsidRPr="00A8683A">
              <w:t>arers</w:t>
            </w:r>
            <w:r w:rsidR="002A6A88" w:rsidRPr="00A8683A">
              <w:t xml:space="preserve"> (SDAC)</w:t>
            </w:r>
            <w:r w:rsidRPr="00A8683A">
              <w:t xml:space="preserve"> does not </w:t>
            </w:r>
            <w:r w:rsidR="0093488C" w:rsidRPr="00A8683A">
              <w:t>survey</w:t>
            </w:r>
            <w:r w:rsidRPr="00A8683A">
              <w:t xml:space="preserve"> people in very remote areas.</w:t>
            </w:r>
            <w:r w:rsidR="00D113DD">
              <w:t xml:space="preserve"> </w:t>
            </w:r>
            <w:proofErr w:type="gramStart"/>
            <w:r w:rsidR="00D113DD" w:rsidRPr="000453A1">
              <w:rPr>
                <w:rStyle w:val="NoteLabel"/>
                <w:shd w:val="clear" w:color="auto" w:fill="FFFFFF" w:themeFill="background1"/>
              </w:rPr>
              <w:t>b</w:t>
            </w:r>
            <w:proofErr w:type="gramEnd"/>
            <w:r w:rsidR="00CC395C" w:rsidRPr="000453A1">
              <w:rPr>
                <w:rStyle w:val="NoteLabel"/>
                <w:shd w:val="clear" w:color="auto" w:fill="FFFFFF" w:themeFill="background1"/>
              </w:rPr>
              <w:t xml:space="preserve"> </w:t>
            </w:r>
            <w:r w:rsidR="002A6A88" w:rsidRPr="00A8683A">
              <w:t>Data reported</w:t>
            </w:r>
            <w:r w:rsidR="00B3276E" w:rsidRPr="00A8683A">
              <w:t xml:space="preserve"> elsewhere</w:t>
            </w:r>
            <w:r w:rsidR="002A6A88" w:rsidRPr="00A8683A">
              <w:t xml:space="preserve"> for ‘older’ Aboriginal </w:t>
            </w:r>
            <w:r w:rsidR="00E90A6B" w:rsidRPr="00A8683A">
              <w:t>and Torres Strait Islander</w:t>
            </w:r>
            <w:r w:rsidR="00CC395C" w:rsidRPr="00A8683A">
              <w:t xml:space="preserve"> people</w:t>
            </w:r>
            <w:r w:rsidR="002A6A88" w:rsidRPr="00A8683A">
              <w:t xml:space="preserve"> often include people aged </w:t>
            </w:r>
            <w:r w:rsidR="00E76F5F" w:rsidRPr="00A8683A">
              <w:t>50 years and over</w:t>
            </w:r>
            <w:r w:rsidR="00E90A6B" w:rsidRPr="00A8683A">
              <w:t>.</w:t>
            </w:r>
            <w:r w:rsidR="00E76F5F" w:rsidRPr="00A8683A">
              <w:t xml:space="preserve"> </w:t>
            </w:r>
            <w:r w:rsidR="002A6A88" w:rsidRPr="00A8683A">
              <w:t>SDAC d</w:t>
            </w:r>
            <w:r w:rsidR="00CC395C" w:rsidRPr="00A8683A">
              <w:t xml:space="preserve">ata </w:t>
            </w:r>
            <w:r w:rsidR="002A6A88" w:rsidRPr="00A8683A">
              <w:t>were</w:t>
            </w:r>
            <w:r w:rsidR="00CC395C" w:rsidRPr="00A8683A">
              <w:t xml:space="preserve"> not available for </w:t>
            </w:r>
            <w:r w:rsidR="002A6A88" w:rsidRPr="00A8683A">
              <w:t>the</w:t>
            </w:r>
            <w:r w:rsidR="00CC395C" w:rsidRPr="00A8683A">
              <w:t xml:space="preserve"> 50+</w:t>
            </w:r>
            <w:r w:rsidR="002A6A88" w:rsidRPr="00A8683A">
              <w:t xml:space="preserve"> age group</w:t>
            </w:r>
            <w:r w:rsidR="00E76F5F" w:rsidRPr="00A8683A">
              <w:t>ing</w:t>
            </w:r>
            <w:r w:rsidR="00E90A6B" w:rsidRPr="000453A1">
              <w:rPr>
                <w:shd w:val="clear" w:color="auto" w:fill="FFFFFF" w:themeFill="background1"/>
              </w:rPr>
              <w:t>.</w:t>
            </w:r>
            <w:r w:rsidR="00E90A6B">
              <w:rPr>
                <w:shd w:val="clear" w:color="auto" w:fill="FFFF00"/>
              </w:rPr>
              <w:t xml:space="preserve"> </w:t>
            </w:r>
          </w:p>
        </w:tc>
      </w:tr>
      <w:tr w:rsidR="00B0519B" w:rsidRPr="00D658BD" w:rsidTr="00730EA6">
        <w:tc>
          <w:tcPr>
            <w:tcW w:w="8771" w:type="dxa"/>
            <w:tcBorders>
              <w:top w:val="nil"/>
              <w:left w:val="nil"/>
              <w:bottom w:val="nil"/>
              <w:right w:val="nil"/>
            </w:tcBorders>
            <w:shd w:val="clear" w:color="auto" w:fill="auto"/>
          </w:tcPr>
          <w:p w:rsidR="00B0519B" w:rsidRPr="00D658BD" w:rsidRDefault="00894BE1" w:rsidP="008F6B5D">
            <w:pPr>
              <w:pStyle w:val="Source"/>
            </w:pPr>
            <w:r w:rsidRPr="00774A5D">
              <w:rPr>
                <w:i/>
              </w:rPr>
              <w:t>S</w:t>
            </w:r>
            <w:r w:rsidR="00B0519B" w:rsidRPr="00774A5D">
              <w:rPr>
                <w:i/>
              </w:rPr>
              <w:t>ource</w:t>
            </w:r>
            <w:r w:rsidR="00B0519B" w:rsidRPr="00774A5D">
              <w:t xml:space="preserve">: </w:t>
            </w:r>
            <w:r w:rsidR="00631DBC" w:rsidRPr="00774A5D">
              <w:t>A</w:t>
            </w:r>
            <w:r w:rsidR="0086127D">
              <w:t xml:space="preserve">ustralian </w:t>
            </w:r>
            <w:r w:rsidR="0086127D" w:rsidRPr="00774A5D">
              <w:t>B</w:t>
            </w:r>
            <w:r w:rsidR="0086127D">
              <w:t xml:space="preserve">ureau of </w:t>
            </w:r>
            <w:r w:rsidR="00631DBC" w:rsidRPr="00774A5D">
              <w:t>S</w:t>
            </w:r>
            <w:r w:rsidR="0086127D">
              <w:t>tatistics (ABS)</w:t>
            </w:r>
            <w:r w:rsidR="00631DBC" w:rsidRPr="00774A5D">
              <w:t xml:space="preserve"> (unpublished) </w:t>
            </w:r>
            <w:r w:rsidR="00044F4B" w:rsidRPr="00774A5D">
              <w:rPr>
                <w:i/>
              </w:rPr>
              <w:t>Survey of Disa</w:t>
            </w:r>
            <w:r w:rsidR="008F6B5D">
              <w:rPr>
                <w:i/>
              </w:rPr>
              <w:t>bility, Ageing and Carers, 2012.</w:t>
            </w:r>
          </w:p>
        </w:tc>
      </w:tr>
      <w:tr w:rsidR="00B0519B" w:rsidRPr="00D658BD" w:rsidTr="00730EA6">
        <w:tc>
          <w:tcPr>
            <w:tcW w:w="8771" w:type="dxa"/>
            <w:tcBorders>
              <w:top w:val="nil"/>
              <w:left w:val="nil"/>
              <w:bottom w:val="single" w:sz="6" w:space="0" w:color="78A22F"/>
              <w:right w:val="nil"/>
            </w:tcBorders>
            <w:shd w:val="clear" w:color="auto" w:fill="auto"/>
          </w:tcPr>
          <w:p w:rsidR="00B0519B" w:rsidRPr="00D658BD" w:rsidRDefault="00B0519B" w:rsidP="00730EA6">
            <w:pPr>
              <w:pStyle w:val="Figurespace"/>
            </w:pPr>
          </w:p>
        </w:tc>
      </w:tr>
      <w:tr w:rsidR="00B0519B" w:rsidRPr="00914F3E" w:rsidTr="00730EA6">
        <w:tc>
          <w:tcPr>
            <w:tcW w:w="8771" w:type="dxa"/>
            <w:tcBorders>
              <w:top w:val="single" w:sz="6" w:space="0" w:color="78A22F"/>
              <w:left w:val="nil"/>
              <w:bottom w:val="nil"/>
              <w:right w:val="nil"/>
            </w:tcBorders>
          </w:tcPr>
          <w:p w:rsidR="00B0519B" w:rsidRPr="00D658BD" w:rsidRDefault="00B0519B" w:rsidP="00730EA6">
            <w:pPr>
              <w:pStyle w:val="BoxSpaceBelow"/>
            </w:pPr>
          </w:p>
        </w:tc>
      </w:tr>
    </w:tbl>
    <w:p w:rsidR="00A21D67" w:rsidRPr="00FD76C0" w:rsidRDefault="00A21D67" w:rsidP="006C5F8E">
      <w:pPr>
        <w:pStyle w:val="Heading5"/>
      </w:pPr>
      <w:r w:rsidRPr="00FD76C0">
        <w:lastRenderedPageBreak/>
        <w:t>Potential population</w:t>
      </w:r>
    </w:p>
    <w:p w:rsidR="005763EC" w:rsidRPr="00331CB8" w:rsidRDefault="00F93C35" w:rsidP="00626A1F">
      <w:pPr>
        <w:pStyle w:val="BodyText"/>
      </w:pPr>
      <w:r w:rsidRPr="00331CB8">
        <w:t>The potential population is an estimate, derived using a range of data sources, of the number of people with the potential to require disability support services</w:t>
      </w:r>
      <w:r w:rsidR="002977EB" w:rsidRPr="00331CB8">
        <w:t>,</w:t>
      </w:r>
      <w:r w:rsidRPr="00331CB8">
        <w:t xml:space="preserve"> including individuals who meet the service eligibility criteria but who do not demand services. Results are reported </w:t>
      </w:r>
      <w:r w:rsidR="006E200B" w:rsidRPr="00331CB8">
        <w:t>as rates</w:t>
      </w:r>
      <w:r w:rsidR="00445BD4">
        <w:t>, which are the proportion of potential service users that ar</w:t>
      </w:r>
      <w:r w:rsidR="008D4578">
        <w:t>e</w:t>
      </w:r>
      <w:r w:rsidR="00445BD4">
        <w:t xml:space="preserve"> actually using the service. </w:t>
      </w:r>
      <w:r w:rsidR="006E200B" w:rsidRPr="00331CB8">
        <w:t>This allows better comparison between people in special needs groups with people outside those groups.</w:t>
      </w:r>
      <w:r w:rsidRPr="00331CB8">
        <w:t xml:space="preserve"> </w:t>
      </w:r>
      <w:r w:rsidR="00B733A9" w:rsidRPr="00331CB8">
        <w:t xml:space="preserve">For open employment services, the potential population is not used; instead, an estimate of all people </w:t>
      </w:r>
      <w:r w:rsidR="002977EB" w:rsidRPr="00331CB8">
        <w:t xml:space="preserve">aged 15–64 years </w:t>
      </w:r>
      <w:r w:rsidR="00B733A9" w:rsidRPr="00331CB8">
        <w:t xml:space="preserve">with disability and who have an employment restriction is used. </w:t>
      </w:r>
    </w:p>
    <w:p w:rsidR="008B6F83" w:rsidRPr="001361A1" w:rsidRDefault="00184F38" w:rsidP="00A64C59">
      <w:pPr>
        <w:pStyle w:val="BodyText"/>
      </w:pPr>
      <w:r>
        <w:t>U</w:t>
      </w:r>
      <w:r w:rsidR="001176EF" w:rsidRPr="001361A1">
        <w:t xml:space="preserve">pdated source data </w:t>
      </w:r>
      <w:r w:rsidR="00B46C11" w:rsidRPr="001361A1">
        <w:t xml:space="preserve">used in the calculation of the potential population </w:t>
      </w:r>
      <w:r w:rsidR="00445BD4">
        <w:t>were</w:t>
      </w:r>
      <w:r w:rsidR="00694CCF" w:rsidRPr="001361A1">
        <w:t xml:space="preserve"> available for the 2015 Report</w:t>
      </w:r>
      <w:r w:rsidR="00B46C11" w:rsidRPr="001361A1">
        <w:t>. The potential population has been recalculated based on data from the 2012 SDAC and 2011 Census</w:t>
      </w:r>
      <w:r w:rsidR="009B2713">
        <w:t>,</w:t>
      </w:r>
      <w:r w:rsidR="00B46C11" w:rsidRPr="001361A1">
        <w:t xml:space="preserve"> and has b</w:t>
      </w:r>
      <w:r w:rsidR="00694CCF" w:rsidRPr="001326AF">
        <w:t>een backcast to the 2008</w:t>
      </w:r>
      <w:r w:rsidR="00B84AF2">
        <w:noBreakHyphen/>
      </w:r>
      <w:r w:rsidR="00694CCF" w:rsidRPr="001326AF">
        <w:t>09</w:t>
      </w:r>
      <w:r w:rsidR="00694CCF">
        <w:t xml:space="preserve"> year</w:t>
      </w:r>
      <w:r w:rsidR="00694CCF" w:rsidRPr="001361A1">
        <w:t xml:space="preserve">. </w:t>
      </w:r>
      <w:r w:rsidR="00B46C11" w:rsidRPr="001361A1">
        <w:t xml:space="preserve">New </w:t>
      </w:r>
      <w:r w:rsidR="00663BBF">
        <w:t>Aboriginal and Torres Strait Islander</w:t>
      </w:r>
      <w:r w:rsidR="00B46C11" w:rsidRPr="001361A1">
        <w:t xml:space="preserve"> potential population estimates </w:t>
      </w:r>
      <w:r w:rsidR="00694CCF">
        <w:t>have been calculated</w:t>
      </w:r>
      <w:r w:rsidR="00694CCF" w:rsidRPr="005517D9">
        <w:t xml:space="preserve"> </w:t>
      </w:r>
      <w:r w:rsidR="00B46C11" w:rsidRPr="001361A1">
        <w:t xml:space="preserve">for people aged 0–49 using </w:t>
      </w:r>
      <w:r w:rsidR="00694CCF">
        <w:t xml:space="preserve">new </w:t>
      </w:r>
      <w:r w:rsidR="00B46C11" w:rsidRPr="001361A1">
        <w:t>2011 Census</w:t>
      </w:r>
      <w:r w:rsidR="00B84AF2">
        <w:noBreakHyphen/>
      </w:r>
      <w:r w:rsidR="00B46C11" w:rsidRPr="001361A1">
        <w:t xml:space="preserve">based Indigenous Population Projections (previously calculated </w:t>
      </w:r>
      <w:r w:rsidR="00B46C11" w:rsidRPr="001326AF">
        <w:t>using 2006 Census</w:t>
      </w:r>
      <w:r w:rsidR="00B84AF2">
        <w:noBreakHyphen/>
      </w:r>
      <w:r w:rsidR="00B46C11" w:rsidRPr="001326AF">
        <w:t xml:space="preserve">based </w:t>
      </w:r>
      <w:r w:rsidR="00B46C11" w:rsidRPr="009857A6">
        <w:t>I</w:t>
      </w:r>
      <w:r w:rsidR="00B46C11" w:rsidRPr="00242FB0">
        <w:t>ndigenous Population Projections</w:t>
      </w:r>
      <w:r w:rsidR="00B46C11" w:rsidRPr="00FF3725">
        <w:t>)</w:t>
      </w:r>
      <w:r w:rsidR="00B46C11" w:rsidRPr="00465838">
        <w:t xml:space="preserve"> and b</w:t>
      </w:r>
      <w:r w:rsidR="00B46C11" w:rsidRPr="006F166D">
        <w:t>ackcast to the 2008</w:t>
      </w:r>
      <w:r w:rsidR="00B84AF2">
        <w:noBreakHyphen/>
      </w:r>
      <w:r w:rsidR="00B46C11" w:rsidRPr="006F166D">
        <w:t>09 year</w:t>
      </w:r>
      <w:r w:rsidR="00694CCF" w:rsidRPr="006F166D">
        <w:t>.</w:t>
      </w:r>
      <w:r w:rsidR="0019455A">
        <w:t xml:space="preserve"> </w:t>
      </w:r>
      <w:r w:rsidR="008B6F83" w:rsidRPr="001361A1">
        <w:t xml:space="preserve">Further information </w:t>
      </w:r>
      <w:r w:rsidR="002977EB" w:rsidRPr="001361A1">
        <w:t xml:space="preserve">on </w:t>
      </w:r>
      <w:r w:rsidR="009730EC" w:rsidRPr="001361A1">
        <w:t>deriving potential populations for special needs groups</w:t>
      </w:r>
      <w:r w:rsidR="008B6F83" w:rsidRPr="001361A1">
        <w:t xml:space="preserve"> for the 201</w:t>
      </w:r>
      <w:r w:rsidR="001A0C68" w:rsidRPr="001361A1">
        <w:t>5</w:t>
      </w:r>
      <w:r w:rsidR="009B2713">
        <w:t> </w:t>
      </w:r>
      <w:r w:rsidR="00177211" w:rsidRPr="001326AF">
        <w:t>R</w:t>
      </w:r>
      <w:r w:rsidR="008B6F83" w:rsidRPr="001326AF">
        <w:t xml:space="preserve">eport </w:t>
      </w:r>
      <w:r w:rsidR="00CF50E4" w:rsidRPr="009857A6">
        <w:t xml:space="preserve">can be found in </w:t>
      </w:r>
      <w:r w:rsidR="00A64C59">
        <w:t xml:space="preserve">sections 14.6 and </w:t>
      </w:r>
      <w:r w:rsidR="008B6F83" w:rsidRPr="00242FB0">
        <w:t>14.</w:t>
      </w:r>
      <w:r w:rsidR="00A64C59">
        <w:t>7</w:t>
      </w:r>
      <w:r w:rsidR="008B6F83" w:rsidRPr="00242FB0">
        <w:t>.</w:t>
      </w:r>
    </w:p>
    <w:p w:rsidR="001F39F2" w:rsidRPr="00FD76C0" w:rsidRDefault="001F39F2" w:rsidP="006C5F8E">
      <w:pPr>
        <w:pStyle w:val="Heading4"/>
      </w:pPr>
      <w:r w:rsidRPr="00FD76C0">
        <w:t xml:space="preserve">Informal carers </w:t>
      </w:r>
    </w:p>
    <w:p w:rsidR="001F39F2" w:rsidRPr="00FD76C0" w:rsidRDefault="001F39F2" w:rsidP="00585E2C">
      <w:pPr>
        <w:pStyle w:val="BodyText"/>
      </w:pPr>
      <w:r w:rsidRPr="00FD76C0">
        <w:t>Family and friends provide most help and/or care to people with disability. Information about informal carers enables governments to plan ahead for the future demand for services that support carers and the people they assist. Support services that assist people with disability to live in the community, such as in</w:t>
      </w:r>
      <w:r w:rsidR="00B84AF2">
        <w:noBreakHyphen/>
      </w:r>
      <w:r w:rsidRPr="00FD76C0">
        <w:t>home accommodation support and community support, often complement and are contingent on the availability of informal care. In turn, the provision of informal care may rely on access to formal support services</w:t>
      </w:r>
      <w:r w:rsidR="00C21626" w:rsidRPr="00FD76C0">
        <w:t>,</w:t>
      </w:r>
      <w:r w:rsidRPr="00FD76C0">
        <w:t xml:space="preserve"> including</w:t>
      </w:r>
      <w:r w:rsidR="00C21626" w:rsidRPr="00FD76C0">
        <w:t xml:space="preserve"> carer</w:t>
      </w:r>
      <w:r w:rsidRPr="00FD76C0">
        <w:t xml:space="preserve"> respite services and a range of services for the person with disability. </w:t>
      </w:r>
    </w:p>
    <w:p w:rsidR="001F39F2" w:rsidRPr="004570CF" w:rsidRDefault="001F39F2" w:rsidP="00585E2C">
      <w:pPr>
        <w:pStyle w:val="BodyText"/>
      </w:pPr>
      <w:r w:rsidRPr="004570CF">
        <w:t>Information on informal carers is available from the SDAC and for NDA service users from the DS NMDS. The definition of informal carers differs slightly across these data collections</w:t>
      </w:r>
      <w:r w:rsidR="001C512C" w:rsidRPr="004570CF">
        <w:t xml:space="preserve"> as</w:t>
      </w:r>
      <w:r w:rsidRPr="004570CF">
        <w:t>:</w:t>
      </w:r>
    </w:p>
    <w:p w:rsidR="001F39F2" w:rsidRPr="004570CF" w:rsidRDefault="00685AE1" w:rsidP="00585E2C">
      <w:pPr>
        <w:pStyle w:val="ListBullet"/>
      </w:pPr>
      <w:proofErr w:type="gramStart"/>
      <w:r w:rsidRPr="004570CF">
        <w:t>t</w:t>
      </w:r>
      <w:r w:rsidR="001F39F2" w:rsidRPr="004570CF">
        <w:t>he</w:t>
      </w:r>
      <w:proofErr w:type="gramEnd"/>
      <w:r w:rsidR="001F39F2" w:rsidRPr="004570CF">
        <w:t xml:space="preserve"> SDAC defines an informal primary carer as a person who provides the most informal assistance, in terms of help or supervision, to a person with one or more disabilities. The assistance has to be ongoing, or likely </w:t>
      </w:r>
      <w:r w:rsidR="00445BD4">
        <w:t>to be ongoing, for at least six </w:t>
      </w:r>
      <w:r w:rsidR="001F39F2" w:rsidRPr="004570CF">
        <w:t xml:space="preserve">months and be provided for one or more of the core activities (communication, mobility and self care) </w:t>
      </w:r>
    </w:p>
    <w:p w:rsidR="001F39F2" w:rsidRPr="004570CF" w:rsidRDefault="00685AE1" w:rsidP="00585E2C">
      <w:pPr>
        <w:pStyle w:val="ListBullet"/>
      </w:pPr>
      <w:proofErr w:type="gramStart"/>
      <w:r w:rsidRPr="004570CF">
        <w:t>t</w:t>
      </w:r>
      <w:r w:rsidR="001F39F2" w:rsidRPr="004570CF">
        <w:t>he</w:t>
      </w:r>
      <w:proofErr w:type="gramEnd"/>
      <w:r w:rsidR="001F39F2" w:rsidRPr="004570CF">
        <w:t xml:space="preserve"> DS NMDS defines an informal carer as someone</w:t>
      </w:r>
      <w:r w:rsidR="00C21626" w:rsidRPr="004570CF">
        <w:t>,</w:t>
      </w:r>
      <w:r w:rsidR="001F39F2" w:rsidRPr="004570CF">
        <w:t xml:space="preserve"> such as a family member, friend or neighbour, who is identified as providing regular and sustained care and assistance to a person with disability (see section 14.7 for further details). Informal carers who provide assistance with core activities (self care, mobility and communication) are defined as primary carers.</w:t>
      </w:r>
    </w:p>
    <w:p w:rsidR="00D24B1B" w:rsidRDefault="001F39F2" w:rsidP="00626A1F">
      <w:pPr>
        <w:pStyle w:val="BodyText"/>
      </w:pPr>
      <w:r w:rsidRPr="00EF413D">
        <w:lastRenderedPageBreak/>
        <w:t>An estimated 57</w:t>
      </w:r>
      <w:r w:rsidR="00286A86" w:rsidRPr="00EF413D">
        <w:t>6</w:t>
      </w:r>
      <w:r w:rsidR="008F2226" w:rsidRPr="00EF413D">
        <w:t> </w:t>
      </w:r>
      <w:r w:rsidR="00286A86" w:rsidRPr="00EF413D">
        <w:t>4</w:t>
      </w:r>
      <w:r w:rsidRPr="00EF413D">
        <w:t>00 informal primary carers aged 15</w:t>
      </w:r>
      <w:r w:rsidR="008F2226" w:rsidRPr="00EF413D">
        <w:t>–</w:t>
      </w:r>
      <w:r w:rsidRPr="00EF413D">
        <w:t>64 years provided the majority of assistance with self care, mobility and communication for people with disability, including older people</w:t>
      </w:r>
      <w:r w:rsidR="00445BD4">
        <w:t>,</w:t>
      </w:r>
      <w:r w:rsidRPr="00EF413D">
        <w:t xml:space="preserve"> in 20</w:t>
      </w:r>
      <w:r w:rsidR="00286A86" w:rsidRPr="00EF413D">
        <w:t>12</w:t>
      </w:r>
      <w:r w:rsidRPr="00EF413D">
        <w:t xml:space="preserve"> (ABS 201</w:t>
      </w:r>
      <w:r w:rsidR="00286A86" w:rsidRPr="00EF413D">
        <w:t>3</w:t>
      </w:r>
      <w:r w:rsidRPr="00EF413D">
        <w:t>).</w:t>
      </w:r>
      <w:r w:rsidR="00286A86" w:rsidRPr="00EF413D">
        <w:t xml:space="preserve"> This </w:t>
      </w:r>
      <w:r w:rsidR="005266D2" w:rsidRPr="00EF413D">
        <w:t>is similar</w:t>
      </w:r>
      <w:r w:rsidR="00286A86" w:rsidRPr="00EF413D">
        <w:t xml:space="preserve"> to </w:t>
      </w:r>
      <w:r w:rsidR="005266D2" w:rsidRPr="00EF413D">
        <w:t>2009</w:t>
      </w:r>
      <w:r w:rsidR="00961CD5" w:rsidRPr="00EF413D">
        <w:t>,</w:t>
      </w:r>
      <w:r w:rsidR="005266D2" w:rsidRPr="00EF413D">
        <w:t xml:space="preserve"> </w:t>
      </w:r>
      <w:r w:rsidR="00445BD4">
        <w:t>when</w:t>
      </w:r>
      <w:r w:rsidR="005266D2" w:rsidRPr="00EF413D">
        <w:t xml:space="preserve"> there were </w:t>
      </w:r>
      <w:r w:rsidR="00286A86" w:rsidRPr="00EF413D">
        <w:t>575</w:t>
      </w:r>
      <w:r w:rsidR="005266D2" w:rsidRPr="00EF413D">
        <w:t> </w:t>
      </w:r>
      <w:r w:rsidR="00286A86" w:rsidRPr="00EF413D">
        <w:t>500 informal primary carers aged 15</w:t>
      </w:r>
      <w:r w:rsidR="00961CD5" w:rsidRPr="00EF413D">
        <w:t>–</w:t>
      </w:r>
      <w:r w:rsidR="00286A86" w:rsidRPr="00EF413D">
        <w:t>64 years (ABS 2011</w:t>
      </w:r>
      <w:r w:rsidR="006731B7">
        <w:t>a</w:t>
      </w:r>
      <w:r w:rsidR="00286A86" w:rsidRPr="00EF413D">
        <w:t>).</w:t>
      </w:r>
      <w:r w:rsidRPr="00EF413D">
        <w:t xml:space="preserve"> </w:t>
      </w:r>
      <w:r w:rsidRPr="00113F94">
        <w:t>Of</w:t>
      </w:r>
      <w:r w:rsidR="005266D2" w:rsidRPr="00113F94">
        <w:t> </w:t>
      </w:r>
      <w:r w:rsidR="00E22772">
        <w:t>299 945</w:t>
      </w:r>
      <w:r w:rsidR="0019455A">
        <w:t xml:space="preserve"> </w:t>
      </w:r>
      <w:r w:rsidRPr="00113F94">
        <w:t xml:space="preserve">people with disability who accessed NDA specialist disability services in </w:t>
      </w:r>
      <w:r w:rsidR="007F5E73" w:rsidRPr="00113F94">
        <w:t>2012</w:t>
      </w:r>
      <w:r w:rsidR="00B84AF2">
        <w:noBreakHyphen/>
      </w:r>
      <w:r w:rsidR="007F5E73" w:rsidRPr="00113F94">
        <w:t>13</w:t>
      </w:r>
      <w:r w:rsidRPr="00113F94">
        <w:t xml:space="preserve">, </w:t>
      </w:r>
      <w:r w:rsidR="00E22772">
        <w:t>44.3</w:t>
      </w:r>
      <w:r w:rsidRPr="00113F94">
        <w:t xml:space="preserve"> per cent reported having an informal carer and </w:t>
      </w:r>
      <w:r w:rsidR="00E22772">
        <w:t>32.2</w:t>
      </w:r>
      <w:r w:rsidRPr="00113F94">
        <w:t xml:space="preserve"> per cent reported having an informal carer who was a primary </w:t>
      </w:r>
      <w:r w:rsidRPr="00750CA2">
        <w:t>carer</w:t>
      </w:r>
      <w:r w:rsidR="00117EFA" w:rsidRPr="00750CA2">
        <w:t xml:space="preserve"> (figure</w:t>
      </w:r>
      <w:r w:rsidR="00AE3578">
        <w:t> </w:t>
      </w:r>
      <w:r w:rsidR="00117EFA" w:rsidRPr="00113F94">
        <w:t>14.3)</w:t>
      </w:r>
      <w:r w:rsidR="00A67259" w:rsidRPr="00113F94">
        <w:t xml:space="preserve">. </w:t>
      </w:r>
    </w:p>
    <w:p w:rsidR="00A60D58" w:rsidRDefault="00A60D58"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0D58" w:rsidTr="00730EA6">
        <w:tc>
          <w:tcPr>
            <w:tcW w:w="8771" w:type="dxa"/>
            <w:tcBorders>
              <w:top w:val="single" w:sz="6" w:space="0" w:color="78A22F"/>
              <w:left w:val="nil"/>
              <w:bottom w:val="nil"/>
              <w:right w:val="nil"/>
            </w:tcBorders>
            <w:shd w:val="clear" w:color="auto" w:fill="auto"/>
          </w:tcPr>
          <w:p w:rsidR="00A60D58" w:rsidRPr="00176D3F" w:rsidRDefault="00A60D58" w:rsidP="007F5E73">
            <w:pPr>
              <w:pStyle w:val="FigureTitle"/>
            </w:pPr>
            <w:r w:rsidRPr="00784A05">
              <w:rPr>
                <w:b w:val="0"/>
              </w:rPr>
              <w:t xml:space="preserve">Figure </w:t>
            </w:r>
            <w:r w:rsidR="00321568">
              <w:rPr>
                <w:b w:val="0"/>
              </w:rPr>
              <w:t>14.</w:t>
            </w:r>
            <w:r w:rsidR="0085284B">
              <w:rPr>
                <w:b w:val="0"/>
                <w:noProof/>
              </w:rPr>
              <w:t>3</w:t>
            </w:r>
            <w:r w:rsidRPr="00A32C32">
              <w:tab/>
              <w:t xml:space="preserve">Users of NDA specialist disability services, by whether they had an informal carer and geographic location, </w:t>
            </w:r>
            <w:r w:rsidR="007F5E73" w:rsidRPr="00A32C32">
              <w:t>2012</w:t>
            </w:r>
            <w:r w:rsidR="00B84AF2">
              <w:noBreakHyphen/>
            </w:r>
            <w:r w:rsidR="007F5E73" w:rsidRPr="00A32C32">
              <w:t>13</w:t>
            </w:r>
            <w:r w:rsidR="00A54DB5">
              <w:rPr>
                <w:rStyle w:val="NoteLabel"/>
                <w:b/>
              </w:rPr>
              <w:t>a, b, c</w:t>
            </w:r>
            <w:r w:rsidR="00E20C11">
              <w:rPr>
                <w:rStyle w:val="NoteLabel"/>
                <w:b/>
              </w:rPr>
              <w:t>, d</w:t>
            </w:r>
          </w:p>
        </w:tc>
      </w:tr>
      <w:tr w:rsidR="00A60D58"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A60D58" w:rsidTr="00730EA6">
              <w:trPr>
                <w:jc w:val="center"/>
              </w:trPr>
              <w:tc>
                <w:tcPr>
                  <w:tcW w:w="5000" w:type="pct"/>
                  <w:tcBorders>
                    <w:top w:val="nil"/>
                    <w:bottom w:val="nil"/>
                  </w:tcBorders>
                </w:tcPr>
                <w:p w:rsidR="00A60D58" w:rsidRDefault="0072265E" w:rsidP="00D639A9">
                  <w:pPr>
                    <w:pStyle w:val="BodyText"/>
                    <w:jc w:val="center"/>
                  </w:pPr>
                  <w:r>
                    <w:rPr>
                      <w:noProof/>
                    </w:rPr>
                    <w:drawing>
                      <wp:inline distT="0" distB="0" distL="0" distR="0">
                        <wp:extent cx="5238750" cy="2705100"/>
                        <wp:effectExtent l="0" t="0" r="0" b="0"/>
                        <wp:docPr id="3" name="Picture 3" descr="Figure 14.3 Users of NDA specialist disability services, by whether they had an informal carer and geographic location,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8750" cy="2705100"/>
                                </a:xfrm>
                                <a:prstGeom prst="rect">
                                  <a:avLst/>
                                </a:prstGeom>
                                <a:noFill/>
                                <a:ln>
                                  <a:noFill/>
                                </a:ln>
                              </pic:spPr>
                            </pic:pic>
                          </a:graphicData>
                        </a:graphic>
                      </wp:inline>
                    </w:drawing>
                  </w:r>
                </w:p>
              </w:tc>
            </w:tr>
          </w:tbl>
          <w:p w:rsidR="00A60D58" w:rsidRDefault="00A60D58" w:rsidP="00730EA6">
            <w:pPr>
              <w:pStyle w:val="Figure"/>
            </w:pPr>
          </w:p>
        </w:tc>
      </w:tr>
      <w:tr w:rsidR="00A60D58" w:rsidRPr="00B12BA2" w:rsidTr="00730EA6">
        <w:tc>
          <w:tcPr>
            <w:tcW w:w="8771" w:type="dxa"/>
            <w:tcBorders>
              <w:top w:val="nil"/>
              <w:left w:val="nil"/>
              <w:bottom w:val="nil"/>
              <w:right w:val="nil"/>
            </w:tcBorders>
            <w:shd w:val="clear" w:color="auto" w:fill="auto"/>
          </w:tcPr>
          <w:p w:rsidR="00A60D58" w:rsidRPr="00B12BA2" w:rsidRDefault="00A60D58" w:rsidP="00751636">
            <w:pPr>
              <w:pStyle w:val="Note"/>
            </w:pPr>
            <w:r w:rsidRPr="00B12BA2">
              <w:rPr>
                <w:rStyle w:val="NoteLabel"/>
              </w:rPr>
              <w:t xml:space="preserve"> </w:t>
            </w:r>
            <w:proofErr w:type="gramStart"/>
            <w:r w:rsidRPr="00B12BA2">
              <w:rPr>
                <w:rStyle w:val="NoteLabel"/>
              </w:rPr>
              <w:t>a</w:t>
            </w:r>
            <w:proofErr w:type="gramEnd"/>
            <w:r w:rsidRPr="00B12BA2">
              <w:sym w:font="Symbol" w:char="F020"/>
            </w:r>
            <w:r w:rsidRPr="00B12BA2">
              <w:t xml:space="preserve"> Total includes data for service users whose location was not collected/identified. </w:t>
            </w:r>
            <w:proofErr w:type="gramStart"/>
            <w:r w:rsidRPr="00B12BA2">
              <w:rPr>
                <w:rStyle w:val="NoteLabel"/>
              </w:rPr>
              <w:t>b</w:t>
            </w:r>
            <w:proofErr w:type="gramEnd"/>
            <w:r w:rsidRPr="00B12BA2">
              <w:t xml:space="preserve"> Data need to be interpreted with care due to factors affecting data quality. Section 14.6 contains further information on data quality issues. </w:t>
            </w:r>
            <w:proofErr w:type="gramStart"/>
            <w:r w:rsidRPr="00B12BA2">
              <w:rPr>
                <w:rStyle w:val="NoteLabel"/>
              </w:rPr>
              <w:t>c</w:t>
            </w:r>
            <w:proofErr w:type="gramEnd"/>
            <w:r w:rsidRPr="00B12BA2">
              <w:t xml:space="preserve"> Data relating to primary carers are not reported for all service users. Some service types are not required to collect all service user data items. For example, employment services are not required to collect selected informal carer information, including primary status. </w:t>
            </w:r>
            <w:proofErr w:type="gramStart"/>
            <w:r w:rsidR="00E20C11" w:rsidRPr="000453A1">
              <w:rPr>
                <w:rStyle w:val="NoteLabel"/>
                <w:shd w:val="clear" w:color="auto" w:fill="FFFFFF" w:themeFill="background1"/>
              </w:rPr>
              <w:t>d</w:t>
            </w:r>
            <w:proofErr w:type="gramEnd"/>
            <w:r w:rsidR="00E20C11" w:rsidRPr="000453A1">
              <w:rPr>
                <w:rStyle w:val="NoteLabel"/>
                <w:shd w:val="clear" w:color="auto" w:fill="FFFFFF" w:themeFill="background1"/>
              </w:rPr>
              <w:t xml:space="preserve"> </w:t>
            </w:r>
            <w:r w:rsidR="00E20C11" w:rsidRPr="000453A1">
              <w:rPr>
                <w:shd w:val="clear" w:color="auto" w:fill="FFFFFF" w:themeFill="background1"/>
              </w:rPr>
              <w:t>Percentages of informal carer categories are affected by the levels of unknown responses. For example, for Australia, 31 per cent of all users with a known response had no informal carer, compared with 20 per cent of all users. Similarly, 56 per cent of all users where primary carer status was k</w:t>
            </w:r>
            <w:r w:rsidR="00B3276E" w:rsidRPr="000453A1">
              <w:rPr>
                <w:shd w:val="clear" w:color="auto" w:fill="FFFFFF" w:themeFill="background1"/>
              </w:rPr>
              <w:t>nown had an informal carer who wa</w:t>
            </w:r>
            <w:r w:rsidR="00E20C11" w:rsidRPr="000453A1">
              <w:rPr>
                <w:shd w:val="clear" w:color="auto" w:fill="FFFFFF" w:themeFill="background1"/>
              </w:rPr>
              <w:t>s a primary carer, compared with</w:t>
            </w:r>
            <w:r w:rsidR="001A2413" w:rsidRPr="000453A1">
              <w:rPr>
                <w:shd w:val="clear" w:color="auto" w:fill="FFFFFF" w:themeFill="background1"/>
              </w:rPr>
              <w:t xml:space="preserve"> </w:t>
            </w:r>
            <w:r w:rsidR="00E20C11" w:rsidRPr="000453A1">
              <w:rPr>
                <w:shd w:val="clear" w:color="auto" w:fill="FFFFFF" w:themeFill="background1"/>
              </w:rPr>
              <w:t>32 per cent</w:t>
            </w:r>
            <w:r w:rsidR="00B3276E" w:rsidRPr="000453A1">
              <w:rPr>
                <w:shd w:val="clear" w:color="auto" w:fill="FFFFFF" w:themeFill="background1"/>
              </w:rPr>
              <w:t xml:space="preserve"> </w:t>
            </w:r>
            <w:r w:rsidR="001A2413" w:rsidRPr="000453A1">
              <w:rPr>
                <w:shd w:val="clear" w:color="auto" w:fill="FFFFFF" w:themeFill="background1"/>
              </w:rPr>
              <w:t xml:space="preserve">in this </w:t>
            </w:r>
            <w:proofErr w:type="gramStart"/>
            <w:r w:rsidR="001A2413" w:rsidRPr="000453A1">
              <w:rPr>
                <w:shd w:val="clear" w:color="auto" w:fill="FFFFFF" w:themeFill="background1"/>
              </w:rPr>
              <w:t xml:space="preserve">figure </w:t>
            </w:r>
            <w:r w:rsidR="00E20C11" w:rsidRPr="000453A1">
              <w:rPr>
                <w:shd w:val="clear" w:color="auto" w:fill="FFFFFF" w:themeFill="background1"/>
              </w:rPr>
              <w:t>.</w:t>
            </w:r>
            <w:proofErr w:type="gramEnd"/>
            <w:r w:rsidR="00E20C11" w:rsidRPr="000453A1">
              <w:rPr>
                <w:shd w:val="clear" w:color="auto" w:fill="FFFFFF" w:themeFill="background1"/>
              </w:rPr>
              <w:t xml:space="preserve"> High levels of not stated responses are mainly for users of open employment services, for </w:t>
            </w:r>
            <w:proofErr w:type="gramStart"/>
            <w:r w:rsidR="00E20C11" w:rsidRPr="000453A1">
              <w:rPr>
                <w:shd w:val="clear" w:color="auto" w:fill="FFFFFF" w:themeFill="background1"/>
              </w:rPr>
              <w:t>whom</w:t>
            </w:r>
            <w:proofErr w:type="gramEnd"/>
            <w:r w:rsidR="00E20C11" w:rsidRPr="000453A1">
              <w:rPr>
                <w:shd w:val="clear" w:color="auto" w:fill="FFFFFF" w:themeFill="background1"/>
              </w:rPr>
              <w:t xml:space="preserve"> 83 per cent had not stated informal carer status.</w:t>
            </w:r>
          </w:p>
        </w:tc>
      </w:tr>
      <w:tr w:rsidR="00A60D58" w:rsidRPr="009C77E2" w:rsidTr="00730EA6">
        <w:tc>
          <w:tcPr>
            <w:tcW w:w="8771" w:type="dxa"/>
            <w:tcBorders>
              <w:top w:val="nil"/>
              <w:left w:val="nil"/>
              <w:bottom w:val="nil"/>
              <w:right w:val="nil"/>
            </w:tcBorders>
            <w:shd w:val="clear" w:color="auto" w:fill="auto"/>
          </w:tcPr>
          <w:p w:rsidR="00A60D58" w:rsidRPr="009C77E2" w:rsidRDefault="00A60D58" w:rsidP="00730EA6">
            <w:pPr>
              <w:pStyle w:val="Source"/>
            </w:pPr>
            <w:r w:rsidRPr="009C77E2">
              <w:rPr>
                <w:i/>
              </w:rPr>
              <w:t>Source</w:t>
            </w:r>
            <w:r w:rsidRPr="009C77E2">
              <w:t xml:space="preserve">: Australian Institute of Health and Welfare (AIHW) (unpublished) </w:t>
            </w:r>
            <w:r w:rsidRPr="009C77E2">
              <w:rPr>
                <w:i/>
              </w:rPr>
              <w:t>DS NMDS</w:t>
            </w:r>
            <w:r w:rsidR="00044F4B">
              <w:rPr>
                <w:i/>
              </w:rPr>
              <w:t xml:space="preserve"> 2012</w:t>
            </w:r>
            <w:r w:rsidR="00B84AF2">
              <w:rPr>
                <w:i/>
              </w:rPr>
              <w:noBreakHyphen/>
            </w:r>
            <w:r w:rsidR="00044F4B">
              <w:rPr>
                <w:i/>
              </w:rPr>
              <w:t>13</w:t>
            </w:r>
            <w:r w:rsidRPr="009C77E2">
              <w:t>; table</w:t>
            </w:r>
            <w:r w:rsidR="00AE3578">
              <w:t> </w:t>
            </w:r>
            <w:r w:rsidRPr="009C77E2">
              <w:t>14A.2.</w:t>
            </w:r>
          </w:p>
        </w:tc>
      </w:tr>
      <w:tr w:rsidR="00A60D58" w:rsidTr="00730EA6">
        <w:tc>
          <w:tcPr>
            <w:tcW w:w="8771" w:type="dxa"/>
            <w:tcBorders>
              <w:top w:val="nil"/>
              <w:left w:val="nil"/>
              <w:bottom w:val="single" w:sz="6" w:space="0" w:color="78A22F"/>
              <w:right w:val="nil"/>
            </w:tcBorders>
            <w:shd w:val="clear" w:color="auto" w:fill="auto"/>
          </w:tcPr>
          <w:p w:rsidR="00A60D58" w:rsidRDefault="00A60D58" w:rsidP="00730EA6">
            <w:pPr>
              <w:pStyle w:val="Figurespace"/>
            </w:pPr>
          </w:p>
        </w:tc>
      </w:tr>
      <w:tr w:rsidR="00A60D58" w:rsidRPr="000863A5" w:rsidTr="00730EA6">
        <w:tc>
          <w:tcPr>
            <w:tcW w:w="8771" w:type="dxa"/>
            <w:tcBorders>
              <w:top w:val="single" w:sz="6" w:space="0" w:color="78A22F"/>
              <w:left w:val="nil"/>
              <w:bottom w:val="nil"/>
              <w:right w:val="nil"/>
            </w:tcBorders>
          </w:tcPr>
          <w:p w:rsidR="00A60D58" w:rsidRPr="00626D32" w:rsidRDefault="00A60D58" w:rsidP="00730EA6">
            <w:pPr>
              <w:pStyle w:val="BoxSpaceBelow"/>
            </w:pPr>
          </w:p>
        </w:tc>
      </w:tr>
    </w:tbl>
    <w:p w:rsidR="00A54DB5" w:rsidRDefault="00A54DB5" w:rsidP="00A54DB5">
      <w:pPr>
        <w:pStyle w:val="BodyText"/>
      </w:pPr>
      <w:r w:rsidRPr="00113F94">
        <w:t>Figure 14.</w:t>
      </w:r>
      <w:r>
        <w:t>4</w:t>
      </w:r>
      <w:r w:rsidRPr="00113F94">
        <w:t xml:space="preserve"> shows the proportions of informal primary carers who are in different age groups, by location</w:t>
      </w:r>
      <w:r w:rsidRPr="00C57204">
        <w:t>.</w:t>
      </w:r>
    </w:p>
    <w:p w:rsidR="00A32C32" w:rsidRDefault="00A32C32" w:rsidP="00A54DB5">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2C32" w:rsidTr="00A84DD1">
        <w:tc>
          <w:tcPr>
            <w:tcW w:w="8771" w:type="dxa"/>
            <w:tcBorders>
              <w:top w:val="single" w:sz="6" w:space="0" w:color="78A22F"/>
              <w:left w:val="nil"/>
              <w:bottom w:val="nil"/>
              <w:right w:val="nil"/>
            </w:tcBorders>
            <w:shd w:val="clear" w:color="auto" w:fill="auto"/>
          </w:tcPr>
          <w:p w:rsidR="00A32C32" w:rsidRPr="00176D3F" w:rsidRDefault="00A32C32" w:rsidP="00A54DB5">
            <w:pPr>
              <w:pStyle w:val="FigureTitle"/>
            </w:pPr>
            <w:r w:rsidRPr="00784A05">
              <w:rPr>
                <w:b w:val="0"/>
              </w:rPr>
              <w:t xml:space="preserve">Figure </w:t>
            </w:r>
            <w:r w:rsidR="00321568">
              <w:rPr>
                <w:b w:val="0"/>
              </w:rPr>
              <w:t>14.</w:t>
            </w:r>
            <w:r w:rsidR="0085284B">
              <w:rPr>
                <w:b w:val="0"/>
                <w:noProof/>
              </w:rPr>
              <w:t>4</w:t>
            </w:r>
            <w:r w:rsidRPr="00A32C32">
              <w:tab/>
              <w:t xml:space="preserve">Age distribution of primary carers of people accessing NDA specialist disability services, by location, </w:t>
            </w:r>
            <w:r>
              <w:t>2012</w:t>
            </w:r>
            <w:r w:rsidR="00B84AF2">
              <w:noBreakHyphen/>
            </w:r>
            <w:r>
              <w:t>13</w:t>
            </w:r>
            <w:r w:rsidRPr="00A32C32">
              <w:rPr>
                <w:rStyle w:val="NoteLabel"/>
                <w:b/>
              </w:rPr>
              <w:t>a, b, c</w:t>
            </w:r>
          </w:p>
        </w:tc>
      </w:tr>
      <w:tr w:rsidR="00A32C32" w:rsidTr="00A84D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A32C32" w:rsidTr="00A84DD1">
              <w:trPr>
                <w:jc w:val="center"/>
              </w:trPr>
              <w:tc>
                <w:tcPr>
                  <w:tcW w:w="5000" w:type="pct"/>
                  <w:tcBorders>
                    <w:top w:val="nil"/>
                    <w:bottom w:val="nil"/>
                  </w:tcBorders>
                </w:tcPr>
                <w:p w:rsidR="00113F94" w:rsidRDefault="0072265E" w:rsidP="00A84DD1">
                  <w:pPr>
                    <w:pStyle w:val="Figure"/>
                    <w:spacing w:before="60" w:after="60"/>
                  </w:pPr>
                  <w:r>
                    <w:rPr>
                      <w:noProof/>
                    </w:rPr>
                    <w:drawing>
                      <wp:inline distT="0" distB="0" distL="0" distR="0">
                        <wp:extent cx="5238750" cy="2705100"/>
                        <wp:effectExtent l="0" t="0" r="0" b="0"/>
                        <wp:docPr id="4" name="Picture 4" descr="Figure 14.4 Age distribution of primary carers of people accessing NDA specialist disability services, by location,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8750" cy="2705100"/>
                                </a:xfrm>
                                <a:prstGeom prst="rect">
                                  <a:avLst/>
                                </a:prstGeom>
                                <a:noFill/>
                                <a:ln>
                                  <a:noFill/>
                                </a:ln>
                              </pic:spPr>
                            </pic:pic>
                          </a:graphicData>
                        </a:graphic>
                      </wp:inline>
                    </w:drawing>
                  </w:r>
                </w:p>
              </w:tc>
            </w:tr>
          </w:tbl>
          <w:p w:rsidR="00A32C32" w:rsidRDefault="00A32C32" w:rsidP="00A84DD1">
            <w:pPr>
              <w:pStyle w:val="Figure"/>
            </w:pPr>
          </w:p>
        </w:tc>
      </w:tr>
      <w:tr w:rsidR="00A32C32" w:rsidRPr="00E54BBA" w:rsidTr="00A84DD1">
        <w:tc>
          <w:tcPr>
            <w:tcW w:w="8771" w:type="dxa"/>
            <w:tcBorders>
              <w:top w:val="nil"/>
              <w:left w:val="nil"/>
              <w:bottom w:val="nil"/>
              <w:right w:val="nil"/>
            </w:tcBorders>
            <w:shd w:val="clear" w:color="auto" w:fill="auto"/>
          </w:tcPr>
          <w:p w:rsidR="00A32C32" w:rsidRPr="00E54BBA" w:rsidRDefault="00A32C32" w:rsidP="0045593D">
            <w:pPr>
              <w:pStyle w:val="Note"/>
            </w:pPr>
            <w:proofErr w:type="gramStart"/>
            <w:r w:rsidRPr="00E54BBA">
              <w:rPr>
                <w:rStyle w:val="NoteLabel"/>
              </w:rPr>
              <w:t>a</w:t>
            </w:r>
            <w:proofErr w:type="gramEnd"/>
            <w:r w:rsidRPr="00E54BBA">
              <w:sym w:font="Symbol" w:char="F020"/>
            </w:r>
            <w:r w:rsidRPr="00E54BBA">
              <w:sym w:font="Symbol" w:char="F020"/>
            </w:r>
            <w:r w:rsidRPr="00E54BBA">
              <w:t xml:space="preserve">Total includes data for service users whose location was not collected/identified. </w:t>
            </w:r>
            <w:proofErr w:type="gramStart"/>
            <w:r w:rsidRPr="00E54BBA">
              <w:rPr>
                <w:rStyle w:val="NoteLabel"/>
              </w:rPr>
              <w:t>b</w:t>
            </w:r>
            <w:proofErr w:type="gramEnd"/>
            <w:r w:rsidRPr="00E54BBA">
              <w:t xml:space="preserve"> Data need to be interpreted with care due to factors affecting data quality. Section 14.6 contains further information on data quality issues. </w:t>
            </w:r>
            <w:proofErr w:type="gramStart"/>
            <w:r w:rsidRPr="00E54BBA">
              <w:rPr>
                <w:rStyle w:val="NoteLabel"/>
              </w:rPr>
              <w:t>c</w:t>
            </w:r>
            <w:proofErr w:type="gramEnd"/>
            <w:r w:rsidRPr="00E54BBA">
              <w:t xml:space="preserve"> Data relating to primary carers are not reported for all service users. Some service types are not required to collect all service user data items. For example, employment services are not required to collect selected informal carer information, including primary status.</w:t>
            </w:r>
          </w:p>
        </w:tc>
      </w:tr>
      <w:tr w:rsidR="00A32C32" w:rsidRPr="00E54BBA" w:rsidTr="00A84DD1">
        <w:tc>
          <w:tcPr>
            <w:tcW w:w="8771" w:type="dxa"/>
            <w:tcBorders>
              <w:top w:val="nil"/>
              <w:left w:val="nil"/>
              <w:bottom w:val="nil"/>
              <w:right w:val="nil"/>
            </w:tcBorders>
            <w:shd w:val="clear" w:color="auto" w:fill="auto"/>
          </w:tcPr>
          <w:p w:rsidR="00A32C32" w:rsidRPr="00E54BBA" w:rsidRDefault="00A32C32" w:rsidP="00A84DD1">
            <w:pPr>
              <w:pStyle w:val="Source"/>
            </w:pPr>
            <w:r w:rsidRPr="00E54BBA">
              <w:rPr>
                <w:i/>
              </w:rPr>
              <w:t>Source</w:t>
            </w:r>
            <w:r w:rsidRPr="00E54BBA">
              <w:t xml:space="preserve">: AIHW (unpublished) </w:t>
            </w:r>
            <w:r w:rsidRPr="00E54BBA">
              <w:rPr>
                <w:i/>
              </w:rPr>
              <w:t>DS NMDS</w:t>
            </w:r>
            <w:r w:rsidR="00044F4B">
              <w:rPr>
                <w:i/>
              </w:rPr>
              <w:t xml:space="preserve"> 2012</w:t>
            </w:r>
            <w:r w:rsidR="00B84AF2">
              <w:rPr>
                <w:i/>
              </w:rPr>
              <w:noBreakHyphen/>
            </w:r>
            <w:r w:rsidR="00044F4B">
              <w:rPr>
                <w:i/>
              </w:rPr>
              <w:t>13</w:t>
            </w:r>
            <w:r w:rsidRPr="00E54BBA">
              <w:t>; table</w:t>
            </w:r>
            <w:r w:rsidR="00AE3578">
              <w:t> </w:t>
            </w:r>
            <w:r w:rsidRPr="00E54BBA">
              <w:t>14A.</w:t>
            </w:r>
            <w:r w:rsidR="00683393">
              <w:t>4</w:t>
            </w:r>
            <w:r w:rsidRPr="00E54BBA">
              <w:t>.</w:t>
            </w:r>
          </w:p>
        </w:tc>
      </w:tr>
      <w:tr w:rsidR="00A32C32" w:rsidTr="00A84DD1">
        <w:tc>
          <w:tcPr>
            <w:tcW w:w="8771" w:type="dxa"/>
            <w:tcBorders>
              <w:top w:val="nil"/>
              <w:left w:val="nil"/>
              <w:bottom w:val="single" w:sz="6" w:space="0" w:color="78A22F"/>
              <w:right w:val="nil"/>
            </w:tcBorders>
            <w:shd w:val="clear" w:color="auto" w:fill="auto"/>
          </w:tcPr>
          <w:p w:rsidR="00A32C32" w:rsidRDefault="00A32C32" w:rsidP="00A84DD1">
            <w:pPr>
              <w:pStyle w:val="Figurespace"/>
            </w:pPr>
          </w:p>
        </w:tc>
      </w:tr>
      <w:tr w:rsidR="00A32C32" w:rsidRPr="000863A5" w:rsidTr="00A84DD1">
        <w:tc>
          <w:tcPr>
            <w:tcW w:w="8771" w:type="dxa"/>
            <w:tcBorders>
              <w:top w:val="single" w:sz="6" w:space="0" w:color="78A22F"/>
              <w:left w:val="nil"/>
              <w:bottom w:val="nil"/>
              <w:right w:val="nil"/>
            </w:tcBorders>
          </w:tcPr>
          <w:p w:rsidR="00A32C32" w:rsidRPr="00626D32" w:rsidRDefault="00A32C32" w:rsidP="00A84DD1">
            <w:pPr>
              <w:pStyle w:val="BoxSpaceBelow"/>
            </w:pPr>
          </w:p>
        </w:tc>
      </w:tr>
    </w:tbl>
    <w:p w:rsidR="001F39F2" w:rsidRPr="00FD76C0" w:rsidRDefault="001F39F2" w:rsidP="00585E2C">
      <w:pPr>
        <w:pStyle w:val="Heading4"/>
      </w:pPr>
      <w:bookmarkStart w:id="6" w:name="OLE_LINK2"/>
      <w:bookmarkEnd w:id="5"/>
      <w:r w:rsidRPr="00210E53">
        <w:t>Use of NDA specialist disability services</w:t>
      </w:r>
    </w:p>
    <w:p w:rsidR="002A3F57" w:rsidRPr="00FD76C0" w:rsidRDefault="001F39F2" w:rsidP="00585E2C">
      <w:pPr>
        <w:pStyle w:val="BodyText"/>
      </w:pPr>
      <w:r w:rsidRPr="00FD76C0">
        <w:t xml:space="preserve">In </w:t>
      </w:r>
      <w:r w:rsidR="00FD76C0" w:rsidRPr="00FD76C0">
        <w:t>2012</w:t>
      </w:r>
      <w:r w:rsidR="00B84AF2">
        <w:noBreakHyphen/>
      </w:r>
      <w:r w:rsidR="00FD76C0" w:rsidRPr="00FD76C0">
        <w:t>13</w:t>
      </w:r>
      <w:r w:rsidR="000C3E40" w:rsidRPr="00FD76C0">
        <w:t>,</w:t>
      </w:r>
      <w:r w:rsidRPr="00FD76C0">
        <w:t xml:space="preserve"> </w:t>
      </w:r>
      <w:r w:rsidR="00210E53">
        <w:t>187 559</w:t>
      </w:r>
      <w:r w:rsidR="00D24B1B">
        <w:t xml:space="preserve"> </w:t>
      </w:r>
      <w:r w:rsidRPr="00FD76C0">
        <w:t xml:space="preserve">people were reported as using specialist disability services </w:t>
      </w:r>
      <w:r w:rsidR="002A3F57" w:rsidRPr="00FD76C0">
        <w:t>administered by State and Territory governments</w:t>
      </w:r>
      <w:r w:rsidRPr="00FD76C0">
        <w:t xml:space="preserve"> under the NDA (excluding service users who received specialist psychi</w:t>
      </w:r>
      <w:r w:rsidR="009B2713">
        <w:t xml:space="preserve">atric disability services only). </w:t>
      </w:r>
      <w:r w:rsidR="002A3F57" w:rsidRPr="00FD76C0">
        <w:t xml:space="preserve">Nationally, </w:t>
      </w:r>
      <w:r w:rsidR="006D5A49" w:rsidRPr="00FD76C0">
        <w:t xml:space="preserve">this is </w:t>
      </w:r>
      <w:r w:rsidR="00210E53">
        <w:t>34.2</w:t>
      </w:r>
      <w:r w:rsidR="001B3857">
        <w:t> per </w:t>
      </w:r>
      <w:r w:rsidR="002A3F57" w:rsidRPr="00FD76C0">
        <w:t>cent of the estimated potential population (see section</w:t>
      </w:r>
      <w:r w:rsidR="00A64C59">
        <w:t>s</w:t>
      </w:r>
      <w:r w:rsidR="002A3F57" w:rsidRPr="00FD76C0">
        <w:t xml:space="preserve"> </w:t>
      </w:r>
      <w:r w:rsidR="00A64C59">
        <w:t xml:space="preserve">14.6 and </w:t>
      </w:r>
      <w:r w:rsidR="00A64C59" w:rsidRPr="00242FB0">
        <w:t>14.</w:t>
      </w:r>
      <w:r w:rsidR="00A64C59">
        <w:t xml:space="preserve">7 </w:t>
      </w:r>
      <w:r w:rsidR="002A3F57" w:rsidRPr="00FD76C0">
        <w:t>for information on how the potential population is defined) (figure</w:t>
      </w:r>
      <w:r w:rsidR="00AE3578">
        <w:t> </w:t>
      </w:r>
      <w:r w:rsidR="002A3F57" w:rsidRPr="00FD76C0">
        <w:t>14.5).</w:t>
      </w:r>
    </w:p>
    <w:p w:rsidR="00743448" w:rsidRPr="00D24B1B" w:rsidRDefault="00743448"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24B1B" w:rsidRPr="00D24B1B" w:rsidTr="00730EA6">
        <w:tc>
          <w:tcPr>
            <w:tcW w:w="8771" w:type="dxa"/>
            <w:tcBorders>
              <w:top w:val="single" w:sz="6" w:space="0" w:color="78A22F"/>
              <w:left w:val="nil"/>
              <w:bottom w:val="nil"/>
              <w:right w:val="nil"/>
            </w:tcBorders>
            <w:shd w:val="clear" w:color="auto" w:fill="auto"/>
          </w:tcPr>
          <w:p w:rsidR="00743448" w:rsidRPr="00D24B1B" w:rsidRDefault="00743448" w:rsidP="00743448">
            <w:pPr>
              <w:pStyle w:val="FigureTitle"/>
            </w:pPr>
            <w:r w:rsidRPr="00D24B1B">
              <w:rPr>
                <w:b w:val="0"/>
              </w:rPr>
              <w:t xml:space="preserve">Figure </w:t>
            </w:r>
            <w:r w:rsidR="00321568">
              <w:rPr>
                <w:b w:val="0"/>
              </w:rPr>
              <w:t>14.</w:t>
            </w:r>
            <w:r w:rsidR="0085284B">
              <w:rPr>
                <w:b w:val="0"/>
                <w:noProof/>
              </w:rPr>
              <w:t>5</w:t>
            </w:r>
            <w:r w:rsidRPr="00D24B1B">
              <w:tab/>
              <w:t>Users of NDA specialist disability services administered by State and Territory governments as a proportion of the estimated potential population</w:t>
            </w:r>
            <w:r w:rsidRPr="00D24B1B">
              <w:rPr>
                <w:rStyle w:val="NoteLabel"/>
                <w:b/>
              </w:rPr>
              <w:t>a, b</w:t>
            </w:r>
          </w:p>
        </w:tc>
      </w:tr>
      <w:tr w:rsidR="00743448"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43448" w:rsidTr="00730EA6">
              <w:trPr>
                <w:jc w:val="center"/>
              </w:trPr>
              <w:tc>
                <w:tcPr>
                  <w:tcW w:w="5000" w:type="pct"/>
                  <w:tcBorders>
                    <w:top w:val="nil"/>
                    <w:bottom w:val="nil"/>
                  </w:tcBorders>
                </w:tcPr>
                <w:p w:rsidR="00D24B1B" w:rsidRDefault="0072265E" w:rsidP="00BF5C27">
                  <w:pPr>
                    <w:pStyle w:val="Figure"/>
                    <w:spacing w:before="60" w:after="60"/>
                  </w:pPr>
                  <w:r>
                    <w:rPr>
                      <w:noProof/>
                    </w:rPr>
                    <w:drawing>
                      <wp:inline distT="0" distB="0" distL="0" distR="0">
                        <wp:extent cx="5238750" cy="2705100"/>
                        <wp:effectExtent l="0" t="0" r="0" b="0"/>
                        <wp:docPr id="5" name="Picture 5" descr="Figure 14.5 Users of NDA specialist disability services administered by State and Territory governments as a proportion of the estimated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0" cy="2705100"/>
                                </a:xfrm>
                                <a:prstGeom prst="rect">
                                  <a:avLst/>
                                </a:prstGeom>
                                <a:noFill/>
                                <a:ln>
                                  <a:noFill/>
                                </a:ln>
                              </pic:spPr>
                            </pic:pic>
                          </a:graphicData>
                        </a:graphic>
                      </wp:inline>
                    </w:drawing>
                  </w:r>
                </w:p>
              </w:tc>
            </w:tr>
          </w:tbl>
          <w:p w:rsidR="00743448" w:rsidRDefault="00743448" w:rsidP="00730EA6">
            <w:pPr>
              <w:pStyle w:val="Figure"/>
            </w:pPr>
          </w:p>
        </w:tc>
      </w:tr>
      <w:tr w:rsidR="00743448" w:rsidRPr="00560255" w:rsidTr="00730EA6">
        <w:tc>
          <w:tcPr>
            <w:tcW w:w="8771" w:type="dxa"/>
            <w:tcBorders>
              <w:top w:val="nil"/>
              <w:left w:val="nil"/>
              <w:bottom w:val="nil"/>
              <w:right w:val="nil"/>
            </w:tcBorders>
            <w:shd w:val="clear" w:color="auto" w:fill="auto"/>
          </w:tcPr>
          <w:p w:rsidR="00743448" w:rsidRPr="00560255" w:rsidRDefault="00743448" w:rsidP="0045593D">
            <w:pPr>
              <w:pStyle w:val="Note"/>
            </w:pPr>
            <w:proofErr w:type="gramStart"/>
            <w:r w:rsidRPr="00560255">
              <w:rPr>
                <w:rStyle w:val="NoteLabel"/>
              </w:rPr>
              <w:t>a</w:t>
            </w:r>
            <w:proofErr w:type="gramEnd"/>
            <w:r w:rsidRPr="00560255">
              <w:t xml:space="preserve"> See </w:t>
            </w:r>
            <w:r w:rsidR="00A64C59" w:rsidRPr="00FD76C0">
              <w:t>section</w:t>
            </w:r>
            <w:r w:rsidR="00A64C59">
              <w:t>s</w:t>
            </w:r>
            <w:r w:rsidR="00A64C59" w:rsidRPr="00FD76C0">
              <w:t xml:space="preserve"> </w:t>
            </w:r>
            <w:r w:rsidR="00A64C59">
              <w:t xml:space="preserve">14.6 and </w:t>
            </w:r>
            <w:r w:rsidR="00A64C59" w:rsidRPr="00242FB0">
              <w:t>14.</w:t>
            </w:r>
            <w:r w:rsidR="00A64C59">
              <w:t>7</w:t>
            </w:r>
            <w:r w:rsidR="002466CC">
              <w:t xml:space="preserve"> </w:t>
            </w:r>
            <w:r w:rsidRPr="00560255">
              <w:t xml:space="preserve">for information on how the potential population is defined. </w:t>
            </w:r>
            <w:proofErr w:type="gramStart"/>
            <w:r w:rsidRPr="00560255">
              <w:rPr>
                <w:rStyle w:val="NoteLabel"/>
              </w:rPr>
              <w:t>b</w:t>
            </w:r>
            <w:proofErr w:type="gramEnd"/>
            <w:r w:rsidRPr="00560255">
              <w:rPr>
                <w:rStyle w:val="NoteLabel"/>
              </w:rPr>
              <w:t xml:space="preserve"> </w:t>
            </w:r>
            <w:r w:rsidRPr="00560255">
              <w:t>Data need to be interpreted with care due to factors affecting data quality. Section 14.6 contains further information on data quality issues.</w:t>
            </w:r>
          </w:p>
        </w:tc>
      </w:tr>
      <w:tr w:rsidR="00560255" w:rsidRPr="00210E53" w:rsidTr="00730EA6">
        <w:tc>
          <w:tcPr>
            <w:tcW w:w="8771" w:type="dxa"/>
            <w:tcBorders>
              <w:top w:val="nil"/>
              <w:left w:val="nil"/>
              <w:bottom w:val="nil"/>
              <w:right w:val="nil"/>
            </w:tcBorders>
            <w:shd w:val="clear" w:color="auto" w:fill="auto"/>
          </w:tcPr>
          <w:p w:rsidR="00743448" w:rsidRPr="00560255" w:rsidRDefault="00743448" w:rsidP="00683393">
            <w:pPr>
              <w:pStyle w:val="Note"/>
              <w:keepNext/>
              <w:rPr>
                <w:szCs w:val="18"/>
              </w:rPr>
            </w:pPr>
            <w:r w:rsidRPr="00560255">
              <w:rPr>
                <w:i/>
              </w:rPr>
              <w:t>Source</w:t>
            </w:r>
            <w:r w:rsidRPr="00560255">
              <w:t xml:space="preserve">: </w:t>
            </w:r>
            <w:bookmarkStart w:id="7" w:name="OLE_LINK16"/>
            <w:bookmarkStart w:id="8" w:name="OLE_LINK21"/>
            <w:bookmarkStart w:id="9" w:name="OLE_LINK22"/>
            <w:bookmarkStart w:id="10" w:name="OLE_LINK23"/>
            <w:r w:rsidRPr="00560255">
              <w:t xml:space="preserve">AIHW (unpublished), </w:t>
            </w:r>
            <w:r w:rsidRPr="00A85575">
              <w:rPr>
                <w:i/>
              </w:rPr>
              <w:t>DS NMDS</w:t>
            </w:r>
            <w:r w:rsidRPr="00560255">
              <w:t xml:space="preserve"> 2009</w:t>
            </w:r>
            <w:r w:rsidR="00B84AF2">
              <w:noBreakHyphen/>
            </w:r>
            <w:r w:rsidRPr="00560255">
              <w:t xml:space="preserve">10 to </w:t>
            </w:r>
            <w:r w:rsidR="00C57204">
              <w:t>2012</w:t>
            </w:r>
            <w:r w:rsidR="00B84AF2">
              <w:noBreakHyphen/>
            </w:r>
            <w:r w:rsidR="00C57204">
              <w:t>13</w:t>
            </w:r>
            <w:r w:rsidRPr="00FA0A23">
              <w:rPr>
                <w:i/>
              </w:rPr>
              <w:t>, CSTDA National Minimum Data Set (NMDS) 2008</w:t>
            </w:r>
            <w:r w:rsidR="00B84AF2">
              <w:rPr>
                <w:i/>
              </w:rPr>
              <w:noBreakHyphen/>
            </w:r>
            <w:r w:rsidRPr="00FA0A23">
              <w:rPr>
                <w:i/>
              </w:rPr>
              <w:t>09</w:t>
            </w:r>
            <w:r w:rsidRPr="00560255">
              <w:t xml:space="preserve">; AIHW analysis of the ABS </w:t>
            </w:r>
            <w:r w:rsidRPr="00560255">
              <w:rPr>
                <w:i/>
              </w:rPr>
              <w:t>Estimated</w:t>
            </w:r>
            <w:r w:rsidR="00C57204">
              <w:rPr>
                <w:i/>
              </w:rPr>
              <w:t xml:space="preserve"> Resident Population June 2008</w:t>
            </w:r>
            <w:r w:rsidR="00B84AF2">
              <w:rPr>
                <w:i/>
              </w:rPr>
              <w:t>–</w:t>
            </w:r>
            <w:r w:rsidR="00C57204">
              <w:rPr>
                <w:i/>
              </w:rPr>
              <w:t>2012</w:t>
            </w:r>
            <w:r w:rsidRPr="00560255">
              <w:rPr>
                <w:i/>
              </w:rPr>
              <w:t xml:space="preserve">, ABS Census of Population and Housing </w:t>
            </w:r>
            <w:r w:rsidR="00FA0A23">
              <w:rPr>
                <w:i/>
              </w:rPr>
              <w:t xml:space="preserve">2006 </w:t>
            </w:r>
            <w:r w:rsidR="00FA0A23" w:rsidRPr="00FA0A23">
              <w:rPr>
                <w:i/>
              </w:rPr>
              <w:t xml:space="preserve">and </w:t>
            </w:r>
            <w:r w:rsidR="00C57204" w:rsidRPr="00FA0A23">
              <w:rPr>
                <w:i/>
              </w:rPr>
              <w:t>2011</w:t>
            </w:r>
            <w:r w:rsidR="00C57204">
              <w:t xml:space="preserve"> </w:t>
            </w:r>
            <w:r w:rsidRPr="00560255">
              <w:t xml:space="preserve">and the ABS </w:t>
            </w:r>
            <w:r w:rsidRPr="00560255">
              <w:rPr>
                <w:i/>
              </w:rPr>
              <w:t>Survey of Disability, Ageing and Carers 2009</w:t>
            </w:r>
            <w:bookmarkEnd w:id="7"/>
            <w:bookmarkEnd w:id="8"/>
            <w:bookmarkEnd w:id="9"/>
            <w:bookmarkEnd w:id="10"/>
            <w:r w:rsidR="00C57204">
              <w:rPr>
                <w:i/>
              </w:rPr>
              <w:t xml:space="preserve"> and 2012</w:t>
            </w:r>
            <w:r w:rsidR="00044F4B">
              <w:rPr>
                <w:i/>
              </w:rPr>
              <w:t>,</w:t>
            </w:r>
            <w:r w:rsidR="00445BD4">
              <w:t xml:space="preserve"> table </w:t>
            </w:r>
            <w:r w:rsidRPr="00560255">
              <w:t>14A.</w:t>
            </w:r>
            <w:r w:rsidR="00683393" w:rsidRPr="00560255">
              <w:t>1</w:t>
            </w:r>
            <w:r w:rsidR="00683393">
              <w:t>5</w:t>
            </w:r>
            <w:r w:rsidRPr="00560255">
              <w:t xml:space="preserve">. </w:t>
            </w:r>
          </w:p>
        </w:tc>
      </w:tr>
      <w:tr w:rsidR="00743448" w:rsidTr="00730EA6">
        <w:tc>
          <w:tcPr>
            <w:tcW w:w="8771" w:type="dxa"/>
            <w:tcBorders>
              <w:top w:val="nil"/>
              <w:left w:val="nil"/>
              <w:bottom w:val="single" w:sz="6" w:space="0" w:color="78A22F"/>
              <w:right w:val="nil"/>
            </w:tcBorders>
            <w:shd w:val="clear" w:color="auto" w:fill="auto"/>
          </w:tcPr>
          <w:p w:rsidR="00743448" w:rsidRDefault="00743448" w:rsidP="00730EA6">
            <w:pPr>
              <w:pStyle w:val="Figurespace"/>
            </w:pPr>
          </w:p>
        </w:tc>
      </w:tr>
      <w:tr w:rsidR="00743448" w:rsidRPr="000863A5" w:rsidTr="00730EA6">
        <w:tc>
          <w:tcPr>
            <w:tcW w:w="8771" w:type="dxa"/>
            <w:tcBorders>
              <w:top w:val="single" w:sz="6" w:space="0" w:color="78A22F"/>
              <w:left w:val="nil"/>
              <w:bottom w:val="nil"/>
              <w:right w:val="nil"/>
            </w:tcBorders>
          </w:tcPr>
          <w:p w:rsidR="00743448" w:rsidRPr="00626D32" w:rsidRDefault="00743448" w:rsidP="00730EA6">
            <w:pPr>
              <w:pStyle w:val="BoxSpaceBelow"/>
            </w:pPr>
          </w:p>
        </w:tc>
      </w:tr>
    </w:tbl>
    <w:p w:rsidR="001F39F2" w:rsidRPr="00DE363A" w:rsidRDefault="001F39F2" w:rsidP="00585E2C">
      <w:pPr>
        <w:pStyle w:val="BodyText"/>
      </w:pPr>
      <w:r w:rsidRPr="00DE363A">
        <w:t>Service user numbers varied across service types. Accommodation support</w:t>
      </w:r>
      <w:r w:rsidR="000C3E40" w:rsidRPr="00DE363A">
        <w:t xml:space="preserve"> (</w:t>
      </w:r>
      <w:r w:rsidR="00560255">
        <w:t>35 561</w:t>
      </w:r>
      <w:r w:rsidR="00D24B1B" w:rsidRPr="00DE363A">
        <w:t xml:space="preserve"> </w:t>
      </w:r>
      <w:r w:rsidR="000C3E40" w:rsidRPr="00DE363A">
        <w:t>users)</w:t>
      </w:r>
      <w:r w:rsidRPr="00DE363A">
        <w:t>, community access</w:t>
      </w:r>
      <w:r w:rsidR="000C3E40" w:rsidRPr="00DE363A">
        <w:t xml:space="preserve"> (</w:t>
      </w:r>
      <w:r w:rsidR="00560255">
        <w:t>47 721</w:t>
      </w:r>
      <w:r w:rsidR="000C3E40" w:rsidRPr="00DE363A">
        <w:t xml:space="preserve"> users)</w:t>
      </w:r>
      <w:r w:rsidRPr="00DE363A">
        <w:t>, community support</w:t>
      </w:r>
      <w:r w:rsidR="000C3E40" w:rsidRPr="00DE363A">
        <w:t xml:space="preserve"> (</w:t>
      </w:r>
      <w:r w:rsidR="00560255">
        <w:t>138 695</w:t>
      </w:r>
      <w:r w:rsidR="000C3E40" w:rsidRPr="00DE363A">
        <w:t xml:space="preserve"> users)</w:t>
      </w:r>
      <w:r w:rsidRPr="00DE363A">
        <w:t xml:space="preserve"> and respite services </w:t>
      </w:r>
      <w:r w:rsidR="000C3E40" w:rsidRPr="00DE363A">
        <w:t>(</w:t>
      </w:r>
      <w:r w:rsidR="00560255">
        <w:t>35 6</w:t>
      </w:r>
      <w:r w:rsidR="00241794">
        <w:t>52</w:t>
      </w:r>
      <w:r w:rsidR="00445BD4">
        <w:t xml:space="preserve"> users</w:t>
      </w:r>
      <w:r w:rsidR="000C3E40" w:rsidRPr="00DE363A">
        <w:t xml:space="preserve">) </w:t>
      </w:r>
      <w:r w:rsidRPr="00DE363A">
        <w:t xml:space="preserve">reported a </w:t>
      </w:r>
      <w:r w:rsidR="000C3E40" w:rsidRPr="00DE363A">
        <w:t xml:space="preserve">combined </w:t>
      </w:r>
      <w:r w:rsidRPr="00DE363A">
        <w:t xml:space="preserve">total of </w:t>
      </w:r>
      <w:r w:rsidR="00560255">
        <w:t>187 559</w:t>
      </w:r>
      <w:r w:rsidR="000C3E40" w:rsidRPr="00DE363A">
        <w:t xml:space="preserve"> </w:t>
      </w:r>
      <w:r w:rsidRPr="00DE363A">
        <w:t xml:space="preserve">users </w:t>
      </w:r>
      <w:r w:rsidR="000C3E40" w:rsidRPr="00DE363A">
        <w:t>(table</w:t>
      </w:r>
      <w:r w:rsidR="00AE3578">
        <w:t> </w:t>
      </w:r>
      <w:r w:rsidR="000C3E40" w:rsidRPr="00DE363A">
        <w:t>14A.</w:t>
      </w:r>
      <w:r w:rsidR="00683393" w:rsidRPr="00DE363A">
        <w:t>1</w:t>
      </w:r>
      <w:r w:rsidR="00683393">
        <w:t>5</w:t>
      </w:r>
      <w:r w:rsidR="000C3E40" w:rsidRPr="00DE363A">
        <w:t xml:space="preserve">) </w:t>
      </w:r>
      <w:r w:rsidRPr="00DE363A">
        <w:t xml:space="preserve">and employment services reported a total of </w:t>
      </w:r>
      <w:r w:rsidR="002E5465">
        <w:t>129 698</w:t>
      </w:r>
      <w:r w:rsidRPr="006F166D">
        <w:t xml:space="preserve"> users, in </w:t>
      </w:r>
      <w:r w:rsidR="00D24B1B" w:rsidRPr="006F166D">
        <w:t>2012</w:t>
      </w:r>
      <w:r w:rsidR="00B84AF2">
        <w:noBreakHyphen/>
      </w:r>
      <w:r w:rsidR="00D24B1B" w:rsidRPr="006F166D">
        <w:t>13</w:t>
      </w:r>
      <w:r w:rsidRPr="006F166D">
        <w:t xml:space="preserve"> (figure 14.6).</w:t>
      </w:r>
    </w:p>
    <w:p w:rsidR="00743448" w:rsidRDefault="00743448"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3448" w:rsidTr="00730EA6">
        <w:tc>
          <w:tcPr>
            <w:tcW w:w="8771" w:type="dxa"/>
            <w:tcBorders>
              <w:top w:val="single" w:sz="6" w:space="0" w:color="78A22F"/>
              <w:left w:val="nil"/>
              <w:bottom w:val="nil"/>
              <w:right w:val="nil"/>
            </w:tcBorders>
            <w:shd w:val="clear" w:color="auto" w:fill="auto"/>
          </w:tcPr>
          <w:p w:rsidR="00743448" w:rsidRPr="00176D3F" w:rsidRDefault="00743448" w:rsidP="00743448">
            <w:pPr>
              <w:pStyle w:val="FigureTitle"/>
            </w:pPr>
            <w:r w:rsidRPr="00784A05">
              <w:rPr>
                <w:b w:val="0"/>
              </w:rPr>
              <w:t xml:space="preserve">Figure </w:t>
            </w:r>
            <w:r w:rsidR="00321568">
              <w:rPr>
                <w:b w:val="0"/>
              </w:rPr>
              <w:t>14.</w:t>
            </w:r>
            <w:r w:rsidR="0085284B">
              <w:rPr>
                <w:b w:val="0"/>
                <w:noProof/>
              </w:rPr>
              <w:t>6</w:t>
            </w:r>
            <w:r w:rsidRPr="00D24B1B">
              <w:tab/>
              <w:t>Users of NDA specialist disability services, by service type</w:t>
            </w:r>
            <w:r w:rsidR="00102FF7">
              <w:rPr>
                <w:rStyle w:val="NoteLabel"/>
                <w:b/>
              </w:rPr>
              <w:t>a, </w:t>
            </w:r>
            <w:r w:rsidRPr="00D24B1B">
              <w:rPr>
                <w:rStyle w:val="NoteLabel"/>
                <w:b/>
              </w:rPr>
              <w:t>b</w:t>
            </w:r>
          </w:p>
        </w:tc>
      </w:tr>
      <w:tr w:rsidR="00743448"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43448" w:rsidTr="00730EA6">
              <w:trPr>
                <w:jc w:val="center"/>
              </w:trPr>
              <w:tc>
                <w:tcPr>
                  <w:tcW w:w="5000" w:type="pct"/>
                  <w:tcBorders>
                    <w:top w:val="nil"/>
                    <w:bottom w:val="nil"/>
                  </w:tcBorders>
                </w:tcPr>
                <w:p w:rsidR="00D24B1B" w:rsidRDefault="0072265E" w:rsidP="00730EA6">
                  <w:pPr>
                    <w:pStyle w:val="Figure"/>
                    <w:spacing w:before="60" w:after="60"/>
                  </w:pPr>
                  <w:r>
                    <w:rPr>
                      <w:noProof/>
                    </w:rPr>
                    <w:drawing>
                      <wp:inline distT="0" distB="0" distL="0" distR="0">
                        <wp:extent cx="5238750" cy="2686050"/>
                        <wp:effectExtent l="0" t="0" r="0" b="0"/>
                        <wp:docPr id="6" name="Picture 6" descr="Figure 14.6 Users of NDA specialist disability services, by service typ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743448" w:rsidRDefault="00743448" w:rsidP="00730EA6">
            <w:pPr>
              <w:pStyle w:val="Figure"/>
            </w:pPr>
          </w:p>
        </w:tc>
      </w:tr>
      <w:tr w:rsidR="00743448" w:rsidRPr="00BF5C27" w:rsidTr="00730EA6">
        <w:tc>
          <w:tcPr>
            <w:tcW w:w="8771" w:type="dxa"/>
            <w:tcBorders>
              <w:top w:val="nil"/>
              <w:left w:val="nil"/>
              <w:bottom w:val="nil"/>
              <w:right w:val="nil"/>
            </w:tcBorders>
            <w:shd w:val="clear" w:color="auto" w:fill="auto"/>
          </w:tcPr>
          <w:p w:rsidR="00743448" w:rsidRPr="00BF5C27" w:rsidRDefault="00743448" w:rsidP="00683393">
            <w:pPr>
              <w:pStyle w:val="Note"/>
            </w:pPr>
            <w:proofErr w:type="gramStart"/>
            <w:r w:rsidRPr="00BF5C27">
              <w:rPr>
                <w:rStyle w:val="NoteLabel"/>
              </w:rPr>
              <w:t>a</w:t>
            </w:r>
            <w:proofErr w:type="gramEnd"/>
            <w:r w:rsidRPr="00BF5C27">
              <w:t xml:space="preserve"> Data need to be interpreted with care due to a number of factors affecting data quality. Section 14.6 contains further information on data quality issues. </w:t>
            </w:r>
            <w:proofErr w:type="gramStart"/>
            <w:r w:rsidRPr="00BF5C27">
              <w:rPr>
                <w:rStyle w:val="NoteLabel"/>
              </w:rPr>
              <w:t>b</w:t>
            </w:r>
            <w:proofErr w:type="gramEnd"/>
            <w:r w:rsidRPr="00BF5C27">
              <w:rPr>
                <w:rStyle w:val="NoteLabel"/>
              </w:rPr>
              <w:t xml:space="preserve"> </w:t>
            </w:r>
            <w:r w:rsidRPr="00BF5C27">
              <w:t>See table</w:t>
            </w:r>
            <w:r w:rsidR="00AE3578">
              <w:t> </w:t>
            </w:r>
            <w:r w:rsidRPr="00BF5C27">
              <w:t>14A.</w:t>
            </w:r>
            <w:r w:rsidR="00683393" w:rsidRPr="00BF5C27">
              <w:t>1</w:t>
            </w:r>
            <w:r w:rsidR="00683393">
              <w:t>5</w:t>
            </w:r>
            <w:r w:rsidR="00683393" w:rsidRPr="00BF5C27">
              <w:t xml:space="preserve"> </w:t>
            </w:r>
            <w:r w:rsidRPr="00BF5C27">
              <w:t>for detailed notes relating to these data.</w:t>
            </w:r>
          </w:p>
        </w:tc>
      </w:tr>
      <w:tr w:rsidR="00743448" w:rsidRPr="00BF5C27" w:rsidTr="00730EA6">
        <w:tc>
          <w:tcPr>
            <w:tcW w:w="8771" w:type="dxa"/>
            <w:tcBorders>
              <w:top w:val="nil"/>
              <w:left w:val="nil"/>
              <w:bottom w:val="nil"/>
              <w:right w:val="nil"/>
            </w:tcBorders>
            <w:shd w:val="clear" w:color="auto" w:fill="auto"/>
          </w:tcPr>
          <w:p w:rsidR="00743448" w:rsidRPr="00BF5C27" w:rsidRDefault="00743448" w:rsidP="00683393">
            <w:pPr>
              <w:pStyle w:val="Source"/>
            </w:pPr>
            <w:r w:rsidRPr="00BF5C27">
              <w:rPr>
                <w:i/>
              </w:rPr>
              <w:t>Source</w:t>
            </w:r>
            <w:r w:rsidRPr="00BF5C27">
              <w:t xml:space="preserve">: </w:t>
            </w:r>
            <w:r w:rsidR="00102FF7" w:rsidRPr="00560255">
              <w:t xml:space="preserve">AIHW (unpublished), </w:t>
            </w:r>
            <w:r w:rsidR="00102FF7" w:rsidRPr="00FA0A23">
              <w:rPr>
                <w:i/>
              </w:rPr>
              <w:t>DS NMDS 2009</w:t>
            </w:r>
            <w:r w:rsidR="00B84AF2">
              <w:rPr>
                <w:i/>
              </w:rPr>
              <w:noBreakHyphen/>
            </w:r>
            <w:r w:rsidR="00102FF7" w:rsidRPr="00FA0A23">
              <w:rPr>
                <w:i/>
              </w:rPr>
              <w:t>10 to 2012</w:t>
            </w:r>
            <w:r w:rsidR="00B84AF2">
              <w:rPr>
                <w:i/>
              </w:rPr>
              <w:noBreakHyphen/>
            </w:r>
            <w:r w:rsidR="00102FF7" w:rsidRPr="00FA0A23">
              <w:rPr>
                <w:i/>
              </w:rPr>
              <w:t>13</w:t>
            </w:r>
            <w:r w:rsidR="00102FF7" w:rsidRPr="00560255">
              <w:t xml:space="preserve">, </w:t>
            </w:r>
            <w:r w:rsidR="00102FF7" w:rsidRPr="00FA0A23">
              <w:rPr>
                <w:i/>
              </w:rPr>
              <w:t>CSTDA National Minimum Data Set (NMDS) 2008</w:t>
            </w:r>
            <w:r w:rsidR="00B84AF2">
              <w:rPr>
                <w:i/>
              </w:rPr>
              <w:noBreakHyphen/>
            </w:r>
            <w:r w:rsidR="00102FF7" w:rsidRPr="00FA0A23">
              <w:rPr>
                <w:i/>
              </w:rPr>
              <w:t>09</w:t>
            </w:r>
            <w:r w:rsidR="00102FF7" w:rsidRPr="00560255">
              <w:t xml:space="preserve">; AIHW analysis of the ABS </w:t>
            </w:r>
            <w:r w:rsidR="00102FF7" w:rsidRPr="00560255">
              <w:rPr>
                <w:i/>
              </w:rPr>
              <w:t>Estimated</w:t>
            </w:r>
            <w:r w:rsidR="00102FF7">
              <w:rPr>
                <w:i/>
              </w:rPr>
              <w:t xml:space="preserve"> Resident Population June 2008</w:t>
            </w:r>
            <w:r w:rsidR="00B84AF2">
              <w:rPr>
                <w:i/>
              </w:rPr>
              <w:t>–</w:t>
            </w:r>
            <w:r w:rsidR="00102FF7">
              <w:rPr>
                <w:i/>
              </w:rPr>
              <w:t>2012</w:t>
            </w:r>
            <w:r w:rsidR="00102FF7" w:rsidRPr="00560255">
              <w:rPr>
                <w:i/>
              </w:rPr>
              <w:t xml:space="preserve">, ABS Census of Population and Housing </w:t>
            </w:r>
            <w:r w:rsidR="00FA0A23">
              <w:rPr>
                <w:i/>
              </w:rPr>
              <w:t xml:space="preserve">2006 and </w:t>
            </w:r>
            <w:r w:rsidR="00102FF7" w:rsidRPr="00FA0A23">
              <w:rPr>
                <w:i/>
              </w:rPr>
              <w:t>2011</w:t>
            </w:r>
            <w:r w:rsidR="00102FF7">
              <w:t xml:space="preserve"> </w:t>
            </w:r>
            <w:r w:rsidR="00102FF7" w:rsidRPr="00560255">
              <w:t xml:space="preserve">and the ABS </w:t>
            </w:r>
            <w:r w:rsidR="00102FF7" w:rsidRPr="00560255">
              <w:rPr>
                <w:i/>
              </w:rPr>
              <w:t>Survey of Disability, Ageing and Carers 2009</w:t>
            </w:r>
            <w:r w:rsidR="00102FF7">
              <w:rPr>
                <w:i/>
              </w:rPr>
              <w:t xml:space="preserve"> and 2012</w:t>
            </w:r>
            <w:r w:rsidR="00102FF7">
              <w:t xml:space="preserve">; </w:t>
            </w:r>
            <w:r w:rsidRPr="00BF5C27">
              <w:t>table</w:t>
            </w:r>
            <w:r w:rsidR="00445BD4">
              <w:t> </w:t>
            </w:r>
            <w:r w:rsidRPr="00BF5C27">
              <w:t>14A.</w:t>
            </w:r>
            <w:r w:rsidR="00683393" w:rsidRPr="00BF5C27">
              <w:t>1</w:t>
            </w:r>
            <w:r w:rsidR="00683393">
              <w:t>5</w:t>
            </w:r>
            <w:r w:rsidRPr="00BF5C27">
              <w:t>.</w:t>
            </w:r>
          </w:p>
        </w:tc>
      </w:tr>
      <w:tr w:rsidR="00743448" w:rsidTr="00730EA6">
        <w:tc>
          <w:tcPr>
            <w:tcW w:w="8771" w:type="dxa"/>
            <w:tcBorders>
              <w:top w:val="nil"/>
              <w:left w:val="nil"/>
              <w:bottom w:val="single" w:sz="6" w:space="0" w:color="78A22F"/>
              <w:right w:val="nil"/>
            </w:tcBorders>
            <w:shd w:val="clear" w:color="auto" w:fill="auto"/>
          </w:tcPr>
          <w:p w:rsidR="00743448" w:rsidRDefault="00743448" w:rsidP="00730EA6">
            <w:pPr>
              <w:pStyle w:val="Figurespace"/>
            </w:pPr>
          </w:p>
        </w:tc>
      </w:tr>
      <w:tr w:rsidR="00743448" w:rsidRPr="000863A5" w:rsidTr="00730EA6">
        <w:tc>
          <w:tcPr>
            <w:tcW w:w="8771" w:type="dxa"/>
            <w:tcBorders>
              <w:top w:val="single" w:sz="6" w:space="0" w:color="78A22F"/>
              <w:left w:val="nil"/>
              <w:bottom w:val="nil"/>
              <w:right w:val="nil"/>
            </w:tcBorders>
          </w:tcPr>
          <w:p w:rsidR="00743448" w:rsidRPr="00626D32" w:rsidRDefault="00743448" w:rsidP="00730EA6">
            <w:pPr>
              <w:pStyle w:val="BoxSpaceBelow"/>
            </w:pPr>
          </w:p>
        </w:tc>
      </w:tr>
    </w:tbl>
    <w:p w:rsidR="001F39F2" w:rsidRPr="00DE363A" w:rsidRDefault="001F39F2" w:rsidP="00585E2C">
      <w:pPr>
        <w:pStyle w:val="BodyText"/>
      </w:pPr>
      <w:r w:rsidRPr="00DE363A">
        <w:t xml:space="preserve">In </w:t>
      </w:r>
      <w:r w:rsidR="00FD76C0" w:rsidRPr="00DE363A">
        <w:t>2012</w:t>
      </w:r>
      <w:r w:rsidR="00B84AF2">
        <w:noBreakHyphen/>
      </w:r>
      <w:r w:rsidR="00FD76C0" w:rsidRPr="00DE363A">
        <w:t>13</w:t>
      </w:r>
      <w:r w:rsidRPr="00DE363A">
        <w:t>, the most commonly reported disability of NDA service users was an intellectual disability (</w:t>
      </w:r>
      <w:r w:rsidR="00241794">
        <w:t>33.7</w:t>
      </w:r>
      <w:r w:rsidRPr="00DE363A">
        <w:t xml:space="preserve"> per cent of service users, including </w:t>
      </w:r>
      <w:r w:rsidR="00241794">
        <w:t>28.0</w:t>
      </w:r>
      <w:r w:rsidRPr="00DE363A">
        <w:t xml:space="preserve"> per cent who reported it as their primary disability) (figure</w:t>
      </w:r>
      <w:r w:rsidR="00AE3578">
        <w:t> </w:t>
      </w:r>
      <w:r w:rsidRPr="00DE363A">
        <w:t>14.7).</w:t>
      </w:r>
    </w:p>
    <w:p w:rsidR="006A6FE4" w:rsidRDefault="006A6FE4"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6FE4" w:rsidTr="00730EA6">
        <w:tc>
          <w:tcPr>
            <w:tcW w:w="8771" w:type="dxa"/>
            <w:tcBorders>
              <w:top w:val="single" w:sz="6" w:space="0" w:color="78A22F"/>
              <w:left w:val="nil"/>
              <w:bottom w:val="nil"/>
              <w:right w:val="nil"/>
            </w:tcBorders>
            <w:shd w:val="clear" w:color="auto" w:fill="auto"/>
          </w:tcPr>
          <w:p w:rsidR="006A6FE4" w:rsidRPr="00176D3F" w:rsidRDefault="006A6FE4" w:rsidP="00663BBF">
            <w:pPr>
              <w:pStyle w:val="FigureTitle"/>
            </w:pPr>
            <w:r w:rsidRPr="00784A05">
              <w:rPr>
                <w:b w:val="0"/>
              </w:rPr>
              <w:t xml:space="preserve">Figure </w:t>
            </w:r>
            <w:r w:rsidR="00321568">
              <w:rPr>
                <w:b w:val="0"/>
              </w:rPr>
              <w:t>14.</w:t>
            </w:r>
            <w:r w:rsidR="0085284B">
              <w:rPr>
                <w:b w:val="0"/>
                <w:noProof/>
              </w:rPr>
              <w:t>7</w:t>
            </w:r>
            <w:r>
              <w:tab/>
            </w:r>
            <w:r w:rsidRPr="00D24B1B">
              <w:t>NDA specialist disability service users, by disability group, 2012</w:t>
            </w:r>
            <w:r w:rsidR="00B84AF2">
              <w:noBreakHyphen/>
            </w:r>
            <w:r w:rsidRPr="00D24B1B">
              <w:t>13</w:t>
            </w:r>
            <w:r w:rsidRPr="00D24B1B">
              <w:rPr>
                <w:rStyle w:val="NoteLabel"/>
                <w:b/>
              </w:rPr>
              <w:t>a, b</w:t>
            </w:r>
          </w:p>
        </w:tc>
      </w:tr>
      <w:tr w:rsidR="006A6FE4"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6A6FE4" w:rsidTr="00730EA6">
              <w:trPr>
                <w:jc w:val="center"/>
              </w:trPr>
              <w:tc>
                <w:tcPr>
                  <w:tcW w:w="5000" w:type="pct"/>
                  <w:tcBorders>
                    <w:top w:val="nil"/>
                    <w:bottom w:val="nil"/>
                  </w:tcBorders>
                </w:tcPr>
                <w:p w:rsidR="00D24B1B" w:rsidRDefault="0072265E" w:rsidP="00730EA6">
                  <w:pPr>
                    <w:pStyle w:val="Figure"/>
                    <w:spacing w:before="60" w:after="60"/>
                  </w:pPr>
                  <w:r>
                    <w:rPr>
                      <w:noProof/>
                    </w:rPr>
                    <w:drawing>
                      <wp:inline distT="0" distB="0" distL="0" distR="0">
                        <wp:extent cx="5238750" cy="2705100"/>
                        <wp:effectExtent l="0" t="0" r="0" b="0"/>
                        <wp:docPr id="7" name="Picture 7" descr="Figure 14.7 NDA specialist disability service users, by disability group,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8750" cy="2705100"/>
                                </a:xfrm>
                                <a:prstGeom prst="rect">
                                  <a:avLst/>
                                </a:prstGeom>
                                <a:noFill/>
                                <a:ln>
                                  <a:noFill/>
                                </a:ln>
                              </pic:spPr>
                            </pic:pic>
                          </a:graphicData>
                        </a:graphic>
                      </wp:inline>
                    </w:drawing>
                  </w:r>
                </w:p>
              </w:tc>
            </w:tr>
          </w:tbl>
          <w:p w:rsidR="006A6FE4" w:rsidRDefault="006A6FE4" w:rsidP="00730EA6">
            <w:pPr>
              <w:pStyle w:val="Figure"/>
            </w:pPr>
          </w:p>
        </w:tc>
      </w:tr>
      <w:tr w:rsidR="00BF5C27" w:rsidRPr="00241794" w:rsidTr="00730EA6">
        <w:tc>
          <w:tcPr>
            <w:tcW w:w="8771" w:type="dxa"/>
            <w:tcBorders>
              <w:top w:val="nil"/>
              <w:left w:val="nil"/>
              <w:bottom w:val="nil"/>
              <w:right w:val="nil"/>
            </w:tcBorders>
            <w:shd w:val="clear" w:color="auto" w:fill="auto"/>
          </w:tcPr>
          <w:p w:rsidR="006A6FE4" w:rsidRPr="00BF5C27" w:rsidRDefault="00445BD4" w:rsidP="00C73AAC">
            <w:pPr>
              <w:pStyle w:val="Note"/>
            </w:pPr>
            <w:r>
              <w:t>DL = Delayed d</w:t>
            </w:r>
            <w:r w:rsidR="006A6FE4" w:rsidRPr="00C458AE">
              <w:t>evelop</w:t>
            </w:r>
            <w:r>
              <w:t>ment; Intellect = Intellectual disability; SL = Specific l</w:t>
            </w:r>
            <w:r w:rsidR="006A6FE4" w:rsidRPr="00C458AE">
              <w:t xml:space="preserve">earning; ABI = Acquired brain injury; DB = Deafblind; Psych = Psychiatric; Neuro = Neurological. </w:t>
            </w:r>
            <w:proofErr w:type="gramStart"/>
            <w:r w:rsidR="006A6FE4" w:rsidRPr="00C458AE">
              <w:rPr>
                <w:rStyle w:val="NoteLabel"/>
              </w:rPr>
              <w:t>a</w:t>
            </w:r>
            <w:proofErr w:type="gramEnd"/>
            <w:r w:rsidR="006A6FE4" w:rsidRPr="00C458AE">
              <w:t xml:space="preserve"> Data need to be interpreted with care due to factors affecting data quality. </w:t>
            </w:r>
            <w:proofErr w:type="gramStart"/>
            <w:r w:rsidR="006A6FE4" w:rsidRPr="00C458AE">
              <w:rPr>
                <w:rStyle w:val="NoteLabel"/>
              </w:rPr>
              <w:t>b</w:t>
            </w:r>
            <w:proofErr w:type="gramEnd"/>
            <w:r w:rsidR="006A6FE4" w:rsidRPr="00C458AE">
              <w:rPr>
                <w:rStyle w:val="NoteLabel"/>
              </w:rPr>
              <w:t xml:space="preserve"> </w:t>
            </w:r>
            <w:r w:rsidR="006A6FE4" w:rsidRPr="00C458AE">
              <w:t>See tables</w:t>
            </w:r>
            <w:r w:rsidR="00AE3578">
              <w:t> </w:t>
            </w:r>
            <w:r w:rsidR="006A6FE4" w:rsidRPr="00C458AE">
              <w:t>14A.</w:t>
            </w:r>
            <w:r w:rsidR="00683393" w:rsidRPr="00C458AE">
              <w:t>1</w:t>
            </w:r>
            <w:r w:rsidR="00683393">
              <w:t>6</w:t>
            </w:r>
            <w:r w:rsidR="00B84AF2">
              <w:noBreakHyphen/>
            </w:r>
            <w:r w:rsidR="00C73AAC">
              <w:t>1</w:t>
            </w:r>
            <w:r w:rsidR="00683393">
              <w:t>7</w:t>
            </w:r>
            <w:r w:rsidR="00683393" w:rsidRPr="00C458AE">
              <w:t xml:space="preserve"> </w:t>
            </w:r>
            <w:r w:rsidR="006A6FE4" w:rsidRPr="00C458AE">
              <w:t>for detailed notes relating to these data.</w:t>
            </w:r>
          </w:p>
        </w:tc>
      </w:tr>
      <w:tr w:rsidR="006A6FE4" w:rsidRPr="00C458AE" w:rsidTr="00730EA6">
        <w:tc>
          <w:tcPr>
            <w:tcW w:w="8771" w:type="dxa"/>
            <w:tcBorders>
              <w:top w:val="nil"/>
              <w:left w:val="nil"/>
              <w:bottom w:val="nil"/>
              <w:right w:val="nil"/>
            </w:tcBorders>
            <w:shd w:val="clear" w:color="auto" w:fill="auto"/>
          </w:tcPr>
          <w:p w:rsidR="006A6FE4" w:rsidRPr="00C458AE" w:rsidRDefault="006A6FE4" w:rsidP="00C73AAC">
            <w:pPr>
              <w:pStyle w:val="Source"/>
            </w:pPr>
            <w:r w:rsidRPr="00C458AE">
              <w:rPr>
                <w:i/>
              </w:rPr>
              <w:t>Source</w:t>
            </w:r>
            <w:r w:rsidRPr="00C458AE">
              <w:t xml:space="preserve">: AIHW (unpublished) </w:t>
            </w:r>
            <w:r w:rsidRPr="00C458AE">
              <w:rPr>
                <w:i/>
              </w:rPr>
              <w:t>DS NMDS</w:t>
            </w:r>
            <w:r w:rsidRPr="00C458AE">
              <w:t>; tables</w:t>
            </w:r>
            <w:r w:rsidR="00AE3578">
              <w:t> </w:t>
            </w:r>
            <w:r w:rsidRPr="00C458AE">
              <w:t>14A.</w:t>
            </w:r>
            <w:r w:rsidR="00683393" w:rsidRPr="00C458AE">
              <w:t>1</w:t>
            </w:r>
            <w:r w:rsidR="00683393">
              <w:t>6</w:t>
            </w:r>
            <w:r w:rsidR="00B84AF2">
              <w:noBreakHyphen/>
            </w:r>
            <w:r w:rsidR="00683393" w:rsidRPr="00C458AE">
              <w:t>1</w:t>
            </w:r>
            <w:r w:rsidR="00683393">
              <w:t>7</w:t>
            </w:r>
            <w:r w:rsidRPr="00C458AE">
              <w:t>.</w:t>
            </w:r>
          </w:p>
        </w:tc>
      </w:tr>
      <w:tr w:rsidR="006A6FE4" w:rsidTr="00730EA6">
        <w:tc>
          <w:tcPr>
            <w:tcW w:w="8771" w:type="dxa"/>
            <w:tcBorders>
              <w:top w:val="nil"/>
              <w:left w:val="nil"/>
              <w:bottom w:val="single" w:sz="6" w:space="0" w:color="78A22F"/>
              <w:right w:val="nil"/>
            </w:tcBorders>
            <w:shd w:val="clear" w:color="auto" w:fill="auto"/>
          </w:tcPr>
          <w:p w:rsidR="006A6FE4" w:rsidRDefault="006A6FE4" w:rsidP="00730EA6">
            <w:pPr>
              <w:pStyle w:val="Figurespace"/>
            </w:pPr>
          </w:p>
        </w:tc>
      </w:tr>
      <w:tr w:rsidR="006A6FE4" w:rsidRPr="000863A5" w:rsidTr="00730EA6">
        <w:tc>
          <w:tcPr>
            <w:tcW w:w="8771" w:type="dxa"/>
            <w:tcBorders>
              <w:top w:val="single" w:sz="6" w:space="0" w:color="78A22F"/>
              <w:left w:val="nil"/>
              <w:bottom w:val="nil"/>
              <w:right w:val="nil"/>
            </w:tcBorders>
          </w:tcPr>
          <w:p w:rsidR="006A6FE4" w:rsidRPr="00626D32" w:rsidRDefault="006A6FE4" w:rsidP="00730EA6">
            <w:pPr>
              <w:pStyle w:val="BoxSpaceBelow"/>
            </w:pPr>
          </w:p>
        </w:tc>
      </w:tr>
    </w:tbl>
    <w:bookmarkEnd w:id="6"/>
    <w:p w:rsidR="001E28AE" w:rsidRPr="00FD76C0" w:rsidRDefault="001E28AE" w:rsidP="001E28AE">
      <w:pPr>
        <w:pStyle w:val="Heading4"/>
      </w:pPr>
      <w:r w:rsidRPr="00FD76C0">
        <w:t>Basic Community Care</w:t>
      </w:r>
    </w:p>
    <w:p w:rsidR="00242A87" w:rsidRPr="00DA246C" w:rsidRDefault="00BD1C57" w:rsidP="000453A1">
      <w:pPr>
        <w:pStyle w:val="BodyText"/>
        <w:shd w:val="clear" w:color="auto" w:fill="FFFFFF" w:themeFill="background1"/>
      </w:pPr>
      <w:r>
        <w:t>BCC</w:t>
      </w:r>
      <w:r w:rsidR="00242A87" w:rsidRPr="0002561A">
        <w:t xml:space="preserve"> services are provided under the NDA to assist people with disability to live independently and to actively participate and engage in their community. </w:t>
      </w:r>
      <w:r w:rsidR="008B7B74" w:rsidRPr="0002561A">
        <w:t xml:space="preserve">BCC services include basic maintenance and support services, including allied health care, </w:t>
      </w:r>
      <w:r w:rsidR="008B7B74" w:rsidRPr="00D65A47">
        <w:t>assessment, case management and client care coordination, centre</w:t>
      </w:r>
      <w:r w:rsidR="00B84AF2">
        <w:noBreakHyphen/>
      </w:r>
      <w:r w:rsidR="008B7B74" w:rsidRPr="00D65A47">
        <w:t>based day care, counselling, support, information and advocacy, domestic assistance, home maintenance, nursing, personal care and respite care, social support, meals, home modification, linen service, goods and equipment, and transport.</w:t>
      </w:r>
    </w:p>
    <w:p w:rsidR="00F21046" w:rsidRDefault="00F21046" w:rsidP="000453A1">
      <w:pPr>
        <w:pStyle w:val="BodyText"/>
        <w:shd w:val="clear" w:color="auto" w:fill="FFFFFF" w:themeFill="background1"/>
      </w:pPr>
      <w:r w:rsidRPr="00242A87">
        <w:t xml:space="preserve">States and Territories have full financial and operational responsibility for BCC services for people with disability aged </w:t>
      </w:r>
      <w:proofErr w:type="gramStart"/>
      <w:r w:rsidRPr="00242A87">
        <w:t>under</w:t>
      </w:r>
      <w:proofErr w:type="gramEnd"/>
      <w:r w:rsidRPr="00242A87">
        <w:t xml:space="preserve"> 65 years (and Aboriginal and Torres Strait Islander people aged under </w:t>
      </w:r>
      <w:r w:rsidRPr="00076EA6">
        <w:t>50 years).</w:t>
      </w:r>
      <w:r w:rsidRPr="00DC4A2F">
        <w:t xml:space="preserve"> </w:t>
      </w:r>
      <w:r w:rsidR="005C6A51" w:rsidRPr="000453A1">
        <w:rPr>
          <w:shd w:val="clear" w:color="auto" w:fill="FFFFFF" w:themeFill="background1"/>
        </w:rPr>
        <w:t>Similar</w:t>
      </w:r>
      <w:r w:rsidR="008B7B74" w:rsidRPr="00076EA6">
        <w:t xml:space="preserve"> services </w:t>
      </w:r>
      <w:r w:rsidR="008B7B74" w:rsidRPr="00DC4A2F">
        <w:t xml:space="preserve">for older people </w:t>
      </w:r>
      <w:r w:rsidR="008B7B74" w:rsidRPr="00076EA6">
        <w:t xml:space="preserve">are funded and </w:t>
      </w:r>
      <w:r w:rsidRPr="00076EA6">
        <w:t>delivered</w:t>
      </w:r>
      <w:r w:rsidR="008B7B74" w:rsidRPr="00076EA6">
        <w:t xml:space="preserve"> through the </w:t>
      </w:r>
      <w:r w:rsidRPr="00076EA6">
        <w:t xml:space="preserve">Australian Government </w:t>
      </w:r>
      <w:r w:rsidR="008B7B74">
        <w:t xml:space="preserve">Commonwealth </w:t>
      </w:r>
      <w:r w:rsidRPr="008B7B74">
        <w:t xml:space="preserve">Home and Community Care </w:t>
      </w:r>
      <w:r w:rsidR="000E3BFA">
        <w:t>(</w:t>
      </w:r>
      <w:r w:rsidR="008B7B74">
        <w:t>HACC</w:t>
      </w:r>
      <w:r w:rsidR="000E3BFA">
        <w:t>)</w:t>
      </w:r>
      <w:r w:rsidR="008B7B74">
        <w:t xml:space="preserve"> program</w:t>
      </w:r>
      <w:r>
        <w:t xml:space="preserve"> </w:t>
      </w:r>
      <w:r w:rsidR="008B7B74">
        <w:t>(</w:t>
      </w:r>
      <w:r w:rsidR="008B7B74" w:rsidRPr="00D65A47">
        <w:t>except in Victoria and WA</w:t>
      </w:r>
      <w:r w:rsidR="008B7B74">
        <w:t>,</w:t>
      </w:r>
      <w:r w:rsidR="008B7B74" w:rsidRPr="00D65A47">
        <w:t xml:space="preserve"> where </w:t>
      </w:r>
      <w:r>
        <w:t>it</w:t>
      </w:r>
      <w:r w:rsidR="008B7B74">
        <w:t xml:space="preserve"> </w:t>
      </w:r>
      <w:r w:rsidR="008B7B74" w:rsidRPr="00D65A47">
        <w:t>i</w:t>
      </w:r>
      <w:r w:rsidR="008B7B74">
        <w:t>s a joint Australian</w:t>
      </w:r>
      <w:r w:rsidR="00B3276E">
        <w:t xml:space="preserve"> and </w:t>
      </w:r>
      <w:r w:rsidR="008B7B74">
        <w:t>State government</w:t>
      </w:r>
      <w:r w:rsidR="008B7B74" w:rsidRPr="00D65A47">
        <w:t xml:space="preserve"> program administered under the </w:t>
      </w:r>
      <w:r w:rsidR="008B7B74" w:rsidRPr="00D65A47">
        <w:rPr>
          <w:i/>
        </w:rPr>
        <w:t>Home and Community Care Review Agreement 2007</w:t>
      </w:r>
      <w:r w:rsidR="008B7B74">
        <w:rPr>
          <w:i/>
        </w:rPr>
        <w:t>)</w:t>
      </w:r>
      <w:r w:rsidR="00076EA6">
        <w:t>. Further information on these services can be found in sector overview F.</w:t>
      </w:r>
    </w:p>
    <w:p w:rsidR="001E28AE" w:rsidRPr="00ED3E35" w:rsidRDefault="001E28AE" w:rsidP="00626A1F">
      <w:pPr>
        <w:pStyle w:val="BodyText"/>
      </w:pPr>
      <w:r w:rsidRPr="00ED3E35">
        <w:t xml:space="preserve">Nationally in </w:t>
      </w:r>
      <w:r w:rsidR="00D3306D" w:rsidRPr="00ED3E35">
        <w:t>2013</w:t>
      </w:r>
      <w:r w:rsidR="00B84AF2">
        <w:noBreakHyphen/>
      </w:r>
      <w:r w:rsidR="00D3306D" w:rsidRPr="00ED3E35">
        <w:t>14</w:t>
      </w:r>
      <w:r w:rsidR="00ED3E35">
        <w:t>,</w:t>
      </w:r>
      <w:r w:rsidRPr="00ED3E35">
        <w:t xml:space="preserve"> </w:t>
      </w:r>
      <w:r w:rsidR="00445BD4">
        <w:t>217 </w:t>
      </w:r>
      <w:r w:rsidR="00ED3E35" w:rsidRPr="00ED3E35">
        <w:t xml:space="preserve">427 </w:t>
      </w:r>
      <w:r w:rsidRPr="00ED3E35">
        <w:t xml:space="preserve">people under the age of 65 years (and </w:t>
      </w:r>
      <w:r w:rsidR="00904E97" w:rsidRPr="00ED3E35">
        <w:t xml:space="preserve">Aboriginal and Torres Strait </w:t>
      </w:r>
      <w:r w:rsidR="00C21DBC">
        <w:t>Islander people</w:t>
      </w:r>
      <w:r w:rsidRPr="00ED3E35">
        <w:t xml:space="preserve"> under the age of 50 year</w:t>
      </w:r>
      <w:r w:rsidR="00D65A47">
        <w:t>s) received BCC services (table </w:t>
      </w:r>
      <w:r w:rsidRPr="00ED3E35">
        <w:t>14.</w:t>
      </w:r>
      <w:r w:rsidR="00B9634A">
        <w:t>1</w:t>
      </w:r>
      <w:r w:rsidRPr="00ED3E35">
        <w:t>).</w:t>
      </w:r>
    </w:p>
    <w:p w:rsidR="006A6FE4" w:rsidRPr="00A54DB5" w:rsidRDefault="006A6FE4" w:rsidP="00730EA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A6FE4" w:rsidRPr="00ED3E35" w:rsidTr="00730EA6">
        <w:tc>
          <w:tcPr>
            <w:tcW w:w="8771" w:type="dxa"/>
            <w:tcBorders>
              <w:top w:val="single" w:sz="6" w:space="0" w:color="78A22F"/>
              <w:left w:val="nil"/>
              <w:bottom w:val="nil"/>
              <w:right w:val="nil"/>
            </w:tcBorders>
            <w:shd w:val="clear" w:color="auto" w:fill="auto"/>
          </w:tcPr>
          <w:p w:rsidR="006A6FE4" w:rsidRPr="00ED3E35" w:rsidRDefault="006A6FE4" w:rsidP="00B9634A">
            <w:pPr>
              <w:pStyle w:val="TableTitle"/>
            </w:pPr>
            <w:r w:rsidRPr="00ED3E35">
              <w:rPr>
                <w:b w:val="0"/>
              </w:rPr>
              <w:t xml:space="preserve">Table </w:t>
            </w:r>
            <w:r w:rsidR="00321568">
              <w:rPr>
                <w:b w:val="0"/>
              </w:rPr>
              <w:t>14.</w:t>
            </w:r>
            <w:r w:rsidR="00B9634A">
              <w:rPr>
                <w:b w:val="0"/>
              </w:rPr>
              <w:t>1</w:t>
            </w:r>
            <w:r w:rsidRPr="00ED3E35">
              <w:tab/>
              <w:t xml:space="preserve">Number of people receiving BCC services aged under 65 years and Aboriginal and Torres Strait </w:t>
            </w:r>
            <w:r w:rsidR="00C21DBC">
              <w:t>Islander people</w:t>
            </w:r>
            <w:r w:rsidRPr="00ED3E35">
              <w:t xml:space="preserve"> aged under 50 years, </w:t>
            </w:r>
            <w:r w:rsidR="00DD7396" w:rsidRPr="00ED3E35">
              <w:t>2013</w:t>
            </w:r>
            <w:r w:rsidR="00B84AF2">
              <w:noBreakHyphen/>
            </w:r>
            <w:r w:rsidR="00DD7396" w:rsidRPr="00ED3E35">
              <w:t>14</w:t>
            </w:r>
            <w:r w:rsidRPr="00ED3E35">
              <w:rPr>
                <w:rStyle w:val="NoteLabel"/>
                <w:b/>
              </w:rPr>
              <w:t>a, b, c, d</w:t>
            </w:r>
          </w:p>
        </w:tc>
      </w:tr>
      <w:tr w:rsidR="006A6FE4" w:rsidRPr="00ED3E35" w:rsidTr="00730EA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263"/>
              <w:gridCol w:w="854"/>
              <w:gridCol w:w="776"/>
              <w:gridCol w:w="698"/>
              <w:gridCol w:w="691"/>
              <w:gridCol w:w="691"/>
              <w:gridCol w:w="577"/>
              <w:gridCol w:w="575"/>
              <w:gridCol w:w="523"/>
              <w:gridCol w:w="839"/>
            </w:tblGrid>
            <w:tr w:rsidR="00ED3E35" w:rsidRPr="00ED3E35" w:rsidTr="00ED3E35">
              <w:tc>
                <w:tcPr>
                  <w:tcW w:w="1333" w:type="pct"/>
                  <w:tcBorders>
                    <w:top w:val="single" w:sz="4" w:space="0" w:color="BFBFBF"/>
                    <w:bottom w:val="single" w:sz="4" w:space="0" w:color="BFBFBF"/>
                  </w:tcBorders>
                  <w:shd w:val="clear" w:color="auto" w:fill="auto"/>
                </w:tcPr>
                <w:p w:rsidR="00ED3E35" w:rsidRPr="00ED3E35" w:rsidRDefault="00ED3E35" w:rsidP="001207A1">
                  <w:pPr>
                    <w:pStyle w:val="TableColumnHeading"/>
                  </w:pPr>
                </w:p>
              </w:tc>
              <w:tc>
                <w:tcPr>
                  <w:tcW w:w="503" w:type="pct"/>
                  <w:tcBorders>
                    <w:top w:val="single" w:sz="4" w:space="0" w:color="BFBFBF"/>
                    <w:bottom w:val="single" w:sz="4" w:space="0" w:color="BFBFBF"/>
                  </w:tcBorders>
                </w:tcPr>
                <w:p w:rsidR="00ED3E35" w:rsidRPr="00ED3E35" w:rsidRDefault="00ED3E35" w:rsidP="001207A1">
                  <w:pPr>
                    <w:pStyle w:val="TableColumnHeading"/>
                  </w:pPr>
                  <w:r w:rsidRPr="00ED3E35">
                    <w:t>NSW</w:t>
                  </w:r>
                </w:p>
              </w:tc>
              <w:tc>
                <w:tcPr>
                  <w:tcW w:w="457" w:type="pct"/>
                  <w:tcBorders>
                    <w:top w:val="single" w:sz="4" w:space="0" w:color="BFBFBF"/>
                    <w:bottom w:val="single" w:sz="4" w:space="0" w:color="BFBFBF"/>
                  </w:tcBorders>
                </w:tcPr>
                <w:p w:rsidR="00ED3E35" w:rsidRPr="00ED3E35" w:rsidRDefault="00ED3E35" w:rsidP="001207A1">
                  <w:pPr>
                    <w:pStyle w:val="TableColumnHeading"/>
                  </w:pPr>
                  <w:r w:rsidRPr="00ED3E35">
                    <w:t>Vic</w:t>
                  </w:r>
                </w:p>
              </w:tc>
              <w:tc>
                <w:tcPr>
                  <w:tcW w:w="411" w:type="pct"/>
                  <w:tcBorders>
                    <w:top w:val="single" w:sz="4" w:space="0" w:color="BFBFBF"/>
                    <w:bottom w:val="single" w:sz="4" w:space="0" w:color="BFBFBF"/>
                  </w:tcBorders>
                </w:tcPr>
                <w:p w:rsidR="00ED3E35" w:rsidRPr="00ED3E35" w:rsidRDefault="00ED3E35" w:rsidP="001207A1">
                  <w:pPr>
                    <w:pStyle w:val="TableColumnHeading"/>
                  </w:pPr>
                  <w:r w:rsidRPr="00ED3E35">
                    <w:t>Qld</w:t>
                  </w:r>
                </w:p>
              </w:tc>
              <w:tc>
                <w:tcPr>
                  <w:tcW w:w="407" w:type="pct"/>
                  <w:tcBorders>
                    <w:top w:val="single" w:sz="4" w:space="0" w:color="BFBFBF"/>
                    <w:bottom w:val="single" w:sz="4" w:space="0" w:color="BFBFBF"/>
                  </w:tcBorders>
                </w:tcPr>
                <w:p w:rsidR="00ED3E35" w:rsidRPr="00ED3E35" w:rsidRDefault="00ED3E35" w:rsidP="001207A1">
                  <w:pPr>
                    <w:pStyle w:val="TableColumnHeading"/>
                  </w:pPr>
                  <w:r w:rsidRPr="00ED3E35">
                    <w:t>WA</w:t>
                  </w:r>
                </w:p>
              </w:tc>
              <w:tc>
                <w:tcPr>
                  <w:tcW w:w="407" w:type="pct"/>
                  <w:tcBorders>
                    <w:top w:val="single" w:sz="4" w:space="0" w:color="BFBFBF"/>
                    <w:bottom w:val="single" w:sz="4" w:space="0" w:color="BFBFBF"/>
                  </w:tcBorders>
                  <w:shd w:val="clear" w:color="auto" w:fill="auto"/>
                </w:tcPr>
                <w:p w:rsidR="00ED3E35" w:rsidRPr="00ED3E35" w:rsidRDefault="00ED3E35" w:rsidP="001207A1">
                  <w:pPr>
                    <w:pStyle w:val="TableColumnHeading"/>
                  </w:pPr>
                  <w:r w:rsidRPr="00ED3E35">
                    <w:t>SA</w:t>
                  </w:r>
                </w:p>
              </w:tc>
              <w:tc>
                <w:tcPr>
                  <w:tcW w:w="340" w:type="pct"/>
                  <w:tcBorders>
                    <w:top w:val="single" w:sz="4" w:space="0" w:color="BFBFBF"/>
                    <w:bottom w:val="single" w:sz="4" w:space="0" w:color="BFBFBF"/>
                  </w:tcBorders>
                  <w:shd w:val="clear" w:color="auto" w:fill="auto"/>
                </w:tcPr>
                <w:p w:rsidR="00ED3E35" w:rsidRPr="00ED3E35" w:rsidRDefault="00ED3E35" w:rsidP="001207A1">
                  <w:pPr>
                    <w:pStyle w:val="TableColumnHeading"/>
                  </w:pPr>
                  <w:r w:rsidRPr="00ED3E35">
                    <w:t>Tas</w:t>
                  </w:r>
                </w:p>
              </w:tc>
              <w:tc>
                <w:tcPr>
                  <w:tcW w:w="339" w:type="pct"/>
                  <w:tcBorders>
                    <w:top w:val="single" w:sz="4" w:space="0" w:color="BFBFBF"/>
                    <w:left w:val="nil"/>
                    <w:bottom w:val="single" w:sz="4" w:space="0" w:color="BFBFBF"/>
                  </w:tcBorders>
                  <w:shd w:val="clear" w:color="auto" w:fill="auto"/>
                </w:tcPr>
                <w:p w:rsidR="00ED3E35" w:rsidRPr="00ED3E35" w:rsidRDefault="00ED3E35" w:rsidP="001207A1">
                  <w:pPr>
                    <w:pStyle w:val="TableColumnHeading"/>
                  </w:pPr>
                  <w:r w:rsidRPr="00ED3E35">
                    <w:t>ACT</w:t>
                  </w:r>
                </w:p>
              </w:tc>
              <w:tc>
                <w:tcPr>
                  <w:tcW w:w="308" w:type="pct"/>
                  <w:tcBorders>
                    <w:top w:val="single" w:sz="4" w:space="0" w:color="BFBFBF"/>
                    <w:left w:val="nil"/>
                    <w:bottom w:val="single" w:sz="4" w:space="0" w:color="BFBFBF"/>
                  </w:tcBorders>
                </w:tcPr>
                <w:p w:rsidR="00ED3E35" w:rsidRPr="00ED3E35" w:rsidRDefault="00ED3E35" w:rsidP="001207A1">
                  <w:pPr>
                    <w:pStyle w:val="TableColumnHeading"/>
                  </w:pPr>
                  <w:r w:rsidRPr="00ED3E35">
                    <w:t>NT</w:t>
                  </w:r>
                </w:p>
              </w:tc>
              <w:tc>
                <w:tcPr>
                  <w:tcW w:w="494" w:type="pct"/>
                  <w:tcBorders>
                    <w:top w:val="single" w:sz="4" w:space="0" w:color="BFBFBF"/>
                    <w:left w:val="nil"/>
                    <w:bottom w:val="single" w:sz="4" w:space="0" w:color="BFBFBF"/>
                  </w:tcBorders>
                </w:tcPr>
                <w:p w:rsidR="00ED3E35" w:rsidRPr="00ED3E35" w:rsidRDefault="00ED3E35" w:rsidP="001207A1">
                  <w:pPr>
                    <w:pStyle w:val="TableColumnHeading"/>
                  </w:pPr>
                  <w:r w:rsidRPr="00ED3E35">
                    <w:t>Aust</w:t>
                  </w:r>
                </w:p>
              </w:tc>
            </w:tr>
            <w:tr w:rsidR="00ED3E35" w:rsidRPr="00ED3E35" w:rsidTr="00ED3E35">
              <w:trPr>
                <w:trHeight w:val="687"/>
              </w:trPr>
              <w:tc>
                <w:tcPr>
                  <w:tcW w:w="1333" w:type="pct"/>
                  <w:tcBorders>
                    <w:top w:val="single" w:sz="4" w:space="0" w:color="BFBFBF"/>
                  </w:tcBorders>
                  <w:vAlign w:val="center"/>
                </w:tcPr>
                <w:p w:rsidR="00ED3E35" w:rsidRPr="00ED3E35" w:rsidRDefault="00ED3E35" w:rsidP="00A8683A">
                  <w:pPr>
                    <w:pStyle w:val="TableUnitsRow"/>
                    <w:jc w:val="left"/>
                  </w:pPr>
                  <w:r w:rsidRPr="00ED3E35">
                    <w:t xml:space="preserve">Aboriginal and Torres Strait </w:t>
                  </w:r>
                  <w:r w:rsidR="00C21DBC">
                    <w:t>Islander people</w:t>
                  </w:r>
                  <w:r w:rsidRPr="00ED3E35">
                    <w:t xml:space="preserve"> aged 49 years and under</w:t>
                  </w:r>
                </w:p>
              </w:tc>
              <w:tc>
                <w:tcPr>
                  <w:tcW w:w="503" w:type="pct"/>
                  <w:tcBorders>
                    <w:top w:val="single" w:sz="4" w:space="0" w:color="BFBFBF"/>
                  </w:tcBorders>
                </w:tcPr>
                <w:p w:rsidR="00ED3E35" w:rsidRPr="001A6125" w:rsidRDefault="00ED3E35" w:rsidP="00A8683A">
                  <w:pPr>
                    <w:pStyle w:val="TableUnitsRow"/>
                    <w:jc w:val="left"/>
                  </w:pPr>
                  <w:r w:rsidRPr="001A6125">
                    <w:t>5 106</w:t>
                  </w:r>
                </w:p>
              </w:tc>
              <w:tc>
                <w:tcPr>
                  <w:tcW w:w="457" w:type="pct"/>
                  <w:tcBorders>
                    <w:top w:val="single" w:sz="4" w:space="0" w:color="BFBFBF"/>
                  </w:tcBorders>
                </w:tcPr>
                <w:p w:rsidR="00ED3E35" w:rsidRPr="001A6125" w:rsidRDefault="00ED3E35" w:rsidP="00A8683A">
                  <w:pPr>
                    <w:pStyle w:val="TableUnitsRow"/>
                    <w:jc w:val="left"/>
                  </w:pPr>
                  <w:r w:rsidRPr="001A6125">
                    <w:t>1 075</w:t>
                  </w:r>
                </w:p>
              </w:tc>
              <w:tc>
                <w:tcPr>
                  <w:tcW w:w="411" w:type="pct"/>
                  <w:tcBorders>
                    <w:top w:val="single" w:sz="4" w:space="0" w:color="BFBFBF"/>
                    <w:right w:val="nil"/>
                  </w:tcBorders>
                </w:tcPr>
                <w:p w:rsidR="00ED3E35" w:rsidRPr="001A6125" w:rsidRDefault="00ED3E35" w:rsidP="00A8683A">
                  <w:pPr>
                    <w:pStyle w:val="TableUnitsRow"/>
                    <w:jc w:val="left"/>
                  </w:pPr>
                  <w:r w:rsidRPr="001A6125">
                    <w:t>1 425</w:t>
                  </w:r>
                </w:p>
              </w:tc>
              <w:tc>
                <w:tcPr>
                  <w:tcW w:w="407" w:type="pct"/>
                  <w:tcBorders>
                    <w:top w:val="single" w:sz="4" w:space="0" w:color="BFBFBF"/>
                    <w:right w:val="nil"/>
                  </w:tcBorders>
                </w:tcPr>
                <w:p w:rsidR="00ED3E35" w:rsidRPr="001A6125" w:rsidRDefault="00ED3E35" w:rsidP="00A8683A">
                  <w:pPr>
                    <w:pStyle w:val="TableUnitsRow"/>
                    <w:jc w:val="left"/>
                  </w:pPr>
                  <w:r w:rsidRPr="001A6125">
                    <w:t>552</w:t>
                  </w:r>
                </w:p>
              </w:tc>
              <w:tc>
                <w:tcPr>
                  <w:tcW w:w="407" w:type="pct"/>
                  <w:tcBorders>
                    <w:top w:val="single" w:sz="4" w:space="0" w:color="BFBFBF"/>
                    <w:left w:val="nil"/>
                  </w:tcBorders>
                </w:tcPr>
                <w:p w:rsidR="00ED3E35" w:rsidRPr="001A6125" w:rsidRDefault="00ED3E35" w:rsidP="00A8683A">
                  <w:pPr>
                    <w:pStyle w:val="TableUnitsRow"/>
                    <w:jc w:val="left"/>
                  </w:pPr>
                  <w:r w:rsidRPr="001A6125">
                    <w:t>729</w:t>
                  </w:r>
                </w:p>
              </w:tc>
              <w:tc>
                <w:tcPr>
                  <w:tcW w:w="340" w:type="pct"/>
                  <w:tcBorders>
                    <w:top w:val="single" w:sz="4" w:space="0" w:color="BFBFBF"/>
                    <w:left w:val="nil"/>
                  </w:tcBorders>
                </w:tcPr>
                <w:p w:rsidR="00ED3E35" w:rsidRPr="001A6125" w:rsidRDefault="00ED3E35" w:rsidP="00A8683A">
                  <w:pPr>
                    <w:pStyle w:val="TableUnitsRow"/>
                    <w:jc w:val="left"/>
                  </w:pPr>
                  <w:r w:rsidRPr="001A6125">
                    <w:t>132</w:t>
                  </w:r>
                </w:p>
              </w:tc>
              <w:tc>
                <w:tcPr>
                  <w:tcW w:w="339" w:type="pct"/>
                  <w:tcBorders>
                    <w:top w:val="single" w:sz="4" w:space="0" w:color="BFBFBF"/>
                  </w:tcBorders>
                </w:tcPr>
                <w:p w:rsidR="00ED3E35" w:rsidRPr="001A6125" w:rsidRDefault="00ED3E35" w:rsidP="00A8683A">
                  <w:pPr>
                    <w:pStyle w:val="TableUnitsRow"/>
                    <w:jc w:val="left"/>
                  </w:pPr>
                  <w:r w:rsidRPr="001A6125">
                    <w:t>78</w:t>
                  </w:r>
                </w:p>
              </w:tc>
              <w:tc>
                <w:tcPr>
                  <w:tcW w:w="308" w:type="pct"/>
                  <w:tcBorders>
                    <w:top w:val="single" w:sz="4" w:space="0" w:color="BFBFBF"/>
                  </w:tcBorders>
                </w:tcPr>
                <w:p w:rsidR="00ED3E35" w:rsidRPr="001A6125" w:rsidRDefault="00ED3E35" w:rsidP="00A8683A">
                  <w:pPr>
                    <w:pStyle w:val="TableUnitsRow"/>
                    <w:jc w:val="left"/>
                  </w:pPr>
                  <w:r w:rsidRPr="001A6125">
                    <w:t>139</w:t>
                  </w:r>
                </w:p>
              </w:tc>
              <w:tc>
                <w:tcPr>
                  <w:tcW w:w="494" w:type="pct"/>
                  <w:tcBorders>
                    <w:top w:val="single" w:sz="4" w:space="0" w:color="BFBFBF"/>
                  </w:tcBorders>
                </w:tcPr>
                <w:p w:rsidR="00ED3E35" w:rsidRPr="001A6125" w:rsidRDefault="00ED3E35" w:rsidP="00A8683A">
                  <w:pPr>
                    <w:pStyle w:val="TableUnitsRow"/>
                    <w:jc w:val="left"/>
                  </w:pPr>
                  <w:r w:rsidRPr="001A6125">
                    <w:t>9 236</w:t>
                  </w:r>
                </w:p>
              </w:tc>
            </w:tr>
            <w:tr w:rsidR="00ED3E35" w:rsidRPr="00ED3E35" w:rsidTr="00ED3E35">
              <w:trPr>
                <w:trHeight w:val="852"/>
              </w:trPr>
              <w:tc>
                <w:tcPr>
                  <w:tcW w:w="1333" w:type="pct"/>
                  <w:vAlign w:val="center"/>
                </w:tcPr>
                <w:p w:rsidR="00ED3E35" w:rsidRPr="00ED3E35" w:rsidRDefault="00ED3E35" w:rsidP="001207A1">
                  <w:pPr>
                    <w:pStyle w:val="TableBodyText"/>
                    <w:numPr>
                      <w:ilvl w:val="1"/>
                      <w:numId w:val="13"/>
                    </w:numPr>
                    <w:ind w:left="6"/>
                    <w:jc w:val="left"/>
                  </w:pPr>
                  <w:r w:rsidRPr="00ED3E35">
                    <w:t xml:space="preserve">People born in </w:t>
                  </w:r>
                  <w:r w:rsidR="00332FE8">
                    <w:br/>
                  </w:r>
                  <w:r w:rsidRPr="00ED3E35">
                    <w:t>non</w:t>
                  </w:r>
                  <w:r w:rsidR="00B84AF2">
                    <w:noBreakHyphen/>
                  </w:r>
                  <w:r w:rsidRPr="00ED3E35">
                    <w:t xml:space="preserve">English speaking countries aged 64 years and under </w:t>
                  </w:r>
                </w:p>
              </w:tc>
              <w:tc>
                <w:tcPr>
                  <w:tcW w:w="503" w:type="pct"/>
                </w:tcPr>
                <w:p w:rsidR="00ED3E35" w:rsidRPr="001A6125" w:rsidRDefault="00ED3E35" w:rsidP="00ED3E35">
                  <w:pPr>
                    <w:pStyle w:val="TableBodyText"/>
                  </w:pPr>
                  <w:r w:rsidRPr="001A6125">
                    <w:t>7 295</w:t>
                  </w:r>
                </w:p>
              </w:tc>
              <w:tc>
                <w:tcPr>
                  <w:tcW w:w="457" w:type="pct"/>
                </w:tcPr>
                <w:p w:rsidR="00ED3E35" w:rsidRPr="001A6125" w:rsidRDefault="00ED3E35" w:rsidP="00ED3E35">
                  <w:pPr>
                    <w:pStyle w:val="TableBodyText"/>
                  </w:pPr>
                  <w:r w:rsidRPr="001A6125">
                    <w:t>10 301</w:t>
                  </w:r>
                </w:p>
              </w:tc>
              <w:tc>
                <w:tcPr>
                  <w:tcW w:w="411" w:type="pct"/>
                  <w:tcBorders>
                    <w:right w:val="nil"/>
                  </w:tcBorders>
                </w:tcPr>
                <w:p w:rsidR="00ED3E35" w:rsidRPr="001A6125" w:rsidRDefault="00ED3E35" w:rsidP="00ED3E35">
                  <w:pPr>
                    <w:pStyle w:val="TableBodyText"/>
                  </w:pPr>
                  <w:r w:rsidRPr="001A6125">
                    <w:t>2 159</w:t>
                  </w:r>
                </w:p>
              </w:tc>
              <w:tc>
                <w:tcPr>
                  <w:tcW w:w="407" w:type="pct"/>
                  <w:tcBorders>
                    <w:right w:val="nil"/>
                  </w:tcBorders>
                </w:tcPr>
                <w:p w:rsidR="00ED3E35" w:rsidRPr="001A6125" w:rsidRDefault="00ED3E35" w:rsidP="00ED3E35">
                  <w:pPr>
                    <w:pStyle w:val="TableBodyText"/>
                  </w:pPr>
                  <w:r w:rsidRPr="001A6125">
                    <w:t xml:space="preserve"> 1 236</w:t>
                  </w:r>
                </w:p>
              </w:tc>
              <w:tc>
                <w:tcPr>
                  <w:tcW w:w="407" w:type="pct"/>
                  <w:tcBorders>
                    <w:left w:val="nil"/>
                  </w:tcBorders>
                </w:tcPr>
                <w:p w:rsidR="00ED3E35" w:rsidRPr="001A6125" w:rsidRDefault="00ED3E35" w:rsidP="00ED3E35">
                  <w:pPr>
                    <w:pStyle w:val="TableBodyText"/>
                  </w:pPr>
                  <w:r w:rsidRPr="001A6125">
                    <w:t xml:space="preserve"> 1 708</w:t>
                  </w:r>
                </w:p>
              </w:tc>
              <w:tc>
                <w:tcPr>
                  <w:tcW w:w="340" w:type="pct"/>
                  <w:tcBorders>
                    <w:left w:val="nil"/>
                  </w:tcBorders>
                </w:tcPr>
                <w:p w:rsidR="00ED3E35" w:rsidRPr="001A6125" w:rsidRDefault="0019455A" w:rsidP="00ED3E35">
                  <w:pPr>
                    <w:pStyle w:val="TableBodyText"/>
                  </w:pPr>
                  <w:r>
                    <w:t xml:space="preserve"> </w:t>
                  </w:r>
                  <w:r w:rsidR="00ED3E35" w:rsidRPr="001A6125">
                    <w:t>182</w:t>
                  </w:r>
                </w:p>
              </w:tc>
              <w:tc>
                <w:tcPr>
                  <w:tcW w:w="339" w:type="pct"/>
                </w:tcPr>
                <w:p w:rsidR="00ED3E35" w:rsidRPr="001A6125" w:rsidRDefault="0019455A" w:rsidP="00ED3E35">
                  <w:pPr>
                    <w:pStyle w:val="TableBodyText"/>
                  </w:pPr>
                  <w:r>
                    <w:t xml:space="preserve"> </w:t>
                  </w:r>
                  <w:r w:rsidR="00ED3E35" w:rsidRPr="001A6125">
                    <w:t>627</w:t>
                  </w:r>
                </w:p>
              </w:tc>
              <w:tc>
                <w:tcPr>
                  <w:tcW w:w="308" w:type="pct"/>
                </w:tcPr>
                <w:p w:rsidR="00ED3E35" w:rsidRPr="001A6125" w:rsidRDefault="00ED3E35" w:rsidP="00ED3E35">
                  <w:pPr>
                    <w:pStyle w:val="TableBodyText"/>
                  </w:pPr>
                  <w:r w:rsidRPr="001A6125">
                    <w:t>21</w:t>
                  </w:r>
                </w:p>
              </w:tc>
              <w:tc>
                <w:tcPr>
                  <w:tcW w:w="494" w:type="pct"/>
                </w:tcPr>
                <w:p w:rsidR="00ED3E35" w:rsidRPr="001A6125" w:rsidRDefault="00ED3E35" w:rsidP="00ED3E35">
                  <w:pPr>
                    <w:pStyle w:val="TableBodyText"/>
                  </w:pPr>
                  <w:r w:rsidRPr="001A6125">
                    <w:t>23 529</w:t>
                  </w:r>
                </w:p>
              </w:tc>
            </w:tr>
            <w:tr w:rsidR="00ED3E35" w:rsidRPr="00ED3E35" w:rsidTr="000453A1">
              <w:trPr>
                <w:trHeight w:val="850"/>
              </w:trPr>
              <w:tc>
                <w:tcPr>
                  <w:tcW w:w="1333" w:type="pct"/>
                  <w:tcBorders>
                    <w:bottom w:val="single" w:sz="4" w:space="0" w:color="BFBFBF"/>
                  </w:tcBorders>
                  <w:vAlign w:val="center"/>
                </w:tcPr>
                <w:p w:rsidR="00ED3E35" w:rsidRPr="00ED3E35" w:rsidRDefault="00ED3E35" w:rsidP="001207A1">
                  <w:pPr>
                    <w:pStyle w:val="TableBodyText"/>
                    <w:numPr>
                      <w:ilvl w:val="1"/>
                      <w:numId w:val="13"/>
                    </w:numPr>
                    <w:ind w:left="6"/>
                    <w:jc w:val="left"/>
                  </w:pPr>
                  <w:r w:rsidRPr="00ED3E35">
                    <w:t xml:space="preserve">All people aged 64 years and under and Aboriginal and Torres Strait </w:t>
                  </w:r>
                  <w:r w:rsidR="00C21DBC">
                    <w:t>Islander people</w:t>
                  </w:r>
                  <w:r w:rsidRPr="00ED3E35">
                    <w:t xml:space="preserve"> aged 49 years and under </w:t>
                  </w:r>
                </w:p>
              </w:tc>
              <w:tc>
                <w:tcPr>
                  <w:tcW w:w="503" w:type="pct"/>
                  <w:tcBorders>
                    <w:bottom w:val="single" w:sz="4" w:space="0" w:color="BFBFBF"/>
                  </w:tcBorders>
                </w:tcPr>
                <w:p w:rsidR="00ED3E35" w:rsidRPr="001A6125" w:rsidRDefault="00ED3E35" w:rsidP="00ED3E35">
                  <w:pPr>
                    <w:pStyle w:val="TableBodyText"/>
                  </w:pPr>
                  <w:r w:rsidRPr="001A6125">
                    <w:t xml:space="preserve"> 61 939</w:t>
                  </w:r>
                </w:p>
              </w:tc>
              <w:tc>
                <w:tcPr>
                  <w:tcW w:w="457" w:type="pct"/>
                  <w:tcBorders>
                    <w:bottom w:val="single" w:sz="4" w:space="0" w:color="BFBFBF"/>
                  </w:tcBorders>
                </w:tcPr>
                <w:p w:rsidR="00ED3E35" w:rsidRPr="001A6125" w:rsidRDefault="00ED3E35" w:rsidP="00ED3E35">
                  <w:pPr>
                    <w:pStyle w:val="TableBodyText"/>
                  </w:pPr>
                  <w:r w:rsidRPr="001A6125">
                    <w:t>73 861</w:t>
                  </w:r>
                </w:p>
              </w:tc>
              <w:tc>
                <w:tcPr>
                  <w:tcW w:w="411" w:type="pct"/>
                  <w:tcBorders>
                    <w:bottom w:val="single" w:sz="4" w:space="0" w:color="BFBFBF"/>
                    <w:right w:val="nil"/>
                  </w:tcBorders>
                  <w:shd w:val="clear" w:color="auto" w:fill="FFFFFF" w:themeFill="background1"/>
                </w:tcPr>
                <w:p w:rsidR="00ED3E35" w:rsidRPr="001A6125" w:rsidRDefault="00ED3E35" w:rsidP="00ED3E35">
                  <w:pPr>
                    <w:pStyle w:val="TableBodyText"/>
                  </w:pPr>
                  <w:r w:rsidRPr="001A6125">
                    <w:t>37 028</w:t>
                  </w:r>
                </w:p>
              </w:tc>
              <w:tc>
                <w:tcPr>
                  <w:tcW w:w="407" w:type="pct"/>
                  <w:tcBorders>
                    <w:bottom w:val="single" w:sz="4" w:space="0" w:color="BFBFBF"/>
                    <w:right w:val="nil"/>
                  </w:tcBorders>
                  <w:shd w:val="clear" w:color="auto" w:fill="FFFFFF" w:themeFill="background1"/>
                </w:tcPr>
                <w:p w:rsidR="00ED3E35" w:rsidRPr="001A6125" w:rsidRDefault="00D51392" w:rsidP="00ED3E35">
                  <w:pPr>
                    <w:pStyle w:val="TableBodyText"/>
                  </w:pPr>
                  <w:r>
                    <w:t>1</w:t>
                  </w:r>
                  <w:r w:rsidR="00ED3E35" w:rsidRPr="001A6125">
                    <w:t>3 881</w:t>
                  </w:r>
                </w:p>
              </w:tc>
              <w:tc>
                <w:tcPr>
                  <w:tcW w:w="407" w:type="pct"/>
                  <w:tcBorders>
                    <w:left w:val="nil"/>
                    <w:bottom w:val="single" w:sz="4" w:space="0" w:color="BFBFBF"/>
                  </w:tcBorders>
                  <w:shd w:val="clear" w:color="auto" w:fill="FFFFFF" w:themeFill="background1"/>
                </w:tcPr>
                <w:p w:rsidR="00ED3E35" w:rsidRPr="001A6125" w:rsidRDefault="00ED3E35" w:rsidP="00ED3E35">
                  <w:pPr>
                    <w:pStyle w:val="TableBodyText"/>
                  </w:pPr>
                  <w:r w:rsidRPr="001A6125">
                    <w:t>20 536</w:t>
                  </w:r>
                </w:p>
              </w:tc>
              <w:tc>
                <w:tcPr>
                  <w:tcW w:w="340" w:type="pct"/>
                  <w:tcBorders>
                    <w:left w:val="nil"/>
                    <w:bottom w:val="single" w:sz="4" w:space="0" w:color="BFBFBF"/>
                  </w:tcBorders>
                </w:tcPr>
                <w:p w:rsidR="00ED3E35" w:rsidRPr="001A6125" w:rsidRDefault="00ED3E35" w:rsidP="00ED3E35">
                  <w:pPr>
                    <w:pStyle w:val="TableBodyText"/>
                  </w:pPr>
                  <w:r w:rsidRPr="001A6125">
                    <w:t>5 619</w:t>
                  </w:r>
                </w:p>
              </w:tc>
              <w:tc>
                <w:tcPr>
                  <w:tcW w:w="339" w:type="pct"/>
                  <w:tcBorders>
                    <w:bottom w:val="single" w:sz="4" w:space="0" w:color="BFBFBF"/>
                  </w:tcBorders>
                </w:tcPr>
                <w:p w:rsidR="00ED3E35" w:rsidRPr="001A6125" w:rsidRDefault="00ED3E35" w:rsidP="00ED3E35">
                  <w:pPr>
                    <w:pStyle w:val="TableBodyText"/>
                  </w:pPr>
                  <w:r w:rsidRPr="001A6125">
                    <w:t>4 319</w:t>
                  </w:r>
                </w:p>
              </w:tc>
              <w:tc>
                <w:tcPr>
                  <w:tcW w:w="308" w:type="pct"/>
                  <w:tcBorders>
                    <w:bottom w:val="single" w:sz="4" w:space="0" w:color="BFBFBF"/>
                  </w:tcBorders>
                </w:tcPr>
                <w:p w:rsidR="00ED3E35" w:rsidRPr="001A6125" w:rsidRDefault="00ED3E35" w:rsidP="00ED3E35">
                  <w:pPr>
                    <w:pStyle w:val="TableBodyText"/>
                  </w:pPr>
                  <w:r w:rsidRPr="001A6125">
                    <w:t>244</w:t>
                  </w:r>
                </w:p>
              </w:tc>
              <w:tc>
                <w:tcPr>
                  <w:tcW w:w="494" w:type="pct"/>
                  <w:tcBorders>
                    <w:bottom w:val="single" w:sz="4" w:space="0" w:color="BFBFBF"/>
                  </w:tcBorders>
                </w:tcPr>
                <w:p w:rsidR="00ED3E35" w:rsidRDefault="00ED3E35" w:rsidP="00ED3E35">
                  <w:pPr>
                    <w:pStyle w:val="TableBodyText"/>
                  </w:pPr>
                  <w:r w:rsidRPr="001A6125">
                    <w:t>217</w:t>
                  </w:r>
                  <w:r>
                    <w:t xml:space="preserve"> </w:t>
                  </w:r>
                  <w:r w:rsidRPr="001A6125">
                    <w:t>427</w:t>
                  </w:r>
                </w:p>
              </w:tc>
            </w:tr>
          </w:tbl>
          <w:p w:rsidR="006A6FE4" w:rsidRPr="00ED3E35" w:rsidRDefault="006A6FE4" w:rsidP="00730EA6">
            <w:pPr>
              <w:pStyle w:val="Box"/>
            </w:pPr>
          </w:p>
        </w:tc>
      </w:tr>
      <w:tr w:rsidR="006A6FE4" w:rsidRPr="00ED3E35" w:rsidTr="00730EA6">
        <w:trPr>
          <w:cantSplit/>
        </w:trPr>
        <w:tc>
          <w:tcPr>
            <w:tcW w:w="8771" w:type="dxa"/>
            <w:tcBorders>
              <w:top w:val="nil"/>
              <w:left w:val="nil"/>
              <w:bottom w:val="nil"/>
              <w:right w:val="nil"/>
            </w:tcBorders>
            <w:shd w:val="clear" w:color="auto" w:fill="auto"/>
          </w:tcPr>
          <w:p w:rsidR="006A6FE4" w:rsidRPr="002227C5" w:rsidRDefault="006A6FE4" w:rsidP="00BD1C57">
            <w:pPr>
              <w:pStyle w:val="Note"/>
            </w:pPr>
            <w:proofErr w:type="gramStart"/>
            <w:r w:rsidRPr="002227C5">
              <w:rPr>
                <w:rStyle w:val="NoteLabel"/>
              </w:rPr>
              <w:t>a</w:t>
            </w:r>
            <w:proofErr w:type="gramEnd"/>
            <w:r w:rsidRPr="002227C5">
              <w:t xml:space="preserve"> </w:t>
            </w:r>
            <w:r w:rsidR="002227C5" w:rsidRPr="002227C5">
              <w:t xml:space="preserve">The proportion of </w:t>
            </w:r>
            <w:r w:rsidR="004E413C">
              <w:t>Basic Community Care (</w:t>
            </w:r>
            <w:r w:rsidR="002227C5" w:rsidRPr="002227C5">
              <w:t>BCC</w:t>
            </w:r>
            <w:r w:rsidR="004E413C">
              <w:t>)</w:t>
            </w:r>
            <w:r w:rsidR="002227C5" w:rsidRPr="002227C5">
              <w:t xml:space="preserve"> clients with an unknown or invalid date of birth differed across jurisdictions and ranged from</w:t>
            </w:r>
            <w:r w:rsidR="002227C5">
              <w:t xml:space="preserve"> </w:t>
            </w:r>
            <w:r w:rsidR="00D51392">
              <w:t>zero</w:t>
            </w:r>
            <w:r w:rsidR="00A85575">
              <w:t xml:space="preserve"> </w:t>
            </w:r>
            <w:r w:rsidR="002227C5">
              <w:t xml:space="preserve">per cent to 1.2 per cent. </w:t>
            </w:r>
            <w:r w:rsidR="002227C5" w:rsidRPr="002227C5">
              <w:t>Nationally, the proportion of BCC clients with an unknown or invalid date of birth was 0.3 per cent.</w:t>
            </w:r>
            <w:r w:rsidR="002227C5" w:rsidRPr="002227C5">
              <w:rPr>
                <w:rStyle w:val="NoteLabel"/>
                <w:b w:val="0"/>
                <w:position w:val="0"/>
              </w:rPr>
              <w:t xml:space="preserve"> </w:t>
            </w:r>
            <w:proofErr w:type="gramStart"/>
            <w:r w:rsidRPr="002227C5">
              <w:rPr>
                <w:rStyle w:val="NoteLabel"/>
              </w:rPr>
              <w:t>b</w:t>
            </w:r>
            <w:proofErr w:type="gramEnd"/>
            <w:r w:rsidRPr="002227C5">
              <w:t xml:space="preserve"> </w:t>
            </w:r>
            <w:r w:rsidR="002227C5" w:rsidRPr="002227C5">
              <w:t>The proportion of BCC clients aged 49 years and under with unknown Indigenous status differed across jurisdictions and ranged from 0.6 per cent to 10.8 per cent. Nationally, the proportion of BCC clients aged 49 years and under with an unknown Indigenous status was 7.6 per cent.</w:t>
            </w:r>
            <w:r w:rsidR="002227C5" w:rsidRPr="002227C5">
              <w:rPr>
                <w:rStyle w:val="NoteLabel"/>
                <w:b w:val="0"/>
                <w:position w:val="0"/>
              </w:rPr>
              <w:t xml:space="preserve"> </w:t>
            </w:r>
            <w:proofErr w:type="gramStart"/>
            <w:r w:rsidRPr="002227C5">
              <w:rPr>
                <w:rStyle w:val="NoteLabel"/>
              </w:rPr>
              <w:t>c</w:t>
            </w:r>
            <w:proofErr w:type="gramEnd"/>
            <w:r w:rsidRPr="002227C5">
              <w:t xml:space="preserve"> </w:t>
            </w:r>
            <w:r w:rsidR="002227C5" w:rsidRPr="002227C5">
              <w:t>The proportion of BCC clients aged 64 years and under with unknown country of birth differed across jurisdictions and ranged from 0.8 per cent to 7</w:t>
            </w:r>
            <w:r w:rsidR="00A85575">
              <w:t xml:space="preserve">.8 per cent. </w:t>
            </w:r>
            <w:r w:rsidR="002227C5" w:rsidRPr="002227C5">
              <w:t>Nationally, the proportion of BCC clients aged 64 years and under with an unknown country of birth was 5.1 per cent.</w:t>
            </w:r>
            <w:r w:rsidR="002227C5" w:rsidRPr="002227C5">
              <w:rPr>
                <w:rStyle w:val="NoteLabel"/>
                <w:b w:val="0"/>
                <w:position w:val="0"/>
              </w:rPr>
              <w:t xml:space="preserve"> </w:t>
            </w:r>
            <w:proofErr w:type="gramStart"/>
            <w:r w:rsidRPr="002227C5">
              <w:rPr>
                <w:rStyle w:val="NoteLabel"/>
              </w:rPr>
              <w:t>d</w:t>
            </w:r>
            <w:proofErr w:type="gramEnd"/>
            <w:r w:rsidRPr="002227C5">
              <w:t xml:space="preserve"> </w:t>
            </w:r>
            <w:r w:rsidR="002227C5" w:rsidRPr="002227C5">
              <w:t xml:space="preserve">The proportion of BCC funded agencies that submitted </w:t>
            </w:r>
            <w:r w:rsidR="00BD1C57" w:rsidRPr="00BD1C57">
              <w:t>Home and Community Care Minimum Data</w:t>
            </w:r>
            <w:r w:rsidR="00BD1C57">
              <w:t xml:space="preserve"> Set</w:t>
            </w:r>
            <w:r w:rsidR="00BD1C57" w:rsidRPr="00B174BF">
              <w:rPr>
                <w:i/>
              </w:rPr>
              <w:t xml:space="preserve"> </w:t>
            </w:r>
            <w:r w:rsidR="00BD1C57">
              <w:rPr>
                <w:i/>
              </w:rPr>
              <w:t>(</w:t>
            </w:r>
            <w:r w:rsidR="002227C5" w:rsidRPr="002227C5">
              <w:t>HACC MDS</w:t>
            </w:r>
            <w:r w:rsidR="00BD1C57">
              <w:t>)</w:t>
            </w:r>
            <w:r w:rsidR="002227C5" w:rsidRPr="002227C5">
              <w:t xml:space="preserve"> data differed across jurisdictions and ranged from </w:t>
            </w:r>
            <w:r w:rsidR="00D51392">
              <w:t>75</w:t>
            </w:r>
            <w:r w:rsidR="00A85575">
              <w:t> </w:t>
            </w:r>
            <w:r w:rsidR="002227C5" w:rsidRPr="002227C5">
              <w:t>per cent to 100</w:t>
            </w:r>
            <w:r w:rsidR="00BD1C57">
              <w:t> </w:t>
            </w:r>
            <w:r w:rsidR="002227C5" w:rsidRPr="002227C5">
              <w:t>per</w:t>
            </w:r>
            <w:r w:rsidR="00BD1C57">
              <w:t> </w:t>
            </w:r>
            <w:r w:rsidR="002227C5" w:rsidRPr="002227C5">
              <w:t>cent</w:t>
            </w:r>
            <w:r w:rsidR="00C327E2">
              <w:t>.</w:t>
            </w:r>
          </w:p>
        </w:tc>
      </w:tr>
      <w:tr w:rsidR="006A6FE4" w:rsidRPr="00ED3E35" w:rsidTr="00730EA6">
        <w:trPr>
          <w:cantSplit/>
        </w:trPr>
        <w:tc>
          <w:tcPr>
            <w:tcW w:w="8771" w:type="dxa"/>
            <w:tcBorders>
              <w:top w:val="nil"/>
              <w:left w:val="nil"/>
              <w:bottom w:val="nil"/>
              <w:right w:val="nil"/>
            </w:tcBorders>
            <w:shd w:val="clear" w:color="auto" w:fill="auto"/>
          </w:tcPr>
          <w:p w:rsidR="006A6FE4" w:rsidRPr="00ED3E35" w:rsidRDefault="006A6FE4" w:rsidP="00683393">
            <w:pPr>
              <w:pStyle w:val="Source"/>
            </w:pPr>
            <w:r w:rsidRPr="00ED3E35">
              <w:rPr>
                <w:i/>
              </w:rPr>
              <w:t>Source</w:t>
            </w:r>
            <w:r w:rsidRPr="00ED3E35">
              <w:t xml:space="preserve">: </w:t>
            </w:r>
            <w:r w:rsidR="00D51392">
              <w:t>DSS</w:t>
            </w:r>
            <w:r w:rsidR="00D51392" w:rsidRPr="00ED3E35">
              <w:t xml:space="preserve"> </w:t>
            </w:r>
            <w:r w:rsidRPr="00ED3E35">
              <w:t xml:space="preserve">(unpublished) </w:t>
            </w:r>
            <w:r w:rsidR="00BD1C57" w:rsidRPr="00BD1C57">
              <w:rPr>
                <w:i/>
              </w:rPr>
              <w:t>HACC MDS</w:t>
            </w:r>
            <w:r w:rsidR="00BD1C57">
              <w:rPr>
                <w:i/>
              </w:rPr>
              <w:t xml:space="preserve"> </w:t>
            </w:r>
            <w:proofErr w:type="gramStart"/>
            <w:r w:rsidR="00BD796E">
              <w:rPr>
                <w:i/>
              </w:rPr>
              <w:t>2013</w:t>
            </w:r>
            <w:r w:rsidR="00B84AF2">
              <w:rPr>
                <w:i/>
              </w:rPr>
              <w:noBreakHyphen/>
            </w:r>
            <w:r w:rsidR="00BD796E">
              <w:rPr>
                <w:i/>
              </w:rPr>
              <w:t>1</w:t>
            </w:r>
            <w:r w:rsidR="00D51392">
              <w:rPr>
                <w:i/>
              </w:rPr>
              <w:t>4</w:t>
            </w:r>
            <w:r w:rsidRPr="00ED3E35">
              <w:t>.;</w:t>
            </w:r>
            <w:proofErr w:type="gramEnd"/>
            <w:r w:rsidRPr="00ED3E35">
              <w:t xml:space="preserve"> table</w:t>
            </w:r>
            <w:r w:rsidR="00AE3578">
              <w:t> </w:t>
            </w:r>
            <w:r w:rsidRPr="00ED3E35">
              <w:t>14A.</w:t>
            </w:r>
            <w:r w:rsidR="00683393" w:rsidRPr="00ED3E35">
              <w:t>1</w:t>
            </w:r>
            <w:r w:rsidR="00683393">
              <w:t>60</w:t>
            </w:r>
            <w:r w:rsidRPr="00ED3E35">
              <w:t>.</w:t>
            </w:r>
          </w:p>
        </w:tc>
      </w:tr>
      <w:tr w:rsidR="006A6FE4" w:rsidRPr="00ED3E35" w:rsidTr="00730EA6">
        <w:trPr>
          <w:cantSplit/>
        </w:trPr>
        <w:tc>
          <w:tcPr>
            <w:tcW w:w="8771" w:type="dxa"/>
            <w:tcBorders>
              <w:top w:val="nil"/>
              <w:left w:val="nil"/>
              <w:bottom w:val="single" w:sz="6" w:space="0" w:color="78A22F"/>
              <w:right w:val="nil"/>
            </w:tcBorders>
            <w:shd w:val="clear" w:color="auto" w:fill="auto"/>
          </w:tcPr>
          <w:p w:rsidR="006A6FE4" w:rsidRPr="00ED3E35" w:rsidRDefault="006A6FE4" w:rsidP="00730EA6">
            <w:pPr>
              <w:pStyle w:val="Box"/>
              <w:spacing w:before="0" w:line="120" w:lineRule="exact"/>
            </w:pPr>
          </w:p>
        </w:tc>
      </w:tr>
      <w:tr w:rsidR="006A6FE4" w:rsidRPr="000863A5" w:rsidTr="00730EA6">
        <w:tc>
          <w:tcPr>
            <w:tcW w:w="8771" w:type="dxa"/>
            <w:tcBorders>
              <w:top w:val="single" w:sz="6" w:space="0" w:color="78A22F"/>
              <w:left w:val="nil"/>
              <w:bottom w:val="nil"/>
              <w:right w:val="nil"/>
            </w:tcBorders>
          </w:tcPr>
          <w:p w:rsidR="006A6FE4" w:rsidRPr="00626D32" w:rsidRDefault="006A6FE4" w:rsidP="00730EA6">
            <w:pPr>
              <w:pStyle w:val="BoxSpaceBelow"/>
            </w:pPr>
          </w:p>
        </w:tc>
      </w:tr>
    </w:tbl>
    <w:p w:rsidR="001E28AE" w:rsidRPr="00DD31C3" w:rsidRDefault="00D65A47" w:rsidP="00626A1F">
      <w:pPr>
        <w:pStyle w:val="BodyText"/>
      </w:pPr>
      <w:r>
        <w:t>Data</w:t>
      </w:r>
      <w:r w:rsidR="001E28AE" w:rsidRPr="00DD31C3">
        <w:t xml:space="preserve"> on BCC services received by people aged </w:t>
      </w:r>
      <w:proofErr w:type="gramStart"/>
      <w:r w:rsidR="001E28AE" w:rsidRPr="00DD31C3">
        <w:t>under</w:t>
      </w:r>
      <w:proofErr w:type="gramEnd"/>
      <w:r w:rsidR="001E28AE" w:rsidRPr="00DD31C3">
        <w:t xml:space="preserve"> 65 years and </w:t>
      </w:r>
      <w:r w:rsidR="00904E97" w:rsidRPr="00DD31C3">
        <w:t xml:space="preserve">Aboriginal and Torres Strait </w:t>
      </w:r>
      <w:r w:rsidR="00C21DBC">
        <w:t>Islander people</w:t>
      </w:r>
      <w:r w:rsidR="001E28AE" w:rsidRPr="00DD31C3">
        <w:t xml:space="preserve"> aged under 50 years are </w:t>
      </w:r>
      <w:r>
        <w:t xml:space="preserve">also </w:t>
      </w:r>
      <w:r w:rsidR="001E28AE" w:rsidRPr="00DD31C3">
        <w:t>available by geographical location</w:t>
      </w:r>
      <w:r w:rsidR="00E70BF9">
        <w:t xml:space="preserve"> </w:t>
      </w:r>
      <w:r w:rsidR="001E28AE" w:rsidRPr="00DD31C3">
        <w:t>(tables 14A.</w:t>
      </w:r>
      <w:r w:rsidR="00683393" w:rsidRPr="00DD31C3">
        <w:t>1</w:t>
      </w:r>
      <w:r w:rsidR="00683393">
        <w:t>54</w:t>
      </w:r>
      <w:r w:rsidR="001E28AE" w:rsidRPr="00DD31C3">
        <w:t>−</w:t>
      </w:r>
      <w:r w:rsidR="00683393" w:rsidRPr="00DD31C3">
        <w:t>1</w:t>
      </w:r>
      <w:r w:rsidR="00683393">
        <w:t>59</w:t>
      </w:r>
      <w:r w:rsidR="001E28AE" w:rsidRPr="00DD31C3">
        <w:t>).</w:t>
      </w:r>
    </w:p>
    <w:p w:rsidR="001F39F2" w:rsidRPr="00D3306D" w:rsidRDefault="00321568" w:rsidP="00585E2C">
      <w:pPr>
        <w:pStyle w:val="Heading2"/>
      </w:pPr>
      <w:bookmarkStart w:id="11" w:name="_Toc248563903"/>
      <w:bookmarkStart w:id="12" w:name="_Toc397527174"/>
      <w:r>
        <w:t>14.</w:t>
      </w:r>
      <w:r w:rsidR="0085284B">
        <w:rPr>
          <w:noProof/>
        </w:rPr>
        <w:t>2</w:t>
      </w:r>
      <w:r w:rsidR="001F39F2" w:rsidRPr="00D3306D">
        <w:tab/>
        <w:t>Framework of performance indicators</w:t>
      </w:r>
      <w:bookmarkEnd w:id="11"/>
      <w:bookmarkEnd w:id="12"/>
    </w:p>
    <w:p w:rsidR="001F39F2" w:rsidRPr="00D3306D" w:rsidRDefault="001F39F2" w:rsidP="00585E2C">
      <w:pPr>
        <w:pStyle w:val="BodyText"/>
      </w:pPr>
      <w:r w:rsidRPr="00D3306D">
        <w:t>The performance framework and related indicators reflect governments’ shared objectives and priorities under the NDA (box</w:t>
      </w:r>
      <w:r w:rsidR="00AE3578">
        <w:t> </w:t>
      </w:r>
      <w:r w:rsidRPr="00D3306D">
        <w:t>14.</w:t>
      </w:r>
      <w:r w:rsidR="00184F38">
        <w:t>6</w:t>
      </w:r>
      <w:r w:rsidRPr="00D3306D">
        <w:t xml:space="preserve">). </w:t>
      </w:r>
    </w:p>
    <w:p w:rsidR="00DF7B1C" w:rsidRPr="00DD31C3" w:rsidRDefault="000F24CE" w:rsidP="00585E2C">
      <w:pPr>
        <w:spacing w:before="240" w:line="320" w:lineRule="atLeast"/>
        <w:jc w:val="both"/>
        <w:rPr>
          <w:szCs w:val="20"/>
        </w:rPr>
      </w:pPr>
      <w:r>
        <w:rPr>
          <w:szCs w:val="20"/>
        </w:rPr>
        <w:t>The Council of Australian Governments (</w:t>
      </w:r>
      <w:r w:rsidR="00DF7B1C" w:rsidRPr="00DD31C3">
        <w:rPr>
          <w:szCs w:val="20"/>
        </w:rPr>
        <w:t>COAG</w:t>
      </w:r>
      <w:r>
        <w:rPr>
          <w:szCs w:val="20"/>
        </w:rPr>
        <w:t>)</w:t>
      </w:r>
      <w:r w:rsidR="00DF7B1C" w:rsidRPr="00DD31C3">
        <w:rPr>
          <w:szCs w:val="20"/>
        </w:rPr>
        <w:t xml:space="preserve"> has agreed six National Agreements to enhance accountability to the public for the outcomes achieved or outputs delivered by a range of government services (see chapter 1 for more detail on reforms to federal financial relations). </w:t>
      </w:r>
    </w:p>
    <w:p w:rsidR="001F39F2" w:rsidRPr="009857A6" w:rsidRDefault="001F39F2" w:rsidP="00585E2C">
      <w:pPr>
        <w:pStyle w:val="BodyText"/>
      </w:pPr>
      <w:r w:rsidRPr="009857A6">
        <w:t>The NDA covers the area of disability services</w:t>
      </w:r>
      <w:r w:rsidR="009857A6" w:rsidRPr="009857A6">
        <w:t xml:space="preserve"> and </w:t>
      </w:r>
      <w:r w:rsidRPr="009857A6">
        <w:t>includes sets of performance indicators</w:t>
      </w:r>
      <w:r w:rsidR="001326AF" w:rsidRPr="009857A6">
        <w:t>.</w:t>
      </w:r>
      <w:r w:rsidRPr="009857A6">
        <w:t xml:space="preserve"> Performance indicators reported in this chapter are aligned with performance indicators in the NDA</w:t>
      </w:r>
      <w:r w:rsidR="009857A6" w:rsidRPr="009857A6">
        <w:t xml:space="preserve"> where relevant</w:t>
      </w:r>
      <w:r w:rsidRPr="009857A6">
        <w:t>.</w:t>
      </w:r>
    </w:p>
    <w:p w:rsidR="006875D3" w:rsidRDefault="006875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75D3" w:rsidRPr="00DD31C3" w:rsidTr="00C827D5">
        <w:tc>
          <w:tcPr>
            <w:tcW w:w="8771" w:type="dxa"/>
            <w:tcBorders>
              <w:top w:val="single" w:sz="6" w:space="0" w:color="78A22F"/>
              <w:left w:val="nil"/>
              <w:bottom w:val="nil"/>
              <w:right w:val="nil"/>
            </w:tcBorders>
            <w:shd w:val="clear" w:color="auto" w:fill="F2F2F2"/>
          </w:tcPr>
          <w:p w:rsidR="006875D3" w:rsidRPr="001A0C68" w:rsidRDefault="006875D3" w:rsidP="006875D3">
            <w:pPr>
              <w:pStyle w:val="BoxTitle"/>
            </w:pPr>
            <w:r w:rsidRPr="00DD31C3">
              <w:rPr>
                <w:b w:val="0"/>
              </w:rPr>
              <w:t xml:space="preserve">Box </w:t>
            </w:r>
            <w:r w:rsidR="00321568">
              <w:rPr>
                <w:b w:val="0"/>
              </w:rPr>
              <w:t>14.</w:t>
            </w:r>
            <w:r w:rsidR="0085284B">
              <w:rPr>
                <w:b w:val="0"/>
                <w:noProof/>
              </w:rPr>
              <w:t>6</w:t>
            </w:r>
            <w:r w:rsidRPr="00DD31C3">
              <w:tab/>
              <w:t xml:space="preserve">Objectives of government funded services for people with disability </w:t>
            </w:r>
          </w:p>
        </w:tc>
      </w:tr>
      <w:tr w:rsidR="006875D3" w:rsidRPr="00DD31C3" w:rsidTr="00C827D5">
        <w:trPr>
          <w:cantSplit/>
        </w:trPr>
        <w:tc>
          <w:tcPr>
            <w:tcW w:w="8771" w:type="dxa"/>
            <w:tcBorders>
              <w:top w:val="nil"/>
              <w:left w:val="nil"/>
              <w:bottom w:val="nil"/>
              <w:right w:val="nil"/>
            </w:tcBorders>
            <w:shd w:val="clear" w:color="auto" w:fill="F2F2F2"/>
          </w:tcPr>
          <w:p w:rsidR="006875D3" w:rsidRPr="00DD31C3" w:rsidRDefault="006875D3" w:rsidP="006875D3">
            <w:pPr>
              <w:pStyle w:val="Box"/>
            </w:pPr>
            <w:r w:rsidRPr="00DD31C3">
              <w:rPr>
                <w:szCs w:val="22"/>
              </w:rPr>
              <w:t xml:space="preserve">The </w:t>
            </w:r>
            <w:r w:rsidRPr="00DD31C3">
              <w:t>long</w:t>
            </w:r>
            <w:r w:rsidR="00B84AF2">
              <w:noBreakHyphen/>
            </w:r>
            <w:r w:rsidRPr="00DD31C3">
              <w:t>term objective</w:t>
            </w:r>
            <w:r w:rsidRPr="00DD31C3">
              <w:rPr>
                <w:szCs w:val="22"/>
              </w:rPr>
              <w:t xml:space="preserve"> under the NDA is</w:t>
            </w:r>
            <w:r w:rsidR="00445BD4">
              <w:rPr>
                <w:szCs w:val="22"/>
              </w:rPr>
              <w:t xml:space="preserve"> that</w:t>
            </w:r>
            <w:r w:rsidRPr="00DD31C3">
              <w:t>:</w:t>
            </w:r>
          </w:p>
          <w:p w:rsidR="006875D3" w:rsidRPr="00DD31C3" w:rsidRDefault="006875D3" w:rsidP="006875D3">
            <w:pPr>
              <w:pStyle w:val="BoxQuote"/>
              <w:rPr>
                <w:rStyle w:val="BoxQuoteChar"/>
              </w:rPr>
            </w:pPr>
            <w:r w:rsidRPr="00DD31C3">
              <w:rPr>
                <w:rStyle w:val="BoxQuoteChar"/>
              </w:rPr>
              <w:t xml:space="preserve">People with disability and their carers have an enhanced quality of life and participate as valued members of the community. </w:t>
            </w:r>
          </w:p>
          <w:p w:rsidR="006875D3" w:rsidRPr="00DD31C3" w:rsidRDefault="006875D3" w:rsidP="006875D3">
            <w:pPr>
              <w:pStyle w:val="Box"/>
            </w:pPr>
            <w:r w:rsidRPr="00DD31C3">
              <w:t xml:space="preserve">All aspects of the NDA contribute to or measure progress towards this objective. </w:t>
            </w:r>
            <w:r w:rsidRPr="00DD31C3">
              <w:rPr>
                <w:szCs w:val="22"/>
              </w:rPr>
              <w:t>The objective is enhanced by three specific outcomes as well as a set of revised priority reform areas (outlined in box</w:t>
            </w:r>
            <w:r w:rsidR="00AE3578">
              <w:rPr>
                <w:szCs w:val="22"/>
              </w:rPr>
              <w:t> </w:t>
            </w:r>
            <w:r w:rsidRPr="00DD31C3">
              <w:rPr>
                <w:szCs w:val="22"/>
              </w:rPr>
              <w:t xml:space="preserve">14.1). </w:t>
            </w:r>
            <w:r w:rsidRPr="00DD31C3">
              <w:t>The outcomes are that:</w:t>
            </w:r>
          </w:p>
          <w:p w:rsidR="006875D3" w:rsidRPr="00DD31C3" w:rsidRDefault="006875D3" w:rsidP="006875D3">
            <w:pPr>
              <w:pStyle w:val="BoxListBullet"/>
            </w:pPr>
            <w:r w:rsidRPr="00DD31C3">
              <w:t>people with disability achieve economic participation and social inclusion</w:t>
            </w:r>
          </w:p>
          <w:p w:rsidR="006875D3" w:rsidRPr="00DD31C3" w:rsidRDefault="006875D3" w:rsidP="006875D3">
            <w:pPr>
              <w:pStyle w:val="BoxListBullet"/>
            </w:pPr>
            <w:r w:rsidRPr="00DD31C3">
              <w:t>people with disability enjoy choice, wellbeing and the opportunity to live as independently as possible</w:t>
            </w:r>
          </w:p>
          <w:p w:rsidR="006875D3" w:rsidRPr="00DD31C3" w:rsidRDefault="006875D3" w:rsidP="006875D3">
            <w:pPr>
              <w:pStyle w:val="BoxListBullet"/>
            </w:pPr>
            <w:proofErr w:type="gramStart"/>
            <w:r w:rsidRPr="00DD31C3">
              <w:t>families</w:t>
            </w:r>
            <w:proofErr w:type="gramEnd"/>
            <w:r w:rsidRPr="00DD31C3">
              <w:t xml:space="preserve"> and carers are well supported.</w:t>
            </w:r>
          </w:p>
          <w:p w:rsidR="006875D3" w:rsidRPr="00DD31C3" w:rsidRDefault="006875D3" w:rsidP="006875D3">
            <w:pPr>
              <w:pStyle w:val="Box"/>
            </w:pPr>
            <w:r w:rsidRPr="00DD31C3">
              <w:t>In support of the agreed NDA outcomes, governments will contribute to the following outputs:</w:t>
            </w:r>
          </w:p>
          <w:p w:rsidR="006875D3" w:rsidRPr="00DD31C3" w:rsidRDefault="006875D3" w:rsidP="006875D3">
            <w:pPr>
              <w:pStyle w:val="BoxListBullet"/>
            </w:pPr>
            <w:r w:rsidRPr="00DD31C3">
              <w:t>services that provide skills and support to people with disability to enable them to live as independently as possible</w:t>
            </w:r>
          </w:p>
          <w:p w:rsidR="006875D3" w:rsidRPr="00DD31C3" w:rsidRDefault="006875D3" w:rsidP="006875D3">
            <w:pPr>
              <w:pStyle w:val="BoxListBullet"/>
            </w:pPr>
            <w:r w:rsidRPr="00DD31C3">
              <w:t xml:space="preserve">services that assist people with disability to live in stable and sustainable living arrangements </w:t>
            </w:r>
          </w:p>
          <w:p w:rsidR="006875D3" w:rsidRPr="00DD31C3" w:rsidRDefault="006875D3" w:rsidP="006875D3">
            <w:pPr>
              <w:pStyle w:val="BoxListBullet"/>
            </w:pPr>
            <w:r w:rsidRPr="00DD31C3">
              <w:t>income support for people with disability and their carers</w:t>
            </w:r>
          </w:p>
          <w:p w:rsidR="006875D3" w:rsidRPr="00DD31C3" w:rsidRDefault="006875D3" w:rsidP="006875D3">
            <w:pPr>
              <w:pStyle w:val="BoxListBullet"/>
            </w:pPr>
            <w:r w:rsidRPr="00DD31C3">
              <w:t>services that assist families and carers in their caring role</w:t>
            </w:r>
          </w:p>
        </w:tc>
      </w:tr>
      <w:tr w:rsidR="006875D3" w:rsidRPr="00DD31C3" w:rsidTr="00C827D5">
        <w:trPr>
          <w:cantSplit/>
        </w:trPr>
        <w:tc>
          <w:tcPr>
            <w:tcW w:w="8771" w:type="dxa"/>
            <w:tcBorders>
              <w:top w:val="nil"/>
              <w:left w:val="nil"/>
              <w:bottom w:val="nil"/>
              <w:right w:val="nil"/>
            </w:tcBorders>
            <w:shd w:val="clear" w:color="auto" w:fill="F2F2F2"/>
          </w:tcPr>
          <w:p w:rsidR="006875D3" w:rsidRPr="00DD31C3" w:rsidRDefault="006875D3" w:rsidP="00D65A47">
            <w:pPr>
              <w:pStyle w:val="BoxSource"/>
              <w:ind w:left="120" w:hanging="120"/>
            </w:pPr>
            <w:r w:rsidRPr="00DD31C3">
              <w:rPr>
                <w:i/>
              </w:rPr>
              <w:t>Source</w:t>
            </w:r>
            <w:r w:rsidRPr="00AE3578">
              <w:t>:</w:t>
            </w:r>
            <w:r w:rsidRPr="00DD31C3">
              <w:rPr>
                <w:i/>
              </w:rPr>
              <w:t xml:space="preserve"> </w:t>
            </w:r>
            <w:r w:rsidRPr="00D65A47">
              <w:t>COAG (2012).</w:t>
            </w:r>
          </w:p>
        </w:tc>
      </w:tr>
      <w:tr w:rsidR="006875D3" w:rsidRPr="00DD31C3" w:rsidTr="00C827D5">
        <w:trPr>
          <w:cantSplit/>
        </w:trPr>
        <w:tc>
          <w:tcPr>
            <w:tcW w:w="8771" w:type="dxa"/>
            <w:tcBorders>
              <w:top w:val="nil"/>
              <w:left w:val="nil"/>
              <w:bottom w:val="single" w:sz="6" w:space="0" w:color="78A22F"/>
              <w:right w:val="nil"/>
            </w:tcBorders>
            <w:shd w:val="clear" w:color="auto" w:fill="F2F2F2"/>
          </w:tcPr>
          <w:p w:rsidR="006875D3" w:rsidRPr="00DD31C3" w:rsidRDefault="006875D3">
            <w:pPr>
              <w:pStyle w:val="Box"/>
              <w:spacing w:before="0" w:line="120" w:lineRule="exact"/>
            </w:pPr>
          </w:p>
        </w:tc>
      </w:tr>
      <w:tr w:rsidR="00DD31C3" w:rsidRPr="00DD31C3" w:rsidTr="00C827D5">
        <w:tc>
          <w:tcPr>
            <w:tcW w:w="8771" w:type="dxa"/>
            <w:tcBorders>
              <w:top w:val="single" w:sz="6" w:space="0" w:color="78A22F"/>
              <w:left w:val="nil"/>
              <w:bottom w:val="nil"/>
              <w:right w:val="nil"/>
            </w:tcBorders>
          </w:tcPr>
          <w:p w:rsidR="006875D3" w:rsidRPr="00DD31C3" w:rsidRDefault="006875D3" w:rsidP="00C827D5">
            <w:pPr>
              <w:pStyle w:val="BoxSpaceBelow"/>
            </w:pPr>
          </w:p>
        </w:tc>
      </w:tr>
    </w:tbl>
    <w:p w:rsidR="001F39F2" w:rsidRPr="00DD31C3" w:rsidRDefault="001F39F2" w:rsidP="00585E2C">
      <w:pPr>
        <w:pStyle w:val="BodyText"/>
      </w:pPr>
      <w:r w:rsidRPr="00DD31C3">
        <w:t>The performance indicator framework provides information on equity, efficiency and effectiveness, and distinguishes outputs and outcomes of government funded services for people with disability (figure</w:t>
      </w:r>
      <w:r w:rsidR="00AE3578">
        <w:t> </w:t>
      </w:r>
      <w:r w:rsidRPr="00DD31C3">
        <w:t xml:space="preserve">14.8). </w:t>
      </w:r>
      <w:proofErr w:type="gramStart"/>
      <w:r w:rsidRPr="00DD31C3">
        <w:t xml:space="preserve">The performance indicator framework shows which data are comparable in the </w:t>
      </w:r>
      <w:r w:rsidR="00DD31C3" w:rsidRPr="00DD31C3">
        <w:t xml:space="preserve">2015 </w:t>
      </w:r>
      <w:r w:rsidRPr="00DD31C3">
        <w:t>Report.</w:t>
      </w:r>
      <w:proofErr w:type="gramEnd"/>
      <w:r w:rsidRPr="00DD31C3">
        <w:t xml:space="preserve"> For data that are not considered directly comparable, the text includes relevant caveats and supporting commentary. Chapter 1 discusses data comparability</w:t>
      </w:r>
      <w:r w:rsidR="00845A5C">
        <w:t xml:space="preserve"> </w:t>
      </w:r>
      <w:r w:rsidR="00845A5C" w:rsidRPr="000453A1">
        <w:rPr>
          <w:shd w:val="clear" w:color="auto" w:fill="FFFFFF" w:themeFill="background1"/>
        </w:rPr>
        <w:t>and data completeness</w:t>
      </w:r>
      <w:r w:rsidRPr="00DD31C3">
        <w:t xml:space="preserve"> from a Report</w:t>
      </w:r>
      <w:r w:rsidR="00B84AF2">
        <w:noBreakHyphen/>
      </w:r>
      <w:r w:rsidRPr="00DD31C3">
        <w:t>wide perspective (see section 1.6).</w:t>
      </w:r>
    </w:p>
    <w:p w:rsidR="00802A7D" w:rsidRPr="002D30AD" w:rsidRDefault="00802A7D" w:rsidP="00802A7D">
      <w:pPr>
        <w:spacing w:before="240" w:line="320" w:lineRule="atLeast"/>
        <w:jc w:val="both"/>
        <w:rPr>
          <w:szCs w:val="20"/>
        </w:rPr>
      </w:pPr>
      <w:r w:rsidRPr="002D30AD">
        <w:rPr>
          <w:szCs w:val="26"/>
        </w:rPr>
        <w:t xml:space="preserve">The Report’s statistical </w:t>
      </w:r>
      <w:r>
        <w:rPr>
          <w:szCs w:val="26"/>
        </w:rPr>
        <w:t>context chapter</w:t>
      </w:r>
      <w:r w:rsidRPr="002D30AD">
        <w:rPr>
          <w:szCs w:val="26"/>
        </w:rPr>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147FD2">
        <w:t>Indigenous</w:t>
      </w:r>
      <w:r w:rsidR="00147FD2" w:rsidRPr="00D658BD">
        <w:t xml:space="preserve"> </w:t>
      </w:r>
      <w:r>
        <w:rPr>
          <w:szCs w:val="26"/>
        </w:rPr>
        <w:t>and ethnic</w:t>
      </w:r>
      <w:r w:rsidR="00B84AF2">
        <w:rPr>
          <w:szCs w:val="26"/>
        </w:rPr>
        <w:noBreakHyphen/>
      </w:r>
      <w:r w:rsidRPr="002D30AD">
        <w:rPr>
          <w:szCs w:val="26"/>
        </w:rPr>
        <w:t>status) (</w:t>
      </w:r>
      <w:r>
        <w:rPr>
          <w:szCs w:val="26"/>
        </w:rPr>
        <w:t>chapter 2</w:t>
      </w:r>
      <w:r w:rsidRPr="002D30AD">
        <w:rPr>
          <w:szCs w:val="26"/>
        </w:rPr>
        <w:t>).</w:t>
      </w:r>
    </w:p>
    <w:p w:rsidR="001F5749" w:rsidRPr="00AE3578" w:rsidRDefault="00802A7D" w:rsidP="00585E2C">
      <w:pPr>
        <w:pStyle w:val="BodyText"/>
      </w:pPr>
      <w:r>
        <w:t>DQI</w:t>
      </w:r>
      <w:r w:rsidR="001F5749" w:rsidRPr="00DD31C3">
        <w:t xml:space="preserve"> is being progressively introduced for all indicators in the Report. The purpose of DQI is to provide structured and consistent information about quality aspects of data </w:t>
      </w:r>
      <w:r w:rsidR="007265EE" w:rsidRPr="00DD31C3">
        <w:t xml:space="preserve">used </w:t>
      </w:r>
      <w:r w:rsidR="00304D19" w:rsidRPr="00DD31C3">
        <w:t>to</w:t>
      </w:r>
      <w:r w:rsidR="007265EE" w:rsidRPr="00DD31C3">
        <w:t xml:space="preserve"> </w:t>
      </w:r>
      <w:r w:rsidR="001F5749" w:rsidRPr="00DD31C3">
        <w:t xml:space="preserve">report on performance indicators.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w:t>
      </w:r>
      <w:r w:rsidR="00304D19" w:rsidRPr="00DD31C3">
        <w:t xml:space="preserve">note </w:t>
      </w:r>
      <w:r w:rsidR="001F5749" w:rsidRPr="00DD31C3">
        <w:t xml:space="preserve">key data gaps and issues </w:t>
      </w:r>
      <w:r w:rsidR="001F5749" w:rsidRPr="00DD31C3">
        <w:lastRenderedPageBreak/>
        <w:t xml:space="preserve">identified by the Steering Committee. All DQI for the </w:t>
      </w:r>
      <w:r w:rsidR="006152DC" w:rsidRPr="00DD31C3">
        <w:t>201</w:t>
      </w:r>
      <w:r w:rsidR="006152DC">
        <w:t xml:space="preserve">5 </w:t>
      </w:r>
      <w:r w:rsidR="001F5749" w:rsidRPr="00DD31C3">
        <w:t xml:space="preserve">Report can be found at </w:t>
      </w:r>
      <w:r w:rsidR="0028432F">
        <w:t>www.pc.gov.au/</w:t>
      </w:r>
      <w:r w:rsidRPr="0015499C">
        <w:t>rogs/201</w:t>
      </w:r>
      <w:r>
        <w:t>5</w:t>
      </w:r>
      <w:r w:rsidRPr="0015499C">
        <w:t>.</w:t>
      </w:r>
    </w:p>
    <w:p w:rsidR="006A6FE4" w:rsidRDefault="006A6FE4"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6FE4" w:rsidTr="00730EA6">
        <w:tc>
          <w:tcPr>
            <w:tcW w:w="8771" w:type="dxa"/>
            <w:tcBorders>
              <w:top w:val="single" w:sz="6" w:space="0" w:color="78A22F"/>
              <w:left w:val="nil"/>
              <w:bottom w:val="nil"/>
              <w:right w:val="nil"/>
            </w:tcBorders>
            <w:shd w:val="clear" w:color="auto" w:fill="auto"/>
          </w:tcPr>
          <w:p w:rsidR="006A6FE4" w:rsidRPr="00176D3F" w:rsidRDefault="006A6FE4" w:rsidP="004A0228">
            <w:pPr>
              <w:pStyle w:val="FigureTitle"/>
            </w:pPr>
            <w:r w:rsidRPr="00784A05">
              <w:rPr>
                <w:b w:val="0"/>
              </w:rPr>
              <w:t xml:space="preserve">Figure </w:t>
            </w:r>
            <w:r w:rsidR="00321568">
              <w:rPr>
                <w:b w:val="0"/>
              </w:rPr>
              <w:t>14.</w:t>
            </w:r>
            <w:r w:rsidR="0085284B">
              <w:rPr>
                <w:b w:val="0"/>
                <w:noProof/>
              </w:rPr>
              <w:t>8</w:t>
            </w:r>
            <w:r>
              <w:tab/>
            </w:r>
            <w:r w:rsidRPr="000D3280">
              <w:t>Services for people with disability performance indicator framework</w:t>
            </w:r>
          </w:p>
        </w:tc>
      </w:tr>
      <w:tr w:rsidR="006A6FE4"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6A6FE4" w:rsidTr="00730EA6">
              <w:trPr>
                <w:jc w:val="center"/>
              </w:trPr>
              <w:tc>
                <w:tcPr>
                  <w:tcW w:w="5000" w:type="pct"/>
                  <w:tcBorders>
                    <w:top w:val="nil"/>
                    <w:bottom w:val="nil"/>
                  </w:tcBorders>
                </w:tcPr>
                <w:p w:rsidR="006152DC" w:rsidRPr="00332AA1" w:rsidRDefault="0072265E" w:rsidP="00332AA1">
                  <w:pPr>
                    <w:pStyle w:val="Figure"/>
                    <w:rPr>
                      <w:rStyle w:val="DraftingNote"/>
                      <w:b w:val="0"/>
                      <w:color w:val="auto"/>
                      <w:u w:val="none"/>
                    </w:rPr>
                  </w:pPr>
                  <w:r>
                    <w:rPr>
                      <w:noProof/>
                    </w:rPr>
                    <w:drawing>
                      <wp:inline distT="0" distB="0" distL="0" distR="0">
                        <wp:extent cx="5162550" cy="6296025"/>
                        <wp:effectExtent l="0" t="0" r="0" b="0"/>
                        <wp:docPr id="8" name="Picture 8" descr="Figure 14.8 Services for people with disability performance indicator framework&#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62550" cy="6296025"/>
                                </a:xfrm>
                                <a:prstGeom prst="rect">
                                  <a:avLst/>
                                </a:prstGeom>
                                <a:noFill/>
                                <a:ln>
                                  <a:noFill/>
                                </a:ln>
                              </pic:spPr>
                            </pic:pic>
                          </a:graphicData>
                        </a:graphic>
                      </wp:inline>
                    </w:drawing>
                  </w:r>
                </w:p>
              </w:tc>
            </w:tr>
          </w:tbl>
          <w:p w:rsidR="006A6FE4" w:rsidRDefault="006A6FE4" w:rsidP="00730EA6">
            <w:pPr>
              <w:pStyle w:val="Figure"/>
            </w:pPr>
          </w:p>
        </w:tc>
      </w:tr>
      <w:tr w:rsidR="006A6FE4" w:rsidTr="00730EA6">
        <w:tc>
          <w:tcPr>
            <w:tcW w:w="8771" w:type="dxa"/>
            <w:tcBorders>
              <w:top w:val="nil"/>
              <w:left w:val="nil"/>
              <w:bottom w:val="single" w:sz="6" w:space="0" w:color="78A22F"/>
              <w:right w:val="nil"/>
            </w:tcBorders>
            <w:shd w:val="clear" w:color="auto" w:fill="auto"/>
          </w:tcPr>
          <w:p w:rsidR="006A6FE4" w:rsidRDefault="006A6FE4" w:rsidP="00730EA6">
            <w:pPr>
              <w:pStyle w:val="Figurespace"/>
            </w:pPr>
          </w:p>
        </w:tc>
      </w:tr>
      <w:tr w:rsidR="006A6FE4" w:rsidRPr="000863A5" w:rsidTr="00730EA6">
        <w:tc>
          <w:tcPr>
            <w:tcW w:w="8771" w:type="dxa"/>
            <w:tcBorders>
              <w:top w:val="single" w:sz="6" w:space="0" w:color="78A22F"/>
              <w:left w:val="nil"/>
              <w:bottom w:val="nil"/>
              <w:right w:val="nil"/>
            </w:tcBorders>
          </w:tcPr>
          <w:p w:rsidR="006A6FE4" w:rsidRPr="00626D32" w:rsidRDefault="006A6FE4" w:rsidP="00730EA6">
            <w:pPr>
              <w:pStyle w:val="BoxSpaceBelow"/>
            </w:pPr>
          </w:p>
        </w:tc>
      </w:tr>
    </w:tbl>
    <w:p w:rsidR="001F39F2" w:rsidRPr="0086127D" w:rsidRDefault="00321568" w:rsidP="0086127D">
      <w:pPr>
        <w:pStyle w:val="Heading2"/>
      </w:pPr>
      <w:bookmarkStart w:id="13" w:name="_Toc248563904"/>
      <w:bookmarkStart w:id="14" w:name="_Toc397527175"/>
      <w:r>
        <w:lastRenderedPageBreak/>
        <w:t>14.</w:t>
      </w:r>
      <w:r w:rsidR="0085284B">
        <w:rPr>
          <w:noProof/>
        </w:rPr>
        <w:t>3</w:t>
      </w:r>
      <w:r w:rsidR="001F39F2" w:rsidRPr="004C7F59">
        <w:tab/>
        <w:t>Key performance indicator results</w:t>
      </w:r>
      <w:bookmarkEnd w:id="13"/>
      <w:bookmarkEnd w:id="14"/>
    </w:p>
    <w:p w:rsidR="001F39F2" w:rsidRPr="006152DC" w:rsidRDefault="001F39F2" w:rsidP="00585E2C">
      <w:pPr>
        <w:pStyle w:val="BodyText"/>
      </w:pPr>
      <w:r w:rsidRPr="006152DC">
        <w:t>The performance indicator results reported in this chapter relate to NDA specialist disability services. These data were sourced from the DS NMDS collection</w:t>
      </w:r>
      <w:r w:rsidR="005A7EF5" w:rsidRPr="006152DC">
        <w:t>,</w:t>
      </w:r>
      <w:r w:rsidRPr="006152DC">
        <w:t xml:space="preserve"> which is managed by Australian, State and Territory governments at the service and jurisdictional level</w:t>
      </w:r>
      <w:r w:rsidR="006D402D" w:rsidRPr="006152DC">
        <w:t>,</w:t>
      </w:r>
      <w:r w:rsidRPr="006152DC">
        <w:t xml:space="preserve"> and by the A</w:t>
      </w:r>
      <w:r w:rsidR="0086127D">
        <w:t xml:space="preserve">ustralian </w:t>
      </w:r>
      <w:r w:rsidR="0086127D" w:rsidRPr="006152DC">
        <w:t>I</w:t>
      </w:r>
      <w:r w:rsidR="0086127D">
        <w:t xml:space="preserve">nstitute of </w:t>
      </w:r>
      <w:r w:rsidRPr="006152DC">
        <w:t>H</w:t>
      </w:r>
      <w:r w:rsidR="0086127D">
        <w:t xml:space="preserve">ealth and </w:t>
      </w:r>
      <w:r w:rsidR="0086127D" w:rsidRPr="006152DC">
        <w:t>W</w:t>
      </w:r>
      <w:r w:rsidR="0086127D">
        <w:t>elfare (AIHW)</w:t>
      </w:r>
      <w:r w:rsidRPr="006152DC">
        <w:t xml:space="preserve"> at the national level. Under the NDA, governments have committed to the ongoing improvement</w:t>
      </w:r>
      <w:r w:rsidR="001C512C" w:rsidRPr="006152DC">
        <w:t xml:space="preserve">, </w:t>
      </w:r>
      <w:r w:rsidRPr="006152DC">
        <w:t>and provision</w:t>
      </w:r>
      <w:r w:rsidR="001C512C" w:rsidRPr="006152DC">
        <w:t>,</w:t>
      </w:r>
      <w:r w:rsidRPr="006152DC">
        <w:t xml:space="preserve"> of data for the DS NMDS.</w:t>
      </w:r>
    </w:p>
    <w:p w:rsidR="001F39F2" w:rsidRPr="001A0C68" w:rsidRDefault="001F39F2" w:rsidP="00585E2C">
      <w:pPr>
        <w:pStyle w:val="BodyText"/>
      </w:pPr>
      <w:r w:rsidRPr="006152DC">
        <w:t xml:space="preserve">When considering the performance indicator results derived from service user data, comparisons </w:t>
      </w:r>
      <w:r w:rsidR="006D402D" w:rsidRPr="006152DC">
        <w:t>across</w:t>
      </w:r>
      <w:r w:rsidRPr="006152DC">
        <w:t xml:space="preserve"> jurisdictions and </w:t>
      </w:r>
      <w:r w:rsidR="006D402D" w:rsidRPr="006152DC">
        <w:t>over</w:t>
      </w:r>
      <w:r w:rsidRPr="006152DC">
        <w:t xml:space="preserve"> years should be undertaken with care. While the implementation of the DS NMDS continues to improve, data quality </w:t>
      </w:r>
      <w:r w:rsidR="008A1B59" w:rsidRPr="006152DC">
        <w:t xml:space="preserve">and comparability </w:t>
      </w:r>
      <w:r w:rsidR="00C13E76" w:rsidRPr="006152DC">
        <w:t xml:space="preserve">remains </w:t>
      </w:r>
      <w:r w:rsidRPr="006152DC">
        <w:t>affected by a number of factors, including</w:t>
      </w:r>
      <w:r w:rsidR="00C13E76" w:rsidRPr="00754CD6">
        <w:t xml:space="preserve"> differences across jurisdictions</w:t>
      </w:r>
      <w:r w:rsidR="006D402D" w:rsidRPr="001A0C68">
        <w:t xml:space="preserve"> and over time</w:t>
      </w:r>
      <w:r w:rsidR="00445BD4">
        <w:t xml:space="preserve"> in</w:t>
      </w:r>
      <w:r w:rsidRPr="001A0C68">
        <w:t xml:space="preserve">: </w:t>
      </w:r>
    </w:p>
    <w:p w:rsidR="001F39F2" w:rsidRPr="006152DC" w:rsidRDefault="00B803EF" w:rsidP="00585E2C">
      <w:pPr>
        <w:pStyle w:val="ListBullet"/>
      </w:pPr>
      <w:r w:rsidRPr="006152DC">
        <w:t>the participation of service users and service outlets in the collection and in the ‘not stated’ response rates of particular data items (see section 14.6 for further details)</w:t>
      </w:r>
      <w:r w:rsidR="001F39F2" w:rsidRPr="006152DC">
        <w:t xml:space="preserve"> </w:t>
      </w:r>
    </w:p>
    <w:p w:rsidR="001F39F2" w:rsidRPr="006152DC" w:rsidRDefault="001F39F2" w:rsidP="00585E2C">
      <w:pPr>
        <w:pStyle w:val="ListBullet"/>
      </w:pPr>
      <w:r w:rsidRPr="006152DC">
        <w:t xml:space="preserve">the interpretation of DS NMDS service definitions (for example, the target group for services classified as ‘early intervention’ can differ) </w:t>
      </w:r>
    </w:p>
    <w:p w:rsidR="001F39F2" w:rsidRPr="006152DC" w:rsidRDefault="001F39F2" w:rsidP="00585E2C">
      <w:pPr>
        <w:pStyle w:val="ListBullet"/>
      </w:pPr>
      <w:proofErr w:type="gramStart"/>
      <w:r w:rsidRPr="006152DC">
        <w:t>in</w:t>
      </w:r>
      <w:proofErr w:type="gramEnd"/>
      <w:r w:rsidRPr="006152DC">
        <w:t xml:space="preserve"> whether particular activities are defined as specialist disability services or are funded under other programs.</w:t>
      </w:r>
    </w:p>
    <w:p w:rsidR="001F39F2" w:rsidRPr="00F25B51" w:rsidRDefault="001F39F2" w:rsidP="00585E2C">
      <w:pPr>
        <w:pStyle w:val="Heading3"/>
      </w:pPr>
      <w:r w:rsidRPr="00F25B51">
        <w:t>Outputs</w:t>
      </w:r>
    </w:p>
    <w:p w:rsidR="001F39F2" w:rsidRPr="00F25B51" w:rsidRDefault="001F39F2" w:rsidP="00585E2C">
      <w:pPr>
        <w:pStyle w:val="BodyText"/>
      </w:pPr>
      <w:r w:rsidRPr="00F25B51">
        <w:t>Outputs are the services delivered (while outcomes are the impact of these services on the status of an individual or group) (see chapter 1, section 1.5).</w:t>
      </w:r>
    </w:p>
    <w:p w:rsidR="001F39F2" w:rsidRPr="00F25B51" w:rsidRDefault="001F39F2" w:rsidP="00585E2C">
      <w:pPr>
        <w:pStyle w:val="Heading4"/>
      </w:pPr>
      <w:r w:rsidRPr="00F25B51">
        <w:t xml:space="preserve">Equity and effectiveness — access to appropriate services on the basis of relative need </w:t>
      </w:r>
    </w:p>
    <w:p w:rsidR="001F39F2" w:rsidRPr="00F25B51" w:rsidRDefault="001F39F2" w:rsidP="00585E2C">
      <w:pPr>
        <w:pStyle w:val="Heading5"/>
      </w:pPr>
      <w:r w:rsidRPr="00F25B51">
        <w:t>Access to NDA specialist disability services</w:t>
      </w:r>
    </w:p>
    <w:p w:rsidR="001F39F2" w:rsidRDefault="001F39F2" w:rsidP="00585E2C">
      <w:pPr>
        <w:pStyle w:val="BodyText"/>
      </w:pPr>
      <w:r w:rsidRPr="00F25B51">
        <w:t>‘Access to NDA specialist disability services’ is an indicator of governments’ objective to provide access to government funded services</w:t>
      </w:r>
      <w:r w:rsidR="006D402D" w:rsidRPr="00F25B51">
        <w:t>,</w:t>
      </w:r>
      <w:r w:rsidRPr="00F25B51">
        <w:t xml:space="preserve"> including specialist disability services</w:t>
      </w:r>
      <w:r w:rsidR="006D402D" w:rsidRPr="00F25B51">
        <w:t>,</w:t>
      </w:r>
      <w:r w:rsidRPr="00F25B51">
        <w:t xml:space="preserve"> on the basis of relative need and available resources. Measures </w:t>
      </w:r>
      <w:r w:rsidR="00C13E76" w:rsidRPr="00F25B51">
        <w:t xml:space="preserve">of services </w:t>
      </w:r>
      <w:r w:rsidRPr="00F25B51">
        <w:t>are reported for accommodation support, community support, community access, respite services and employment</w:t>
      </w:r>
      <w:r w:rsidR="00332AA1">
        <w:t xml:space="preserve"> </w:t>
      </w:r>
      <w:r w:rsidR="00445BD4">
        <w:t xml:space="preserve">services </w:t>
      </w:r>
      <w:r w:rsidR="00332AA1">
        <w:t xml:space="preserve">(open and supported) </w:t>
      </w:r>
      <w:r w:rsidRPr="00F25B51">
        <w:t>(box</w:t>
      </w:r>
      <w:r w:rsidR="00AE3578">
        <w:t> </w:t>
      </w:r>
      <w:r w:rsidRPr="00F25B51">
        <w:t>14.</w:t>
      </w:r>
      <w:r w:rsidR="006C2651" w:rsidRPr="00F25B51">
        <w:t>7</w:t>
      </w:r>
      <w:r w:rsidR="006875D3">
        <w:t>).</w:t>
      </w:r>
    </w:p>
    <w:p w:rsidR="006875D3" w:rsidRDefault="006875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75D3" w:rsidTr="00C827D5">
        <w:tc>
          <w:tcPr>
            <w:tcW w:w="8771" w:type="dxa"/>
            <w:tcBorders>
              <w:top w:val="single" w:sz="6" w:space="0" w:color="78A22F"/>
              <w:left w:val="nil"/>
              <w:bottom w:val="nil"/>
              <w:right w:val="nil"/>
            </w:tcBorders>
            <w:shd w:val="clear" w:color="auto" w:fill="F2F2F2"/>
          </w:tcPr>
          <w:p w:rsidR="006875D3" w:rsidRDefault="006875D3" w:rsidP="006875D3">
            <w:pPr>
              <w:pStyle w:val="BoxTitle"/>
            </w:pPr>
            <w:r>
              <w:rPr>
                <w:b w:val="0"/>
              </w:rPr>
              <w:t xml:space="preserve">Box </w:t>
            </w:r>
            <w:r w:rsidR="00321568">
              <w:rPr>
                <w:b w:val="0"/>
              </w:rPr>
              <w:t>14.</w:t>
            </w:r>
            <w:r w:rsidR="0085284B">
              <w:rPr>
                <w:b w:val="0"/>
                <w:noProof/>
              </w:rPr>
              <w:t>7</w:t>
            </w:r>
            <w:r>
              <w:tab/>
            </w:r>
            <w:r w:rsidRPr="00754CD6">
              <w:t xml:space="preserve">Access to </w:t>
            </w:r>
            <w:r w:rsidRPr="00332AA1">
              <w:t>National Disability Agreement</w:t>
            </w:r>
            <w:r w:rsidRPr="00754CD6">
              <w:t xml:space="preserve"> specialist disability services</w:t>
            </w:r>
          </w:p>
        </w:tc>
      </w:tr>
      <w:tr w:rsidR="006875D3" w:rsidTr="00C827D5">
        <w:trPr>
          <w:cantSplit/>
        </w:trPr>
        <w:tc>
          <w:tcPr>
            <w:tcW w:w="8771" w:type="dxa"/>
            <w:tcBorders>
              <w:top w:val="nil"/>
              <w:left w:val="nil"/>
              <w:bottom w:val="nil"/>
              <w:right w:val="nil"/>
            </w:tcBorders>
            <w:shd w:val="clear" w:color="auto" w:fill="F2F2F2"/>
          </w:tcPr>
          <w:p w:rsidR="006875D3" w:rsidRPr="00754CD6" w:rsidRDefault="006875D3" w:rsidP="006875D3">
            <w:pPr>
              <w:pStyle w:val="Box"/>
            </w:pPr>
            <w:r w:rsidRPr="00754CD6">
              <w:t xml:space="preserve">‘Access to NDA specialist disability services’ is defined as the number of people using a particular NDA specialist disability service divided by the ‘potential population’ for that service. The potential population is an estimate of the number of people with the potential to require specialist disability services at some time. </w:t>
            </w:r>
          </w:p>
          <w:p w:rsidR="006875D3" w:rsidRPr="009857A6" w:rsidRDefault="009857A6" w:rsidP="006875D3">
            <w:pPr>
              <w:pStyle w:val="Box"/>
              <w:rPr>
                <w:b/>
              </w:rPr>
            </w:pPr>
            <w:r w:rsidRPr="007D044A">
              <w:t>Updated</w:t>
            </w:r>
            <w:r w:rsidRPr="009857A6">
              <w:rPr>
                <w:b/>
              </w:rPr>
              <w:t xml:space="preserve"> </w:t>
            </w:r>
            <w:r w:rsidRPr="009857A6">
              <w:t>source data used in the calculation of the potential population has created a break in series</w:t>
            </w:r>
            <w:r>
              <w:t xml:space="preserve"> for this Report</w:t>
            </w:r>
            <w:r w:rsidRPr="009857A6">
              <w:t xml:space="preserve">. </w:t>
            </w:r>
            <w:r w:rsidRPr="00B46C11">
              <w:t>The potential population has been recalculated based on data from the 2012 SDAC and 2011 Census and has been backcast to the 2008</w:t>
            </w:r>
            <w:r w:rsidR="00B84AF2">
              <w:noBreakHyphen/>
            </w:r>
            <w:r w:rsidRPr="00B46C11">
              <w:t xml:space="preserve">09 year </w:t>
            </w:r>
            <w:r w:rsidR="006875D3" w:rsidRPr="009857A6">
              <w:t xml:space="preserve">to provide a consistent time series. See details in </w:t>
            </w:r>
            <w:r w:rsidR="009D29CA" w:rsidRPr="00FD76C0">
              <w:t>section</w:t>
            </w:r>
            <w:r w:rsidR="009D29CA">
              <w:t>s</w:t>
            </w:r>
            <w:r w:rsidR="009D29CA" w:rsidRPr="00FD76C0">
              <w:t xml:space="preserve"> </w:t>
            </w:r>
            <w:r w:rsidR="009D29CA">
              <w:t xml:space="preserve">14.6 and </w:t>
            </w:r>
            <w:r w:rsidR="009D29CA" w:rsidRPr="00242FB0">
              <w:t>14.</w:t>
            </w:r>
            <w:r w:rsidR="009D29CA">
              <w:t>7.</w:t>
            </w:r>
          </w:p>
          <w:p w:rsidR="006875D3" w:rsidRDefault="006875D3" w:rsidP="006875D3">
            <w:pPr>
              <w:pStyle w:val="Box"/>
            </w:pPr>
            <w:r w:rsidRPr="00754CD6">
              <w:t xml:space="preserve">The potential population is the number of people aged 0–64 years (and Aboriginal and Torres Strait </w:t>
            </w:r>
            <w:r w:rsidR="00C21DBC">
              <w:t>Islander people</w:t>
            </w:r>
            <w:r w:rsidR="00445BD4">
              <w:t xml:space="preserve"> aged 0–49 years</w:t>
            </w:r>
            <w:r w:rsidRPr="00754CD6">
              <w:t>) who are most appropriately supported by disability services, require ongoing and/or long</w:t>
            </w:r>
            <w:r w:rsidR="00B84AF2">
              <w:noBreakHyphen/>
            </w:r>
            <w:r w:rsidRPr="00754CD6">
              <w:t>term episodic support, have a permanent or chronic impairment</w:t>
            </w:r>
            <w:r w:rsidR="00445BD4">
              <w:t>,</w:t>
            </w:r>
            <w:r w:rsidRPr="00754CD6">
              <w:t xml:space="preserve"> and who have a substantially reduced capacity in one or more core activities. For respite services, only those people with a primary carer are included. For supported employment services, only the potential population aged 15–64 years participating in the labour force are included. For open employment services, the potential population is not used; instead, an </w:t>
            </w:r>
            <w:r w:rsidRPr="00445BD4">
              <w:t xml:space="preserve">estimate of all people </w:t>
            </w:r>
            <w:r w:rsidR="00445BD4" w:rsidRPr="00445BD4">
              <w:t xml:space="preserve">aged 15–64 years </w:t>
            </w:r>
            <w:r w:rsidRPr="00445BD4">
              <w:t xml:space="preserve">with a disability and who have an employment restriction </w:t>
            </w:r>
            <w:r w:rsidR="00DF61E7">
              <w:t>is used.</w:t>
            </w:r>
          </w:p>
          <w:p w:rsidR="00DF61E7" w:rsidRPr="00F25421" w:rsidRDefault="00DF61E7" w:rsidP="006875D3">
            <w:pPr>
              <w:pStyle w:val="Box"/>
            </w:pPr>
            <w:r w:rsidRPr="00F25421">
              <w:t>The numerator of an access measure is service users of all ages, unlike NDA reporting, where the numerator excludes users aged 65 years and over</w:t>
            </w:r>
            <w:r w:rsidR="007E36F1" w:rsidRPr="00F25421">
              <w:t>.</w:t>
            </w:r>
          </w:p>
          <w:p w:rsidR="006875D3" w:rsidRPr="00754CD6" w:rsidRDefault="006875D3" w:rsidP="006875D3">
            <w:pPr>
              <w:pStyle w:val="Box"/>
            </w:pPr>
            <w:r w:rsidRPr="00445BD4">
              <w:t xml:space="preserve">A high or increasing </w:t>
            </w:r>
            <w:r w:rsidRPr="00754CD6">
              <w:t xml:space="preserve">proportion of the relevant estimated potential population using a particular NDA service suggests greater access to that service. </w:t>
            </w:r>
          </w:p>
          <w:p w:rsidR="006875D3" w:rsidRPr="00754CD6" w:rsidRDefault="006875D3" w:rsidP="006875D3">
            <w:pPr>
              <w:pStyle w:val="Box"/>
            </w:pPr>
            <w:r w:rsidRPr="00754CD6">
              <w:t xml:space="preserve">Not all people in the estimated potential population will need the service or seek to access the service in the relevant period. In addition, this indicator does not provide information on whether the services are appropriate for the needs of the people receiving them, or </w:t>
            </w:r>
            <w:r w:rsidR="00A12369">
              <w:t>accessed by those most in need.</w:t>
            </w:r>
          </w:p>
          <w:p w:rsidR="006875D3" w:rsidRPr="00754CD6" w:rsidRDefault="006875D3" w:rsidP="006875D3">
            <w:pPr>
              <w:pStyle w:val="Box"/>
            </w:pPr>
            <w:r w:rsidRPr="00754CD6">
              <w:t>Data reported for this measure are:</w:t>
            </w:r>
          </w:p>
          <w:p w:rsidR="006875D3" w:rsidRPr="00754CD6" w:rsidRDefault="006875D3" w:rsidP="006875D3">
            <w:pPr>
              <w:pStyle w:val="BoxListBullet"/>
              <w:keepLines/>
            </w:pPr>
            <w:r w:rsidRPr="00754CD6">
              <w:t xml:space="preserve">comparable (subject to caveats) across jurisdictions and over time </w:t>
            </w:r>
          </w:p>
          <w:p w:rsidR="006875D3" w:rsidRPr="00D04F1C" w:rsidRDefault="006875D3" w:rsidP="006875D3">
            <w:pPr>
              <w:keepNext/>
              <w:numPr>
                <w:ilvl w:val="0"/>
                <w:numId w:val="1"/>
              </w:numPr>
              <w:spacing w:before="60" w:line="280" w:lineRule="atLeast"/>
              <w:jc w:val="both"/>
              <w:rPr>
                <w:rFonts w:ascii="Arial" w:hAnsi="Arial"/>
                <w:sz w:val="20"/>
                <w:szCs w:val="20"/>
              </w:rPr>
            </w:pPr>
            <w:proofErr w:type="gramStart"/>
            <w:r w:rsidRPr="00D04F1C">
              <w:rPr>
                <w:rFonts w:ascii="Arial" w:hAnsi="Arial"/>
                <w:sz w:val="20"/>
                <w:szCs w:val="20"/>
              </w:rPr>
              <w:t>complete</w:t>
            </w:r>
            <w:proofErr w:type="gramEnd"/>
            <w:r w:rsidRPr="00D04F1C">
              <w:rPr>
                <w:rFonts w:ascii="Arial" w:hAnsi="Arial"/>
                <w:sz w:val="20"/>
                <w:szCs w:val="20"/>
              </w:rPr>
              <w:t xml:space="preserve"> (subject to caveats) for the current reporting period. All required </w:t>
            </w:r>
            <w:r w:rsidR="00754CD6" w:rsidRPr="00D04F1C">
              <w:rPr>
                <w:rFonts w:ascii="Arial" w:hAnsi="Arial"/>
                <w:sz w:val="20"/>
                <w:szCs w:val="20"/>
              </w:rPr>
              <w:t>2012</w:t>
            </w:r>
            <w:r w:rsidR="00B84AF2">
              <w:rPr>
                <w:rFonts w:ascii="Arial" w:hAnsi="Arial"/>
                <w:sz w:val="20"/>
                <w:szCs w:val="20"/>
              </w:rPr>
              <w:noBreakHyphen/>
            </w:r>
            <w:r w:rsidR="00754CD6" w:rsidRPr="00D04F1C">
              <w:rPr>
                <w:rFonts w:ascii="Arial" w:hAnsi="Arial"/>
                <w:sz w:val="20"/>
                <w:szCs w:val="20"/>
              </w:rPr>
              <w:t>13</w:t>
            </w:r>
            <w:r w:rsidRPr="00D04F1C">
              <w:rPr>
                <w:rFonts w:ascii="Arial" w:hAnsi="Arial"/>
                <w:sz w:val="20"/>
                <w:szCs w:val="20"/>
              </w:rPr>
              <w:t xml:space="preserve"> data are available for all jurisdictions.</w:t>
            </w:r>
          </w:p>
          <w:p w:rsidR="006875D3" w:rsidRDefault="00802A7D" w:rsidP="00802A7D">
            <w:pPr>
              <w:pStyle w:val="Box"/>
            </w:pPr>
            <w:r w:rsidRPr="00802A7D">
              <w:t>Data quality information for this indicator</w:t>
            </w:r>
            <w:r w:rsidR="0028432F">
              <w:t xml:space="preserve"> is at www.pc.gov.au</w:t>
            </w:r>
            <w:r w:rsidRPr="00802A7D">
              <w:t>/rogs/2015.</w:t>
            </w:r>
          </w:p>
        </w:tc>
      </w:tr>
      <w:tr w:rsidR="006875D3" w:rsidTr="00C827D5">
        <w:trPr>
          <w:cantSplit/>
        </w:trPr>
        <w:tc>
          <w:tcPr>
            <w:tcW w:w="8771" w:type="dxa"/>
            <w:tcBorders>
              <w:top w:val="nil"/>
              <w:left w:val="nil"/>
              <w:bottom w:val="single" w:sz="6" w:space="0" w:color="78A22F"/>
              <w:right w:val="nil"/>
            </w:tcBorders>
            <w:shd w:val="clear" w:color="auto" w:fill="F2F2F2"/>
          </w:tcPr>
          <w:p w:rsidR="006875D3" w:rsidRDefault="006875D3">
            <w:pPr>
              <w:pStyle w:val="Box"/>
              <w:spacing w:before="0" w:line="120" w:lineRule="exact"/>
            </w:pPr>
          </w:p>
        </w:tc>
      </w:tr>
      <w:tr w:rsidR="006875D3" w:rsidRPr="000863A5" w:rsidTr="00C827D5">
        <w:tc>
          <w:tcPr>
            <w:tcW w:w="8771" w:type="dxa"/>
            <w:tcBorders>
              <w:top w:val="single" w:sz="6" w:space="0" w:color="78A22F"/>
              <w:left w:val="nil"/>
              <w:bottom w:val="nil"/>
              <w:right w:val="nil"/>
            </w:tcBorders>
          </w:tcPr>
          <w:p w:rsidR="006875D3" w:rsidRPr="00626D32" w:rsidRDefault="006875D3" w:rsidP="00C827D5">
            <w:pPr>
              <w:pStyle w:val="BoxSpaceBelow"/>
            </w:pPr>
          </w:p>
        </w:tc>
      </w:tr>
    </w:tbl>
    <w:p w:rsidR="001F39F2" w:rsidRPr="009857A6" w:rsidRDefault="001F39F2" w:rsidP="00585E2C">
      <w:pPr>
        <w:pStyle w:val="BodyText"/>
      </w:pPr>
      <w:r w:rsidRPr="009857A6">
        <w:t xml:space="preserve">Nationally, </w:t>
      </w:r>
      <w:r w:rsidR="00F333E7">
        <w:t>6.5</w:t>
      </w:r>
      <w:r w:rsidR="00A84DD1" w:rsidRPr="009857A6">
        <w:t xml:space="preserve"> </w:t>
      </w:r>
      <w:r w:rsidRPr="009857A6">
        <w:t xml:space="preserve">per cent of the estimated potential population were using NDA accommodation support services in </w:t>
      </w:r>
      <w:r w:rsidR="00A84DD1" w:rsidRPr="009857A6">
        <w:t>2012</w:t>
      </w:r>
      <w:r w:rsidR="00B84AF2">
        <w:noBreakHyphen/>
      </w:r>
      <w:r w:rsidR="00A84DD1" w:rsidRPr="009857A6">
        <w:t>13</w:t>
      </w:r>
      <w:r w:rsidR="00E43475" w:rsidRPr="009857A6">
        <w:t xml:space="preserve"> </w:t>
      </w:r>
      <w:r w:rsidRPr="009857A6">
        <w:t>(figure</w:t>
      </w:r>
      <w:r w:rsidR="00AE3578">
        <w:t> </w:t>
      </w:r>
      <w:r w:rsidRPr="009857A6">
        <w:t>14.9).</w:t>
      </w:r>
    </w:p>
    <w:p w:rsidR="000D3280" w:rsidRDefault="000D3280"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3280" w:rsidTr="00730EA6">
        <w:tc>
          <w:tcPr>
            <w:tcW w:w="8771" w:type="dxa"/>
            <w:tcBorders>
              <w:top w:val="single" w:sz="6" w:space="0" w:color="78A22F"/>
              <w:left w:val="nil"/>
              <w:bottom w:val="nil"/>
              <w:right w:val="nil"/>
            </w:tcBorders>
            <w:shd w:val="clear" w:color="auto" w:fill="auto"/>
          </w:tcPr>
          <w:p w:rsidR="000D3280" w:rsidRPr="00176D3F" w:rsidRDefault="000D3280" w:rsidP="00131BC7">
            <w:pPr>
              <w:pStyle w:val="FigureTitle"/>
            </w:pPr>
            <w:r w:rsidRPr="00784A05">
              <w:rPr>
                <w:b w:val="0"/>
              </w:rPr>
              <w:t xml:space="preserve">Figure </w:t>
            </w:r>
            <w:r w:rsidR="00321568">
              <w:rPr>
                <w:b w:val="0"/>
              </w:rPr>
              <w:t>14.</w:t>
            </w:r>
            <w:r w:rsidR="0085284B">
              <w:rPr>
                <w:b w:val="0"/>
                <w:noProof/>
              </w:rPr>
              <w:t>9</w:t>
            </w:r>
            <w:r>
              <w:tab/>
            </w:r>
            <w:r w:rsidRPr="00A84DD1">
              <w:t>Users of NDA accommodation support services as a proportion of the estimated potential population</w:t>
            </w:r>
            <w:r w:rsidRPr="00A84DD1">
              <w:rPr>
                <w:rStyle w:val="NoteLabel"/>
                <w:b/>
              </w:rPr>
              <w:t>a, b</w:t>
            </w:r>
            <w:r w:rsidRPr="00A84DD1">
              <w:rPr>
                <w:rStyle w:val="NoteLabel"/>
              </w:rPr>
              <w:t xml:space="preserve"> </w:t>
            </w:r>
          </w:p>
        </w:tc>
      </w:tr>
      <w:tr w:rsidR="000D3280" w:rsidTr="00730EA6">
        <w:tc>
          <w:tcPr>
            <w:tcW w:w="8771" w:type="dxa"/>
            <w:tcBorders>
              <w:top w:val="nil"/>
              <w:left w:val="nil"/>
              <w:bottom w:val="nil"/>
              <w:right w:val="nil"/>
            </w:tcBorders>
            <w:shd w:val="clear" w:color="auto" w:fill="auto"/>
            <w:tcMar>
              <w:top w:w="28" w:type="dxa"/>
              <w:bottom w:w="28" w:type="dxa"/>
            </w:tcMar>
          </w:tcPr>
          <w:p w:rsidR="00A84DD1" w:rsidRPr="000761F8" w:rsidRDefault="0072265E" w:rsidP="000761F8">
            <w:pPr>
              <w:pStyle w:val="Figure"/>
            </w:pPr>
            <w:r>
              <w:rPr>
                <w:noProof/>
              </w:rPr>
              <w:drawing>
                <wp:inline distT="0" distB="0" distL="0" distR="0">
                  <wp:extent cx="5238750" cy="2686050"/>
                  <wp:effectExtent l="0" t="0" r="0" b="0"/>
                  <wp:docPr id="9" name="Picture 9" descr="Figure 14.9 Users of NDA accommodation support services as a proportion of the estimated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r w:rsidR="000D3280" w:rsidRPr="00570042" w:rsidTr="00730EA6">
        <w:tc>
          <w:tcPr>
            <w:tcW w:w="8771" w:type="dxa"/>
            <w:tcBorders>
              <w:top w:val="nil"/>
              <w:left w:val="nil"/>
              <w:bottom w:val="nil"/>
              <w:right w:val="nil"/>
            </w:tcBorders>
            <w:shd w:val="clear" w:color="auto" w:fill="auto"/>
          </w:tcPr>
          <w:p w:rsidR="000D3280" w:rsidRPr="00570042" w:rsidRDefault="000D3280" w:rsidP="00683393">
            <w:pPr>
              <w:pStyle w:val="Note"/>
            </w:pPr>
            <w:proofErr w:type="gramStart"/>
            <w:r w:rsidRPr="00570042">
              <w:rPr>
                <w:rStyle w:val="NoteLabel"/>
              </w:rPr>
              <w:t>a</w:t>
            </w:r>
            <w:proofErr w:type="gramEnd"/>
            <w:r w:rsidRPr="00570042">
              <w:t xml:space="preserve"> See table</w:t>
            </w:r>
            <w:r w:rsidR="00AE3578">
              <w:t> </w:t>
            </w:r>
            <w:r w:rsidRPr="00570042">
              <w:t>14A.</w:t>
            </w:r>
            <w:r w:rsidR="00683393" w:rsidRPr="00570042">
              <w:t>1</w:t>
            </w:r>
            <w:r w:rsidR="00683393">
              <w:t>8</w:t>
            </w:r>
            <w:r w:rsidR="00683393" w:rsidRPr="00570042">
              <w:t xml:space="preserve"> </w:t>
            </w:r>
            <w:r w:rsidRPr="00570042">
              <w:t xml:space="preserve">for detailed notes relating to service user data. See </w:t>
            </w:r>
            <w:r w:rsidR="009D29CA" w:rsidRPr="00FD76C0">
              <w:t>section</w:t>
            </w:r>
            <w:r w:rsidR="009D29CA">
              <w:t>s</w:t>
            </w:r>
            <w:r w:rsidR="009D29CA" w:rsidRPr="00FD76C0">
              <w:t xml:space="preserve"> </w:t>
            </w:r>
            <w:r w:rsidR="009D29CA">
              <w:t xml:space="preserve">14.6 and </w:t>
            </w:r>
            <w:r w:rsidR="009D29CA" w:rsidRPr="00242FB0">
              <w:t>14.</w:t>
            </w:r>
            <w:r w:rsidR="009D29CA">
              <w:t xml:space="preserve">7 </w:t>
            </w:r>
            <w:r w:rsidRPr="00570042">
              <w:t xml:space="preserve">for information on how the potential population is defined. </w:t>
            </w:r>
            <w:proofErr w:type="gramStart"/>
            <w:r w:rsidRPr="00570042">
              <w:rPr>
                <w:rStyle w:val="NoteLabel"/>
              </w:rPr>
              <w:t>b</w:t>
            </w:r>
            <w:proofErr w:type="gramEnd"/>
            <w:r w:rsidRPr="00570042">
              <w:t xml:space="preserve"> Data need to be interpreted with care due to a number of factors affecting data quality. Section 14.6 contains further information on data quality issues.</w:t>
            </w:r>
          </w:p>
        </w:tc>
      </w:tr>
      <w:tr w:rsidR="000D3280" w:rsidRPr="00570042" w:rsidTr="00730EA6">
        <w:tc>
          <w:tcPr>
            <w:tcW w:w="8771" w:type="dxa"/>
            <w:tcBorders>
              <w:top w:val="nil"/>
              <w:left w:val="nil"/>
              <w:bottom w:val="nil"/>
              <w:right w:val="nil"/>
            </w:tcBorders>
            <w:shd w:val="clear" w:color="auto" w:fill="auto"/>
          </w:tcPr>
          <w:p w:rsidR="000D3280" w:rsidRPr="00570042" w:rsidRDefault="000D3280" w:rsidP="00683393">
            <w:pPr>
              <w:pStyle w:val="Source"/>
            </w:pPr>
            <w:r w:rsidRPr="00B174BF">
              <w:rPr>
                <w:i/>
              </w:rPr>
              <w:t>Source</w:t>
            </w:r>
            <w:r w:rsidR="00CF44B8">
              <w:t>: AIHW (unpublished)</w:t>
            </w:r>
            <w:r w:rsidRPr="00B174BF">
              <w:t xml:space="preserve"> </w:t>
            </w:r>
            <w:r w:rsidRPr="00CF44B8">
              <w:rPr>
                <w:i/>
              </w:rPr>
              <w:t>DS NMDS 2009</w:t>
            </w:r>
            <w:r w:rsidR="00B84AF2">
              <w:rPr>
                <w:i/>
              </w:rPr>
              <w:noBreakHyphen/>
            </w:r>
            <w:r w:rsidRPr="00CF44B8">
              <w:rPr>
                <w:i/>
              </w:rPr>
              <w:t xml:space="preserve">10 to </w:t>
            </w:r>
            <w:r w:rsidR="00B174BF" w:rsidRPr="00CF44B8">
              <w:rPr>
                <w:i/>
              </w:rPr>
              <w:t>2012</w:t>
            </w:r>
            <w:r w:rsidR="00B84AF2">
              <w:rPr>
                <w:i/>
              </w:rPr>
              <w:noBreakHyphen/>
            </w:r>
            <w:r w:rsidR="00B174BF" w:rsidRPr="00CF44B8">
              <w:rPr>
                <w:i/>
              </w:rPr>
              <w:t>13</w:t>
            </w:r>
            <w:r w:rsidRPr="00B174BF">
              <w:t xml:space="preserve">, </w:t>
            </w:r>
            <w:r w:rsidRPr="00CF44B8">
              <w:rPr>
                <w:i/>
              </w:rPr>
              <w:t>CSTDA National Minimum Data Set</w:t>
            </w:r>
            <w:r w:rsidRPr="00B174BF">
              <w:t xml:space="preserve"> (NMDS) 2008</w:t>
            </w:r>
            <w:r w:rsidR="00B84AF2">
              <w:noBreakHyphen/>
            </w:r>
            <w:r w:rsidRPr="00B174BF">
              <w:t xml:space="preserve">09; AIHW analysis of the ABS </w:t>
            </w:r>
            <w:r w:rsidRPr="00B174BF">
              <w:rPr>
                <w:i/>
              </w:rPr>
              <w:t>Estimated Resident Population June 2008</w:t>
            </w:r>
            <w:r w:rsidR="00B84AF2">
              <w:rPr>
                <w:i/>
              </w:rPr>
              <w:t>–</w:t>
            </w:r>
            <w:r w:rsidR="00B174BF">
              <w:rPr>
                <w:i/>
              </w:rPr>
              <w:t>2012</w:t>
            </w:r>
            <w:r w:rsidRPr="00B174BF">
              <w:rPr>
                <w:i/>
              </w:rPr>
              <w:t>, ABS Census of Population and Housing</w:t>
            </w:r>
            <w:r w:rsidR="006B51BC">
              <w:rPr>
                <w:i/>
              </w:rPr>
              <w:t xml:space="preserve"> 2006 and</w:t>
            </w:r>
            <w:r w:rsidRPr="00B174BF">
              <w:rPr>
                <w:i/>
              </w:rPr>
              <w:t xml:space="preserve"> </w:t>
            </w:r>
            <w:r w:rsidR="00B174BF">
              <w:rPr>
                <w:i/>
              </w:rPr>
              <w:t>2011</w:t>
            </w:r>
            <w:r w:rsidRPr="00B174BF">
              <w:t xml:space="preserve"> and the ABS </w:t>
            </w:r>
            <w:r w:rsidRPr="00B174BF">
              <w:rPr>
                <w:i/>
              </w:rPr>
              <w:t>Survey of Disability, Ageing and Carers 200</w:t>
            </w:r>
            <w:r w:rsidR="00B174BF">
              <w:rPr>
                <w:i/>
              </w:rPr>
              <w:t>9 and 2012</w:t>
            </w:r>
            <w:r w:rsidR="00445BD4">
              <w:t>; table </w:t>
            </w:r>
            <w:r w:rsidRPr="00B174BF">
              <w:t>14A.</w:t>
            </w:r>
            <w:r w:rsidR="00683393" w:rsidRPr="00B174BF">
              <w:t>1</w:t>
            </w:r>
            <w:r w:rsidR="00683393">
              <w:t>8</w:t>
            </w:r>
            <w:r w:rsidRPr="00B174BF">
              <w:t>.</w:t>
            </w:r>
            <w:r w:rsidRPr="00570042">
              <w:t xml:space="preserve"> </w:t>
            </w:r>
          </w:p>
        </w:tc>
      </w:tr>
      <w:tr w:rsidR="000D3280" w:rsidTr="00730EA6">
        <w:tc>
          <w:tcPr>
            <w:tcW w:w="8771" w:type="dxa"/>
            <w:tcBorders>
              <w:top w:val="nil"/>
              <w:left w:val="nil"/>
              <w:bottom w:val="single" w:sz="6" w:space="0" w:color="78A22F"/>
              <w:right w:val="nil"/>
            </w:tcBorders>
            <w:shd w:val="clear" w:color="auto" w:fill="auto"/>
          </w:tcPr>
          <w:p w:rsidR="000D3280" w:rsidRDefault="000D3280" w:rsidP="00730EA6">
            <w:pPr>
              <w:pStyle w:val="Figurespace"/>
            </w:pPr>
          </w:p>
        </w:tc>
      </w:tr>
      <w:tr w:rsidR="000D3280" w:rsidRPr="000863A5" w:rsidTr="00730EA6">
        <w:tc>
          <w:tcPr>
            <w:tcW w:w="8771" w:type="dxa"/>
            <w:tcBorders>
              <w:top w:val="single" w:sz="6" w:space="0" w:color="78A22F"/>
              <w:left w:val="nil"/>
              <w:bottom w:val="nil"/>
              <w:right w:val="nil"/>
            </w:tcBorders>
          </w:tcPr>
          <w:p w:rsidR="000D3280" w:rsidRPr="00626D32" w:rsidRDefault="000D3280" w:rsidP="00730EA6">
            <w:pPr>
              <w:pStyle w:val="BoxSpaceBelow"/>
            </w:pPr>
          </w:p>
        </w:tc>
      </w:tr>
    </w:tbl>
    <w:p w:rsidR="001F39F2" w:rsidRPr="00131BC7" w:rsidRDefault="001F39F2" w:rsidP="00585E2C">
      <w:pPr>
        <w:pStyle w:val="BodyText"/>
      </w:pPr>
      <w:r w:rsidRPr="00131BC7">
        <w:t xml:space="preserve">Nationally, </w:t>
      </w:r>
      <w:r w:rsidR="000E4928">
        <w:t>25.3</w:t>
      </w:r>
      <w:r w:rsidRPr="00131BC7">
        <w:t xml:space="preserve"> per cent of the estimated potential population were using NDA community support in </w:t>
      </w:r>
      <w:r w:rsidR="00131BC7" w:rsidRPr="00131BC7">
        <w:t>2012</w:t>
      </w:r>
      <w:r w:rsidR="00B84AF2">
        <w:noBreakHyphen/>
      </w:r>
      <w:r w:rsidR="00131BC7" w:rsidRPr="00131BC7">
        <w:t>13</w:t>
      </w:r>
      <w:r w:rsidR="009C2EC0" w:rsidRPr="00131BC7">
        <w:t xml:space="preserve"> </w:t>
      </w:r>
      <w:r w:rsidRPr="00131BC7">
        <w:t>(figure</w:t>
      </w:r>
      <w:r w:rsidR="00AE3578">
        <w:t> </w:t>
      </w:r>
      <w:r w:rsidRPr="00131BC7">
        <w:t>14.10).</w:t>
      </w:r>
    </w:p>
    <w:p w:rsidR="000D3280" w:rsidRDefault="000D3280"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3280" w:rsidTr="00730EA6">
        <w:tc>
          <w:tcPr>
            <w:tcW w:w="8771" w:type="dxa"/>
            <w:tcBorders>
              <w:top w:val="single" w:sz="6" w:space="0" w:color="78A22F"/>
              <w:left w:val="nil"/>
              <w:bottom w:val="nil"/>
              <w:right w:val="nil"/>
            </w:tcBorders>
            <w:shd w:val="clear" w:color="auto" w:fill="auto"/>
          </w:tcPr>
          <w:p w:rsidR="000D3280" w:rsidRPr="00176D3F" w:rsidRDefault="000D3280" w:rsidP="000D3280">
            <w:pPr>
              <w:pStyle w:val="FigureTitle"/>
            </w:pPr>
            <w:r w:rsidRPr="00784A05">
              <w:rPr>
                <w:b w:val="0"/>
              </w:rPr>
              <w:t xml:space="preserve">Figure </w:t>
            </w:r>
            <w:r w:rsidR="00321568">
              <w:rPr>
                <w:b w:val="0"/>
              </w:rPr>
              <w:t>14.</w:t>
            </w:r>
            <w:r w:rsidR="0085284B">
              <w:rPr>
                <w:b w:val="0"/>
                <w:noProof/>
              </w:rPr>
              <w:t>10</w:t>
            </w:r>
            <w:r>
              <w:tab/>
            </w:r>
            <w:r w:rsidRPr="00131BC7">
              <w:t>Users of NDA community support services as a proportion of the estimated potential population</w:t>
            </w:r>
            <w:r w:rsidRPr="00131BC7">
              <w:rPr>
                <w:rStyle w:val="NoteLabel"/>
                <w:b/>
              </w:rPr>
              <w:t>a, b, c, d</w:t>
            </w:r>
          </w:p>
        </w:tc>
      </w:tr>
      <w:tr w:rsidR="000D328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0D3280" w:rsidTr="00730EA6">
              <w:trPr>
                <w:jc w:val="center"/>
              </w:trPr>
              <w:tc>
                <w:tcPr>
                  <w:tcW w:w="5000" w:type="pct"/>
                  <w:tcBorders>
                    <w:top w:val="nil"/>
                    <w:bottom w:val="nil"/>
                  </w:tcBorders>
                </w:tcPr>
                <w:p w:rsidR="000D3280" w:rsidRDefault="0072265E" w:rsidP="00730EA6">
                  <w:pPr>
                    <w:pStyle w:val="Figure"/>
                    <w:spacing w:before="60" w:after="60"/>
                  </w:pPr>
                  <w:r>
                    <w:rPr>
                      <w:noProof/>
                    </w:rPr>
                    <w:drawing>
                      <wp:inline distT="0" distB="0" distL="0" distR="0">
                        <wp:extent cx="5381625" cy="2686050"/>
                        <wp:effectExtent l="0" t="0" r="9525" b="0"/>
                        <wp:docPr id="10" name="Picture 10" descr="Figure 14.10 Users of NDA community support services as a proportion of the estimated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0D3280" w:rsidRDefault="000D3280" w:rsidP="00730EA6">
            <w:pPr>
              <w:pStyle w:val="Figure"/>
            </w:pPr>
          </w:p>
        </w:tc>
      </w:tr>
      <w:tr w:rsidR="000D3280" w:rsidRPr="000E4928" w:rsidTr="00730EA6">
        <w:tc>
          <w:tcPr>
            <w:tcW w:w="8771" w:type="dxa"/>
            <w:tcBorders>
              <w:top w:val="nil"/>
              <w:left w:val="nil"/>
              <w:bottom w:val="nil"/>
              <w:right w:val="nil"/>
            </w:tcBorders>
            <w:shd w:val="clear" w:color="auto" w:fill="auto"/>
          </w:tcPr>
          <w:p w:rsidR="000D3280" w:rsidRPr="000E4928" w:rsidRDefault="000D3280" w:rsidP="00683393">
            <w:pPr>
              <w:pStyle w:val="Note"/>
            </w:pPr>
            <w:proofErr w:type="gramStart"/>
            <w:r w:rsidRPr="000E4928">
              <w:rPr>
                <w:rStyle w:val="NoteLabel"/>
              </w:rPr>
              <w:t>a</w:t>
            </w:r>
            <w:proofErr w:type="gramEnd"/>
            <w:r w:rsidRPr="000E4928">
              <w:t xml:space="preserve"> See table</w:t>
            </w:r>
            <w:r w:rsidR="00AE3578">
              <w:t> </w:t>
            </w:r>
            <w:r w:rsidRPr="000E4928">
              <w:t>14A.</w:t>
            </w:r>
            <w:r w:rsidR="00683393" w:rsidRPr="000E4928">
              <w:t>1</w:t>
            </w:r>
            <w:r w:rsidR="00683393">
              <w:t>9</w:t>
            </w:r>
            <w:r w:rsidR="00683393" w:rsidRPr="000E4928">
              <w:t xml:space="preserve"> </w:t>
            </w:r>
            <w:r w:rsidRPr="000E4928">
              <w:t xml:space="preserve">for detailed notes relating to service user data. </w:t>
            </w:r>
            <w:proofErr w:type="gramStart"/>
            <w:r w:rsidRPr="000E4928">
              <w:rPr>
                <w:rStyle w:val="NoteLabel"/>
              </w:rPr>
              <w:t>b</w:t>
            </w:r>
            <w:proofErr w:type="gramEnd"/>
            <w:r w:rsidRPr="000E4928">
              <w:t xml:space="preserve"> See section </w:t>
            </w:r>
            <w:r w:rsidR="009D29CA" w:rsidRPr="00FD76C0">
              <w:t>section</w:t>
            </w:r>
            <w:r w:rsidR="009D29CA">
              <w:t>s</w:t>
            </w:r>
            <w:r w:rsidR="009D29CA" w:rsidRPr="00FD76C0">
              <w:t xml:space="preserve"> </w:t>
            </w:r>
            <w:r w:rsidR="009D29CA">
              <w:t xml:space="preserve">14.6 and </w:t>
            </w:r>
            <w:r w:rsidR="009D29CA" w:rsidRPr="00242FB0">
              <w:t>14.</w:t>
            </w:r>
            <w:r w:rsidR="009D29CA">
              <w:t xml:space="preserve">7 </w:t>
            </w:r>
            <w:r w:rsidRPr="000E4928">
              <w:t xml:space="preserve">for information on how the potential population is defined. </w:t>
            </w:r>
            <w:proofErr w:type="gramStart"/>
            <w:r w:rsidRPr="000E4928">
              <w:rPr>
                <w:rStyle w:val="NoteLabel"/>
              </w:rPr>
              <w:t>c</w:t>
            </w:r>
            <w:proofErr w:type="gramEnd"/>
            <w:r w:rsidRPr="000E4928">
              <w:t xml:space="preserve"> Data need to be interpreted with care due to a number of factors affecting data quality. Section 14.6 contains further information on these quality issues. </w:t>
            </w:r>
            <w:proofErr w:type="gramStart"/>
            <w:r w:rsidRPr="000E4928">
              <w:rPr>
                <w:rStyle w:val="NoteLabel"/>
              </w:rPr>
              <w:t>d</w:t>
            </w:r>
            <w:proofErr w:type="gramEnd"/>
            <w:r w:rsidRPr="000E4928">
              <w:rPr>
                <w:rStyle w:val="NoteLabel"/>
              </w:rPr>
              <w:t xml:space="preserve"> </w:t>
            </w:r>
            <w:r w:rsidRPr="000E4928">
              <w:t>For Victoria, additional agencies reporting clients and the change of data capturing for the Individualised Support Packages under the community support category resulted in an increase in the count of service users in 2008</w:t>
            </w:r>
            <w:r w:rsidR="00B84AF2">
              <w:noBreakHyphen/>
            </w:r>
            <w:r w:rsidRPr="000E4928">
              <w:t xml:space="preserve">09. </w:t>
            </w:r>
          </w:p>
        </w:tc>
      </w:tr>
      <w:tr w:rsidR="000D3280" w:rsidRPr="000E4928" w:rsidTr="00730EA6">
        <w:tc>
          <w:tcPr>
            <w:tcW w:w="8771" w:type="dxa"/>
            <w:tcBorders>
              <w:top w:val="nil"/>
              <w:left w:val="nil"/>
              <w:bottom w:val="nil"/>
              <w:right w:val="nil"/>
            </w:tcBorders>
            <w:shd w:val="clear" w:color="auto" w:fill="auto"/>
          </w:tcPr>
          <w:p w:rsidR="000D3280" w:rsidRPr="000E4928" w:rsidRDefault="000D3280" w:rsidP="00683393">
            <w:pPr>
              <w:pStyle w:val="Source"/>
            </w:pPr>
            <w:r w:rsidRPr="009E0A9E">
              <w:rPr>
                <w:i/>
              </w:rPr>
              <w:t>Source</w:t>
            </w:r>
            <w:r w:rsidRPr="009E0A9E">
              <w:t>: AIHW (unpublish</w:t>
            </w:r>
            <w:r w:rsidR="009E0A9E">
              <w:t xml:space="preserve">ed), </w:t>
            </w:r>
            <w:r w:rsidR="009E0A9E" w:rsidRPr="00905166">
              <w:rPr>
                <w:i/>
              </w:rPr>
              <w:t>DS NMDS 2009</w:t>
            </w:r>
            <w:r w:rsidR="00B84AF2">
              <w:rPr>
                <w:i/>
              </w:rPr>
              <w:noBreakHyphen/>
            </w:r>
            <w:r w:rsidR="009E0A9E" w:rsidRPr="00905166">
              <w:rPr>
                <w:i/>
              </w:rPr>
              <w:t>10 to 2012</w:t>
            </w:r>
            <w:r w:rsidR="00B84AF2">
              <w:rPr>
                <w:i/>
              </w:rPr>
              <w:noBreakHyphen/>
            </w:r>
            <w:r w:rsidR="009E0A9E" w:rsidRPr="00905166">
              <w:rPr>
                <w:i/>
              </w:rPr>
              <w:t>13</w:t>
            </w:r>
            <w:r w:rsidRPr="009E0A9E">
              <w:t>, C</w:t>
            </w:r>
            <w:r w:rsidRPr="00905166">
              <w:rPr>
                <w:i/>
              </w:rPr>
              <w:t>STDA National Minimum Data Set (NMDS) 2008</w:t>
            </w:r>
            <w:r w:rsidR="00B84AF2">
              <w:rPr>
                <w:i/>
              </w:rPr>
              <w:noBreakHyphen/>
            </w:r>
            <w:r w:rsidRPr="00905166">
              <w:rPr>
                <w:i/>
              </w:rPr>
              <w:t>09</w:t>
            </w:r>
            <w:r w:rsidRPr="009E0A9E">
              <w:t xml:space="preserve">; AIHW analysis of the ABS </w:t>
            </w:r>
            <w:r w:rsidRPr="009E0A9E">
              <w:rPr>
                <w:i/>
              </w:rPr>
              <w:t>Estimated</w:t>
            </w:r>
            <w:r w:rsidR="009E0A9E">
              <w:rPr>
                <w:i/>
              </w:rPr>
              <w:t xml:space="preserve"> Resident Population June 2008</w:t>
            </w:r>
            <w:r w:rsidR="00B84AF2">
              <w:rPr>
                <w:i/>
              </w:rPr>
              <w:t>–</w:t>
            </w:r>
            <w:r w:rsidR="009E0A9E">
              <w:rPr>
                <w:i/>
              </w:rPr>
              <w:t>2012</w:t>
            </w:r>
            <w:r w:rsidRPr="009E0A9E">
              <w:rPr>
                <w:i/>
              </w:rPr>
              <w:t>, ABS Cens</w:t>
            </w:r>
            <w:r w:rsidR="009E0A9E">
              <w:rPr>
                <w:i/>
              </w:rPr>
              <w:t>us of Population and Housing</w:t>
            </w:r>
            <w:r w:rsidR="006B51BC">
              <w:rPr>
                <w:i/>
              </w:rPr>
              <w:t xml:space="preserve"> 2006 and</w:t>
            </w:r>
            <w:r w:rsidR="009E0A9E">
              <w:rPr>
                <w:i/>
              </w:rPr>
              <w:t xml:space="preserve"> 2011</w:t>
            </w:r>
            <w:r w:rsidRPr="009E0A9E">
              <w:t xml:space="preserve"> and the ABS </w:t>
            </w:r>
            <w:r w:rsidRPr="009E0A9E">
              <w:rPr>
                <w:i/>
              </w:rPr>
              <w:t>Survey of Disability, Ageing and Carers 2009</w:t>
            </w:r>
            <w:r w:rsidR="009E0A9E">
              <w:rPr>
                <w:i/>
              </w:rPr>
              <w:t xml:space="preserve"> </w:t>
            </w:r>
            <w:r w:rsidR="0032063C">
              <w:rPr>
                <w:i/>
              </w:rPr>
              <w:t>and</w:t>
            </w:r>
            <w:r w:rsidR="009E0A9E">
              <w:rPr>
                <w:i/>
              </w:rPr>
              <w:t xml:space="preserve"> 2012</w:t>
            </w:r>
            <w:r w:rsidR="00445BD4">
              <w:t>; table </w:t>
            </w:r>
            <w:r w:rsidRPr="009E0A9E">
              <w:t>14A.</w:t>
            </w:r>
            <w:r w:rsidR="00683393" w:rsidRPr="009E0A9E">
              <w:t>1</w:t>
            </w:r>
            <w:r w:rsidR="00683393">
              <w:t>9</w:t>
            </w:r>
            <w:r w:rsidRPr="009E0A9E">
              <w:t>.</w:t>
            </w:r>
          </w:p>
        </w:tc>
      </w:tr>
      <w:tr w:rsidR="000D3280" w:rsidTr="00730EA6">
        <w:tc>
          <w:tcPr>
            <w:tcW w:w="8771" w:type="dxa"/>
            <w:tcBorders>
              <w:top w:val="nil"/>
              <w:left w:val="nil"/>
              <w:bottom w:val="single" w:sz="6" w:space="0" w:color="78A22F"/>
              <w:right w:val="nil"/>
            </w:tcBorders>
            <w:shd w:val="clear" w:color="auto" w:fill="auto"/>
          </w:tcPr>
          <w:p w:rsidR="000D3280" w:rsidRDefault="000D3280" w:rsidP="00730EA6">
            <w:pPr>
              <w:pStyle w:val="Figurespace"/>
            </w:pPr>
          </w:p>
        </w:tc>
      </w:tr>
      <w:tr w:rsidR="000D3280" w:rsidRPr="000863A5" w:rsidTr="00730EA6">
        <w:tc>
          <w:tcPr>
            <w:tcW w:w="8771" w:type="dxa"/>
            <w:tcBorders>
              <w:top w:val="single" w:sz="6" w:space="0" w:color="78A22F"/>
              <w:left w:val="nil"/>
              <w:bottom w:val="nil"/>
              <w:right w:val="nil"/>
            </w:tcBorders>
          </w:tcPr>
          <w:p w:rsidR="000D3280" w:rsidRPr="00626D32" w:rsidRDefault="000D3280" w:rsidP="00730EA6">
            <w:pPr>
              <w:pStyle w:val="BoxSpaceBelow"/>
            </w:pPr>
          </w:p>
        </w:tc>
      </w:tr>
    </w:tbl>
    <w:p w:rsidR="001F39F2" w:rsidRPr="00131BC7" w:rsidRDefault="001F39F2" w:rsidP="00585E2C">
      <w:pPr>
        <w:pStyle w:val="BodyText"/>
      </w:pPr>
      <w:r w:rsidRPr="00146039">
        <w:t xml:space="preserve">Nationally, </w:t>
      </w:r>
      <w:r w:rsidR="00146039" w:rsidRPr="00146039">
        <w:t>8.7</w:t>
      </w:r>
      <w:r w:rsidRPr="00146039">
        <w:t xml:space="preserve"> per cent of the estimated potential population were using NDA community access services in </w:t>
      </w:r>
      <w:r w:rsidR="00131BC7" w:rsidRPr="00146039">
        <w:t>2012</w:t>
      </w:r>
      <w:r w:rsidR="00B84AF2">
        <w:noBreakHyphen/>
      </w:r>
      <w:r w:rsidR="00131BC7" w:rsidRPr="00146039">
        <w:t>13</w:t>
      </w:r>
      <w:r w:rsidR="009C2EC0" w:rsidRPr="00146039">
        <w:t xml:space="preserve"> </w:t>
      </w:r>
      <w:r w:rsidRPr="00146039">
        <w:t>(figure</w:t>
      </w:r>
      <w:r w:rsidR="00AE3578">
        <w:t> </w:t>
      </w:r>
      <w:r w:rsidRPr="00146039">
        <w:t>14.11).</w:t>
      </w:r>
    </w:p>
    <w:p w:rsidR="002637E0" w:rsidRDefault="002637E0"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37E0" w:rsidTr="00730EA6">
        <w:tc>
          <w:tcPr>
            <w:tcW w:w="8771" w:type="dxa"/>
            <w:tcBorders>
              <w:top w:val="single" w:sz="6" w:space="0" w:color="78A22F"/>
              <w:left w:val="nil"/>
              <w:bottom w:val="nil"/>
              <w:right w:val="nil"/>
            </w:tcBorders>
            <w:shd w:val="clear" w:color="auto" w:fill="auto"/>
          </w:tcPr>
          <w:p w:rsidR="002637E0" w:rsidRPr="00176D3F" w:rsidRDefault="002637E0" w:rsidP="002637E0">
            <w:pPr>
              <w:pStyle w:val="FigureTitle"/>
            </w:pPr>
            <w:r w:rsidRPr="00784A05">
              <w:rPr>
                <w:b w:val="0"/>
              </w:rPr>
              <w:t xml:space="preserve">Figure </w:t>
            </w:r>
            <w:r w:rsidR="00321568">
              <w:rPr>
                <w:b w:val="0"/>
              </w:rPr>
              <w:t>14.</w:t>
            </w:r>
            <w:r w:rsidR="0085284B">
              <w:rPr>
                <w:b w:val="0"/>
                <w:noProof/>
              </w:rPr>
              <w:t>11</w:t>
            </w:r>
            <w:r>
              <w:tab/>
            </w:r>
            <w:r w:rsidRPr="00131BC7">
              <w:t>Users of NDA community access services as a proportion of the estimated potential population</w:t>
            </w:r>
            <w:r w:rsidRPr="00131BC7">
              <w:rPr>
                <w:rStyle w:val="NoteLabel"/>
                <w:b/>
              </w:rPr>
              <w:t>a, b, c</w:t>
            </w:r>
            <w:r w:rsidR="00C327E2">
              <w:rPr>
                <w:rStyle w:val="NoteLabel"/>
                <w:b/>
              </w:rPr>
              <w:t>, d</w:t>
            </w:r>
          </w:p>
        </w:tc>
      </w:tr>
      <w:tr w:rsidR="002637E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637E0" w:rsidTr="00730EA6">
              <w:trPr>
                <w:jc w:val="center"/>
              </w:trPr>
              <w:tc>
                <w:tcPr>
                  <w:tcW w:w="5000" w:type="pct"/>
                  <w:tcBorders>
                    <w:top w:val="nil"/>
                    <w:bottom w:val="nil"/>
                  </w:tcBorders>
                </w:tcPr>
                <w:p w:rsidR="002637E0" w:rsidRDefault="0072265E" w:rsidP="00146039">
                  <w:pPr>
                    <w:pStyle w:val="Figure"/>
                  </w:pPr>
                  <w:r>
                    <w:rPr>
                      <w:noProof/>
                    </w:rPr>
                    <w:drawing>
                      <wp:inline distT="0" distB="0" distL="0" distR="0">
                        <wp:extent cx="5238750" cy="2705100"/>
                        <wp:effectExtent l="0" t="0" r="0" b="0"/>
                        <wp:docPr id="11" name="Picture 11" descr="Figure 14.11 Users of NDA community access services as a proportion of the estimated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38750" cy="2705100"/>
                                </a:xfrm>
                                <a:prstGeom prst="rect">
                                  <a:avLst/>
                                </a:prstGeom>
                                <a:noFill/>
                                <a:ln>
                                  <a:noFill/>
                                </a:ln>
                              </pic:spPr>
                            </pic:pic>
                          </a:graphicData>
                        </a:graphic>
                      </wp:inline>
                    </w:drawing>
                  </w:r>
                </w:p>
              </w:tc>
            </w:tr>
          </w:tbl>
          <w:p w:rsidR="002637E0" w:rsidRDefault="002637E0" w:rsidP="00730EA6">
            <w:pPr>
              <w:pStyle w:val="Figure"/>
            </w:pPr>
          </w:p>
        </w:tc>
      </w:tr>
      <w:tr w:rsidR="002637E0" w:rsidRPr="00146039" w:rsidTr="00730EA6">
        <w:tc>
          <w:tcPr>
            <w:tcW w:w="8771" w:type="dxa"/>
            <w:tcBorders>
              <w:top w:val="nil"/>
              <w:left w:val="nil"/>
              <w:bottom w:val="nil"/>
              <w:right w:val="nil"/>
            </w:tcBorders>
            <w:shd w:val="clear" w:color="auto" w:fill="auto"/>
          </w:tcPr>
          <w:p w:rsidR="002637E0" w:rsidRPr="00146039" w:rsidRDefault="002637E0" w:rsidP="004E413C">
            <w:pPr>
              <w:pStyle w:val="Note"/>
            </w:pPr>
            <w:proofErr w:type="gramStart"/>
            <w:r w:rsidRPr="00146039">
              <w:rPr>
                <w:rStyle w:val="NoteLabel"/>
              </w:rPr>
              <w:t>a</w:t>
            </w:r>
            <w:proofErr w:type="gramEnd"/>
            <w:r w:rsidRPr="00146039">
              <w:t xml:space="preserve"> See table</w:t>
            </w:r>
            <w:r w:rsidR="00AE3578">
              <w:t> </w:t>
            </w:r>
            <w:r w:rsidRPr="00146039">
              <w:t>14A.</w:t>
            </w:r>
            <w:r w:rsidR="00683393">
              <w:t>20</w:t>
            </w:r>
            <w:r w:rsidR="00683393" w:rsidRPr="00146039">
              <w:t xml:space="preserve"> </w:t>
            </w:r>
            <w:r w:rsidRPr="00146039">
              <w:t xml:space="preserve">for detailed notes relating to these data. </w:t>
            </w:r>
            <w:proofErr w:type="gramStart"/>
            <w:r w:rsidRPr="00146039">
              <w:rPr>
                <w:rStyle w:val="NoteLabel"/>
              </w:rPr>
              <w:t>b</w:t>
            </w:r>
            <w:proofErr w:type="gramEnd"/>
            <w:r w:rsidRPr="00146039">
              <w:t xml:space="preserve"> See </w:t>
            </w:r>
            <w:r w:rsidR="009D29CA" w:rsidRPr="00FD76C0">
              <w:t>section</w:t>
            </w:r>
            <w:r w:rsidR="009D29CA">
              <w:t>s</w:t>
            </w:r>
            <w:r w:rsidR="009D29CA" w:rsidRPr="00FD76C0">
              <w:t xml:space="preserve"> </w:t>
            </w:r>
            <w:r w:rsidR="009D29CA">
              <w:t xml:space="preserve">14.6 and </w:t>
            </w:r>
            <w:r w:rsidR="009D29CA" w:rsidRPr="00242FB0">
              <w:t>14.</w:t>
            </w:r>
            <w:r w:rsidR="009D29CA">
              <w:t xml:space="preserve">7 </w:t>
            </w:r>
            <w:r w:rsidRPr="00146039">
              <w:t xml:space="preserve">for information on how the potential population is defined. </w:t>
            </w:r>
            <w:proofErr w:type="gramStart"/>
            <w:r w:rsidRPr="00146039">
              <w:rPr>
                <w:rStyle w:val="NoteLabel"/>
              </w:rPr>
              <w:t>c</w:t>
            </w:r>
            <w:proofErr w:type="gramEnd"/>
            <w:r w:rsidRPr="00146039">
              <w:t xml:space="preserve"> Data need to be interpreted with care due to a number of factors affecting data quality. Section 14.6 contains further information on data quality issues</w:t>
            </w:r>
            <w:r w:rsidRPr="000453A1">
              <w:rPr>
                <w:shd w:val="clear" w:color="auto" w:fill="FFFFFF" w:themeFill="background1"/>
              </w:rPr>
              <w:t>.</w:t>
            </w:r>
            <w:r w:rsidR="00C327E2" w:rsidRPr="000453A1">
              <w:rPr>
                <w:shd w:val="clear" w:color="auto" w:fill="FFFFFF" w:themeFill="background1"/>
              </w:rPr>
              <w:t xml:space="preserve"> </w:t>
            </w:r>
            <w:proofErr w:type="gramStart"/>
            <w:r w:rsidR="00C327E2" w:rsidRPr="000453A1">
              <w:rPr>
                <w:rStyle w:val="NoteLabel"/>
                <w:shd w:val="clear" w:color="auto" w:fill="FFFFFF" w:themeFill="background1"/>
              </w:rPr>
              <w:t>d</w:t>
            </w:r>
            <w:proofErr w:type="gramEnd"/>
            <w:r w:rsidR="00C327E2" w:rsidRPr="000453A1">
              <w:rPr>
                <w:shd w:val="clear" w:color="auto" w:fill="FFFFFF" w:themeFill="background1"/>
              </w:rPr>
              <w:t xml:space="preserve"> As part of an output structure review in Victoria, an activity that was previously classified under community access was amalgamated under community support from 2012</w:t>
            </w:r>
            <w:r w:rsidR="00B84AF2">
              <w:rPr>
                <w:shd w:val="clear" w:color="auto" w:fill="FFFFFF" w:themeFill="background1"/>
              </w:rPr>
              <w:noBreakHyphen/>
            </w:r>
            <w:r w:rsidR="00C327E2" w:rsidRPr="000453A1">
              <w:rPr>
                <w:shd w:val="clear" w:color="auto" w:fill="FFFFFF" w:themeFill="background1"/>
              </w:rPr>
              <w:t>13 onwards.</w:t>
            </w:r>
          </w:p>
        </w:tc>
      </w:tr>
      <w:tr w:rsidR="002637E0" w:rsidRPr="00146039" w:rsidTr="00730EA6">
        <w:tc>
          <w:tcPr>
            <w:tcW w:w="8771" w:type="dxa"/>
            <w:tcBorders>
              <w:top w:val="nil"/>
              <w:left w:val="nil"/>
              <w:bottom w:val="nil"/>
              <w:right w:val="nil"/>
            </w:tcBorders>
            <w:shd w:val="clear" w:color="auto" w:fill="auto"/>
          </w:tcPr>
          <w:p w:rsidR="002637E0" w:rsidRPr="00670DE9" w:rsidRDefault="002637E0" w:rsidP="00445BD4">
            <w:pPr>
              <w:pStyle w:val="Source"/>
            </w:pPr>
            <w:r w:rsidRPr="00670DE9">
              <w:rPr>
                <w:rStyle w:val="SourceChar"/>
                <w:i/>
              </w:rPr>
              <w:t>Source</w:t>
            </w:r>
            <w:r w:rsidRPr="00670DE9">
              <w:rPr>
                <w:rStyle w:val="SourceChar"/>
              </w:rPr>
              <w:t xml:space="preserve">: </w:t>
            </w:r>
            <w:r w:rsidRPr="00670DE9">
              <w:t xml:space="preserve">AIHW (unpublished), </w:t>
            </w:r>
            <w:r w:rsidRPr="00CF44B8">
              <w:rPr>
                <w:i/>
              </w:rPr>
              <w:t>DS NMDS 2009</w:t>
            </w:r>
            <w:r w:rsidR="00B84AF2">
              <w:rPr>
                <w:i/>
              </w:rPr>
              <w:noBreakHyphen/>
            </w:r>
            <w:r w:rsidRPr="00CF44B8">
              <w:rPr>
                <w:i/>
              </w:rPr>
              <w:t xml:space="preserve">10 to </w:t>
            </w:r>
            <w:r w:rsidR="00670DE9" w:rsidRPr="00CF44B8">
              <w:rPr>
                <w:i/>
              </w:rPr>
              <w:t>2012</w:t>
            </w:r>
            <w:r w:rsidR="00B84AF2">
              <w:rPr>
                <w:i/>
              </w:rPr>
              <w:noBreakHyphen/>
            </w:r>
            <w:r w:rsidR="00670DE9" w:rsidRPr="00CF44B8">
              <w:rPr>
                <w:i/>
              </w:rPr>
              <w:t>13</w:t>
            </w:r>
            <w:r w:rsidRPr="00670DE9">
              <w:t xml:space="preserve">, </w:t>
            </w:r>
            <w:r w:rsidRPr="00CF44B8">
              <w:rPr>
                <w:i/>
              </w:rPr>
              <w:t>CSTDA National Minimum Data Set (NMDS)</w:t>
            </w:r>
            <w:r w:rsidRPr="00670DE9">
              <w:t xml:space="preserve"> </w:t>
            </w:r>
            <w:r w:rsidRPr="00CF44B8">
              <w:rPr>
                <w:i/>
              </w:rPr>
              <w:t>2008</w:t>
            </w:r>
            <w:r w:rsidR="00B84AF2">
              <w:rPr>
                <w:i/>
              </w:rPr>
              <w:noBreakHyphen/>
            </w:r>
            <w:r w:rsidRPr="00CF44B8">
              <w:rPr>
                <w:i/>
              </w:rPr>
              <w:t>09</w:t>
            </w:r>
            <w:r w:rsidRPr="00670DE9">
              <w:t xml:space="preserve">; AIHW analysis of the ABS </w:t>
            </w:r>
            <w:r w:rsidRPr="00670DE9">
              <w:rPr>
                <w:i/>
              </w:rPr>
              <w:t xml:space="preserve">Estimated </w:t>
            </w:r>
            <w:r w:rsidR="00670DE9" w:rsidRPr="00670DE9">
              <w:rPr>
                <w:i/>
              </w:rPr>
              <w:t>Resident Population June 2008</w:t>
            </w:r>
            <w:r w:rsidR="00B84AF2">
              <w:rPr>
                <w:i/>
              </w:rPr>
              <w:t>–</w:t>
            </w:r>
            <w:r w:rsidR="00670DE9" w:rsidRPr="00670DE9">
              <w:rPr>
                <w:i/>
              </w:rPr>
              <w:t>2012</w:t>
            </w:r>
            <w:r w:rsidRPr="00670DE9">
              <w:rPr>
                <w:i/>
              </w:rPr>
              <w:t xml:space="preserve">, ABS Census of Population and Housing </w:t>
            </w:r>
            <w:r w:rsidR="006B51BC">
              <w:rPr>
                <w:i/>
              </w:rPr>
              <w:t>2006 and</w:t>
            </w:r>
            <w:r w:rsidR="006B51BC" w:rsidRPr="00B174BF">
              <w:rPr>
                <w:i/>
              </w:rPr>
              <w:t xml:space="preserve"> </w:t>
            </w:r>
            <w:r w:rsidR="00670DE9" w:rsidRPr="00670DE9">
              <w:rPr>
                <w:i/>
              </w:rPr>
              <w:t>2011</w:t>
            </w:r>
            <w:r w:rsidRPr="00670DE9">
              <w:t xml:space="preserve"> and the ABS </w:t>
            </w:r>
            <w:r w:rsidRPr="00670DE9">
              <w:rPr>
                <w:i/>
              </w:rPr>
              <w:t>Survey of Disability, Ageing and Carers 2009</w:t>
            </w:r>
            <w:r w:rsidR="00670DE9" w:rsidRPr="00670DE9">
              <w:rPr>
                <w:i/>
              </w:rPr>
              <w:t xml:space="preserve"> and 2012</w:t>
            </w:r>
            <w:r w:rsidRPr="00670DE9">
              <w:rPr>
                <w:rStyle w:val="SourceChar"/>
              </w:rPr>
              <w:t>; table</w:t>
            </w:r>
            <w:r w:rsidR="00445BD4">
              <w:rPr>
                <w:rStyle w:val="SourceChar"/>
              </w:rPr>
              <w:t> </w:t>
            </w:r>
            <w:r w:rsidRPr="00670DE9">
              <w:rPr>
                <w:rStyle w:val="SourceChar"/>
              </w:rPr>
              <w:t>14A.</w:t>
            </w:r>
            <w:r w:rsidR="00683393">
              <w:rPr>
                <w:rStyle w:val="SourceChar"/>
              </w:rPr>
              <w:t>20</w:t>
            </w:r>
            <w:r w:rsidRPr="00670DE9">
              <w:rPr>
                <w:rStyle w:val="SourceChar"/>
              </w:rPr>
              <w:t xml:space="preserve">. </w:t>
            </w:r>
          </w:p>
        </w:tc>
      </w:tr>
      <w:tr w:rsidR="002637E0" w:rsidTr="00730EA6">
        <w:tc>
          <w:tcPr>
            <w:tcW w:w="8771" w:type="dxa"/>
            <w:tcBorders>
              <w:top w:val="nil"/>
              <w:left w:val="nil"/>
              <w:bottom w:val="single" w:sz="6" w:space="0" w:color="78A22F"/>
              <w:right w:val="nil"/>
            </w:tcBorders>
            <w:shd w:val="clear" w:color="auto" w:fill="auto"/>
          </w:tcPr>
          <w:p w:rsidR="002637E0" w:rsidRDefault="002637E0" w:rsidP="00730EA6">
            <w:pPr>
              <w:pStyle w:val="Figurespace"/>
            </w:pPr>
          </w:p>
        </w:tc>
      </w:tr>
      <w:tr w:rsidR="002637E0" w:rsidRPr="000863A5" w:rsidTr="00730EA6">
        <w:tc>
          <w:tcPr>
            <w:tcW w:w="8771" w:type="dxa"/>
            <w:tcBorders>
              <w:top w:val="single" w:sz="6" w:space="0" w:color="78A22F"/>
              <w:left w:val="nil"/>
              <w:bottom w:val="nil"/>
              <w:right w:val="nil"/>
            </w:tcBorders>
          </w:tcPr>
          <w:p w:rsidR="002637E0" w:rsidRPr="00626D32" w:rsidRDefault="002637E0" w:rsidP="00730EA6">
            <w:pPr>
              <w:pStyle w:val="BoxSpaceBelow"/>
            </w:pPr>
          </w:p>
        </w:tc>
      </w:tr>
    </w:tbl>
    <w:p w:rsidR="001F39F2" w:rsidRPr="00131BC7" w:rsidRDefault="001F39F2" w:rsidP="00585E2C">
      <w:pPr>
        <w:pStyle w:val="BodyText"/>
      </w:pPr>
      <w:r w:rsidRPr="00131BC7">
        <w:t>Nationa</w:t>
      </w:r>
      <w:r w:rsidR="00BE3E3B" w:rsidRPr="00131BC7">
        <w:t>l</w:t>
      </w:r>
      <w:r w:rsidRPr="00131BC7">
        <w:t xml:space="preserve">ly, </w:t>
      </w:r>
      <w:r w:rsidR="00573E6D">
        <w:t xml:space="preserve">16.4 </w:t>
      </w:r>
      <w:r w:rsidRPr="00131BC7">
        <w:t xml:space="preserve">per cent of the estimated potential population who reported having a primary carer were using NDA respite services in </w:t>
      </w:r>
      <w:r w:rsidR="00131BC7">
        <w:t>2012</w:t>
      </w:r>
      <w:r w:rsidR="00B84AF2">
        <w:noBreakHyphen/>
      </w:r>
      <w:r w:rsidR="00131BC7">
        <w:t>13</w:t>
      </w:r>
      <w:r w:rsidR="009C2EC0" w:rsidRPr="00131BC7" w:rsidDel="009E792D">
        <w:t xml:space="preserve"> </w:t>
      </w:r>
      <w:r w:rsidRPr="00131BC7">
        <w:t>(figure</w:t>
      </w:r>
      <w:r w:rsidR="00AE3578">
        <w:t> </w:t>
      </w:r>
      <w:r w:rsidRPr="00131BC7">
        <w:t>14.12).</w:t>
      </w:r>
    </w:p>
    <w:p w:rsidR="002637E0" w:rsidRDefault="002637E0"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37E0" w:rsidTr="00730EA6">
        <w:tc>
          <w:tcPr>
            <w:tcW w:w="8771" w:type="dxa"/>
            <w:tcBorders>
              <w:top w:val="single" w:sz="6" w:space="0" w:color="78A22F"/>
              <w:left w:val="nil"/>
              <w:bottom w:val="nil"/>
              <w:right w:val="nil"/>
            </w:tcBorders>
            <w:shd w:val="clear" w:color="auto" w:fill="auto"/>
          </w:tcPr>
          <w:p w:rsidR="002637E0" w:rsidRPr="00176D3F" w:rsidRDefault="002637E0" w:rsidP="002637E0">
            <w:pPr>
              <w:pStyle w:val="FigureTitle"/>
            </w:pPr>
            <w:r w:rsidRPr="00784A05">
              <w:rPr>
                <w:b w:val="0"/>
              </w:rPr>
              <w:t xml:space="preserve">Figure </w:t>
            </w:r>
            <w:r w:rsidR="00321568">
              <w:rPr>
                <w:b w:val="0"/>
              </w:rPr>
              <w:t>14.</w:t>
            </w:r>
            <w:r w:rsidR="0085284B">
              <w:rPr>
                <w:b w:val="0"/>
                <w:noProof/>
              </w:rPr>
              <w:t>12</w:t>
            </w:r>
            <w:r w:rsidRPr="002C3181">
              <w:tab/>
            </w:r>
            <w:r w:rsidRPr="00131BC7">
              <w:t>Users of NDA respite services as a proportion of the estimated potential population for respite services</w:t>
            </w:r>
            <w:r w:rsidRPr="00131BC7">
              <w:rPr>
                <w:rStyle w:val="NoteLabel"/>
                <w:b/>
              </w:rPr>
              <w:t>a, b, c</w:t>
            </w:r>
          </w:p>
        </w:tc>
      </w:tr>
      <w:tr w:rsidR="002637E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637E0" w:rsidTr="00730EA6">
              <w:trPr>
                <w:jc w:val="center"/>
              </w:trPr>
              <w:tc>
                <w:tcPr>
                  <w:tcW w:w="5000" w:type="pct"/>
                  <w:tcBorders>
                    <w:top w:val="nil"/>
                    <w:bottom w:val="nil"/>
                  </w:tcBorders>
                </w:tcPr>
                <w:p w:rsidR="002637E0" w:rsidRDefault="0072265E" w:rsidP="00730EA6">
                  <w:pPr>
                    <w:pStyle w:val="Figure"/>
                    <w:spacing w:before="60" w:after="60"/>
                  </w:pPr>
                  <w:r>
                    <w:rPr>
                      <w:noProof/>
                    </w:rPr>
                    <w:drawing>
                      <wp:inline distT="0" distB="0" distL="0" distR="0">
                        <wp:extent cx="5238750" cy="2705100"/>
                        <wp:effectExtent l="0" t="0" r="0" b="0"/>
                        <wp:docPr id="12" name="Picture 12" descr="Figure 14.12 Users of NDA respite services as a proportion of the estimated potential population for respite servic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38750" cy="2705100"/>
                                </a:xfrm>
                                <a:prstGeom prst="rect">
                                  <a:avLst/>
                                </a:prstGeom>
                                <a:noFill/>
                                <a:ln>
                                  <a:noFill/>
                                </a:ln>
                              </pic:spPr>
                            </pic:pic>
                          </a:graphicData>
                        </a:graphic>
                      </wp:inline>
                    </w:drawing>
                  </w:r>
                </w:p>
              </w:tc>
            </w:tr>
          </w:tbl>
          <w:p w:rsidR="002637E0" w:rsidRDefault="002637E0" w:rsidP="00730EA6">
            <w:pPr>
              <w:pStyle w:val="Figure"/>
            </w:pPr>
          </w:p>
        </w:tc>
      </w:tr>
      <w:tr w:rsidR="002637E0" w:rsidRPr="00573E6D" w:rsidTr="00730EA6">
        <w:tc>
          <w:tcPr>
            <w:tcW w:w="8771" w:type="dxa"/>
            <w:tcBorders>
              <w:top w:val="nil"/>
              <w:left w:val="nil"/>
              <w:bottom w:val="nil"/>
              <w:right w:val="nil"/>
            </w:tcBorders>
            <w:shd w:val="clear" w:color="auto" w:fill="auto"/>
          </w:tcPr>
          <w:p w:rsidR="002637E0" w:rsidRPr="00573E6D" w:rsidRDefault="002637E0" w:rsidP="00683393">
            <w:pPr>
              <w:pStyle w:val="Note"/>
            </w:pPr>
            <w:proofErr w:type="gramStart"/>
            <w:r w:rsidRPr="00573E6D">
              <w:rPr>
                <w:rStyle w:val="NoteLabel"/>
              </w:rPr>
              <w:t>a</w:t>
            </w:r>
            <w:proofErr w:type="gramEnd"/>
            <w:r w:rsidRPr="00573E6D">
              <w:t xml:space="preserve"> See table</w:t>
            </w:r>
            <w:r w:rsidR="00AE3578">
              <w:t> </w:t>
            </w:r>
            <w:r w:rsidRPr="00573E6D">
              <w:t>14A.</w:t>
            </w:r>
            <w:r w:rsidR="00683393">
              <w:t>21</w:t>
            </w:r>
            <w:r w:rsidR="00683393" w:rsidRPr="00573E6D">
              <w:t xml:space="preserve"> </w:t>
            </w:r>
            <w:r w:rsidRPr="00573E6D">
              <w:t xml:space="preserve">for detailed notes relating to these data. </w:t>
            </w:r>
            <w:proofErr w:type="gramStart"/>
            <w:r w:rsidRPr="00573E6D">
              <w:rPr>
                <w:rStyle w:val="NoteLabel"/>
              </w:rPr>
              <w:t>b</w:t>
            </w:r>
            <w:proofErr w:type="gramEnd"/>
            <w:r w:rsidRPr="00573E6D">
              <w:t xml:space="preserve"> See </w:t>
            </w:r>
            <w:r w:rsidR="009D29CA" w:rsidRPr="00FD76C0">
              <w:t>section</w:t>
            </w:r>
            <w:r w:rsidR="009D29CA">
              <w:t>s</w:t>
            </w:r>
            <w:r w:rsidR="009D29CA" w:rsidRPr="00FD76C0">
              <w:t xml:space="preserve"> </w:t>
            </w:r>
            <w:r w:rsidR="009D29CA">
              <w:t xml:space="preserve">14.6 and </w:t>
            </w:r>
            <w:r w:rsidR="009D29CA" w:rsidRPr="00242FB0">
              <w:t>14.</w:t>
            </w:r>
            <w:r w:rsidR="009D29CA">
              <w:t xml:space="preserve">7 </w:t>
            </w:r>
            <w:r w:rsidRPr="00573E6D">
              <w:t xml:space="preserve">for information on how the potential population is defined. </w:t>
            </w:r>
            <w:proofErr w:type="gramStart"/>
            <w:r w:rsidRPr="00573E6D">
              <w:rPr>
                <w:rStyle w:val="NoteLabel"/>
              </w:rPr>
              <w:t>c</w:t>
            </w:r>
            <w:proofErr w:type="gramEnd"/>
            <w:r w:rsidRPr="00573E6D">
              <w:t xml:space="preserve"> Data need to be interpreted with care due to a number of factors affecting data quality. Section 14.6 contains further information on data quality issues.</w:t>
            </w:r>
          </w:p>
        </w:tc>
      </w:tr>
      <w:tr w:rsidR="002637E0" w:rsidRPr="00573E6D" w:rsidTr="00730EA6">
        <w:tc>
          <w:tcPr>
            <w:tcW w:w="8771" w:type="dxa"/>
            <w:tcBorders>
              <w:top w:val="nil"/>
              <w:left w:val="nil"/>
              <w:bottom w:val="nil"/>
              <w:right w:val="nil"/>
            </w:tcBorders>
            <w:shd w:val="clear" w:color="auto" w:fill="auto"/>
          </w:tcPr>
          <w:p w:rsidR="002637E0" w:rsidRPr="00573E6D" w:rsidRDefault="002637E0" w:rsidP="00683393">
            <w:pPr>
              <w:pStyle w:val="Source"/>
            </w:pPr>
            <w:r w:rsidRPr="00670DE9">
              <w:rPr>
                <w:i/>
              </w:rPr>
              <w:t>Source</w:t>
            </w:r>
            <w:r w:rsidRPr="00670DE9">
              <w:t>: AIHW (unpubli</w:t>
            </w:r>
            <w:r w:rsidR="00670DE9" w:rsidRPr="00670DE9">
              <w:t xml:space="preserve">shed), </w:t>
            </w:r>
            <w:r w:rsidR="00670DE9" w:rsidRPr="00CF44B8">
              <w:rPr>
                <w:i/>
              </w:rPr>
              <w:t>DS NMDS 2009</w:t>
            </w:r>
            <w:r w:rsidR="00B84AF2">
              <w:rPr>
                <w:i/>
              </w:rPr>
              <w:noBreakHyphen/>
            </w:r>
            <w:r w:rsidR="00670DE9" w:rsidRPr="00CF44B8">
              <w:rPr>
                <w:i/>
              </w:rPr>
              <w:t>10 to 2012</w:t>
            </w:r>
            <w:r w:rsidR="00B84AF2">
              <w:rPr>
                <w:i/>
              </w:rPr>
              <w:noBreakHyphen/>
            </w:r>
            <w:r w:rsidR="00670DE9" w:rsidRPr="00CF44B8">
              <w:rPr>
                <w:i/>
              </w:rPr>
              <w:t>13</w:t>
            </w:r>
            <w:r w:rsidRPr="00670DE9">
              <w:t xml:space="preserve">, </w:t>
            </w:r>
            <w:r w:rsidRPr="00CF44B8">
              <w:rPr>
                <w:i/>
              </w:rPr>
              <w:t>CSTDA National Minimum Data Set (NMDS) 2008</w:t>
            </w:r>
            <w:r w:rsidR="00B84AF2">
              <w:rPr>
                <w:i/>
              </w:rPr>
              <w:noBreakHyphen/>
            </w:r>
            <w:r w:rsidRPr="00CF44B8">
              <w:rPr>
                <w:i/>
              </w:rPr>
              <w:t>09</w:t>
            </w:r>
            <w:r w:rsidRPr="00670DE9">
              <w:t xml:space="preserve">; AIHW analysis of the ABS </w:t>
            </w:r>
            <w:r w:rsidRPr="00670DE9">
              <w:rPr>
                <w:i/>
              </w:rPr>
              <w:t>Estimated</w:t>
            </w:r>
            <w:r w:rsidR="00670DE9" w:rsidRPr="00670DE9">
              <w:rPr>
                <w:i/>
              </w:rPr>
              <w:t xml:space="preserve"> Resident Population June 2008</w:t>
            </w:r>
            <w:r w:rsidR="00B84AF2">
              <w:rPr>
                <w:i/>
              </w:rPr>
              <w:t>–</w:t>
            </w:r>
            <w:r w:rsidR="00670DE9" w:rsidRPr="00670DE9">
              <w:rPr>
                <w:i/>
              </w:rPr>
              <w:t>2012</w:t>
            </w:r>
            <w:r w:rsidRPr="00670DE9">
              <w:rPr>
                <w:i/>
              </w:rPr>
              <w:t xml:space="preserve">, ABS Census of Population and Housing </w:t>
            </w:r>
            <w:r w:rsidR="006B51BC">
              <w:rPr>
                <w:i/>
              </w:rPr>
              <w:t>2006 and</w:t>
            </w:r>
            <w:r w:rsidR="006B51BC" w:rsidRPr="00B174BF">
              <w:rPr>
                <w:i/>
              </w:rPr>
              <w:t xml:space="preserve"> </w:t>
            </w:r>
            <w:r w:rsidR="00670DE9" w:rsidRPr="00670DE9">
              <w:rPr>
                <w:i/>
              </w:rPr>
              <w:t>2011</w:t>
            </w:r>
            <w:r w:rsidRPr="00670DE9">
              <w:t xml:space="preserve"> and the ABS </w:t>
            </w:r>
            <w:r w:rsidRPr="00670DE9">
              <w:rPr>
                <w:i/>
              </w:rPr>
              <w:t>Survey of Disability, Ageing and Carers 2009</w:t>
            </w:r>
            <w:r w:rsidR="00670DE9" w:rsidRPr="00670DE9">
              <w:rPr>
                <w:i/>
              </w:rPr>
              <w:t xml:space="preserve"> </w:t>
            </w:r>
            <w:r w:rsidR="00670DE9">
              <w:rPr>
                <w:i/>
              </w:rPr>
              <w:t>and</w:t>
            </w:r>
            <w:r w:rsidR="00670DE9" w:rsidRPr="00670DE9">
              <w:rPr>
                <w:i/>
              </w:rPr>
              <w:t xml:space="preserve"> 2012</w:t>
            </w:r>
            <w:r w:rsidRPr="00670DE9">
              <w:t>; table</w:t>
            </w:r>
            <w:r w:rsidR="00445BD4">
              <w:t> 14A</w:t>
            </w:r>
            <w:r w:rsidRPr="00670DE9">
              <w:t>.</w:t>
            </w:r>
            <w:r w:rsidR="00683393">
              <w:t>21</w:t>
            </w:r>
            <w:r w:rsidRPr="00670DE9">
              <w:t>.</w:t>
            </w:r>
          </w:p>
        </w:tc>
      </w:tr>
      <w:tr w:rsidR="002637E0" w:rsidTr="00730EA6">
        <w:tc>
          <w:tcPr>
            <w:tcW w:w="8771" w:type="dxa"/>
            <w:tcBorders>
              <w:top w:val="nil"/>
              <w:left w:val="nil"/>
              <w:bottom w:val="single" w:sz="6" w:space="0" w:color="78A22F"/>
              <w:right w:val="nil"/>
            </w:tcBorders>
            <w:shd w:val="clear" w:color="auto" w:fill="auto"/>
          </w:tcPr>
          <w:p w:rsidR="002637E0" w:rsidRDefault="002637E0" w:rsidP="00730EA6">
            <w:pPr>
              <w:pStyle w:val="Figurespace"/>
            </w:pPr>
          </w:p>
        </w:tc>
      </w:tr>
      <w:tr w:rsidR="002637E0" w:rsidRPr="000863A5" w:rsidTr="00730EA6">
        <w:tc>
          <w:tcPr>
            <w:tcW w:w="8771" w:type="dxa"/>
            <w:tcBorders>
              <w:top w:val="single" w:sz="6" w:space="0" w:color="78A22F"/>
              <w:left w:val="nil"/>
              <w:bottom w:val="nil"/>
              <w:right w:val="nil"/>
            </w:tcBorders>
          </w:tcPr>
          <w:p w:rsidR="002637E0" w:rsidRPr="00626D32" w:rsidRDefault="002637E0" w:rsidP="00730EA6">
            <w:pPr>
              <w:pStyle w:val="BoxSpaceBelow"/>
            </w:pPr>
          </w:p>
        </w:tc>
      </w:tr>
    </w:tbl>
    <w:p w:rsidR="001F39F2" w:rsidRPr="002C3181" w:rsidRDefault="001F39F2" w:rsidP="00585E2C">
      <w:pPr>
        <w:pStyle w:val="BodyText"/>
      </w:pPr>
      <w:r w:rsidRPr="002C3181">
        <w:t xml:space="preserve">Nationally </w:t>
      </w:r>
      <w:r w:rsidR="00BD429D" w:rsidRPr="002C3181">
        <w:t xml:space="preserve">in </w:t>
      </w:r>
      <w:r w:rsidR="002C3181" w:rsidRPr="002C3181">
        <w:t>2012</w:t>
      </w:r>
      <w:r w:rsidR="00B84AF2">
        <w:noBreakHyphen/>
      </w:r>
      <w:r w:rsidR="002C3181" w:rsidRPr="002C3181">
        <w:t>13</w:t>
      </w:r>
      <w:r w:rsidR="00BD429D" w:rsidRPr="002C3181">
        <w:t xml:space="preserve">, </w:t>
      </w:r>
      <w:r w:rsidR="00251435">
        <w:t>7.3</w:t>
      </w:r>
      <w:r w:rsidRPr="002C3181">
        <w:t xml:space="preserve"> per cent of </w:t>
      </w:r>
      <w:r w:rsidR="00BD429D" w:rsidRPr="002C3181">
        <w:t xml:space="preserve">people </w:t>
      </w:r>
      <w:r w:rsidR="001A7646" w:rsidRPr="002C3181">
        <w:t>aged 15</w:t>
      </w:r>
      <w:r w:rsidR="00445BD4">
        <w:t>–</w:t>
      </w:r>
      <w:r w:rsidR="001A7646" w:rsidRPr="002C3181">
        <w:t xml:space="preserve">64 years </w:t>
      </w:r>
      <w:r w:rsidR="00BD429D" w:rsidRPr="002C3181">
        <w:t>with disability with</w:t>
      </w:r>
      <w:r w:rsidR="00C74279" w:rsidRPr="002C3181">
        <w:t xml:space="preserve"> an</w:t>
      </w:r>
      <w:r w:rsidR="00BD429D" w:rsidRPr="002C3181">
        <w:t xml:space="preserve"> employment restriction were using NDA open employment services (Employment Support Services) </w:t>
      </w:r>
      <w:r w:rsidRPr="002C3181">
        <w:t xml:space="preserve">(figure 14.13). </w:t>
      </w:r>
    </w:p>
    <w:p w:rsidR="003454BE" w:rsidRDefault="003454BE"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454BE" w:rsidTr="00730EA6">
        <w:tc>
          <w:tcPr>
            <w:tcW w:w="8771" w:type="dxa"/>
            <w:tcBorders>
              <w:top w:val="single" w:sz="6" w:space="0" w:color="78A22F"/>
              <w:left w:val="nil"/>
              <w:bottom w:val="nil"/>
              <w:right w:val="nil"/>
            </w:tcBorders>
            <w:shd w:val="clear" w:color="auto" w:fill="auto"/>
          </w:tcPr>
          <w:p w:rsidR="003454BE" w:rsidRPr="00176D3F" w:rsidRDefault="003454BE" w:rsidP="003454BE">
            <w:pPr>
              <w:pStyle w:val="FigureTitle"/>
            </w:pPr>
            <w:r w:rsidRPr="00784A05">
              <w:rPr>
                <w:b w:val="0"/>
              </w:rPr>
              <w:t xml:space="preserve">Figure </w:t>
            </w:r>
            <w:r w:rsidR="00321568">
              <w:rPr>
                <w:b w:val="0"/>
              </w:rPr>
              <w:t>14.</w:t>
            </w:r>
            <w:r w:rsidR="0085284B">
              <w:rPr>
                <w:b w:val="0"/>
                <w:noProof/>
              </w:rPr>
              <w:t>13</w:t>
            </w:r>
            <w:r w:rsidRPr="002C3181">
              <w:tab/>
              <w:t>Users of NDA open employment services (Employment Support Services) (aged 15</w:t>
            </w:r>
            <w:r w:rsidR="00445BD4">
              <w:t>–</w:t>
            </w:r>
            <w:r w:rsidRPr="002C3181">
              <w:t>64 years) as a proportion of the estimated number of people with an employment restriction</w:t>
            </w:r>
            <w:r w:rsidR="008704B6">
              <w:rPr>
                <w:rStyle w:val="NoteLabel"/>
                <w:b/>
              </w:rPr>
              <w:t>a, </w:t>
            </w:r>
            <w:r w:rsidRPr="002C3181">
              <w:rPr>
                <w:rStyle w:val="NoteLabel"/>
                <w:b/>
              </w:rPr>
              <w:t>b</w:t>
            </w:r>
          </w:p>
        </w:tc>
      </w:tr>
      <w:tr w:rsidR="003454BE"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tblCellMar>
              <w:tblLook w:val="0000" w:firstRow="0" w:lastRow="0" w:firstColumn="0" w:lastColumn="0" w:noHBand="0" w:noVBand="0"/>
            </w:tblPr>
            <w:tblGrid>
              <w:gridCol w:w="8504"/>
            </w:tblGrid>
            <w:tr w:rsidR="003454BE" w:rsidTr="00516C52">
              <w:trPr>
                <w:jc w:val="center"/>
              </w:trPr>
              <w:tc>
                <w:tcPr>
                  <w:tcW w:w="8504" w:type="dxa"/>
                  <w:tcBorders>
                    <w:top w:val="nil"/>
                    <w:bottom w:val="nil"/>
                  </w:tcBorders>
                </w:tcPr>
                <w:p w:rsidR="003454BE" w:rsidRDefault="0072265E" w:rsidP="00516C52">
                  <w:pPr>
                    <w:pStyle w:val="Figure"/>
                  </w:pPr>
                  <w:r>
                    <w:rPr>
                      <w:noProof/>
                    </w:rPr>
                    <w:drawing>
                      <wp:inline distT="0" distB="0" distL="0" distR="0">
                        <wp:extent cx="5238750" cy="2686050"/>
                        <wp:effectExtent l="0" t="0" r="0" b="0"/>
                        <wp:docPr id="13" name="Picture 13" descr="Figure 14.13 Users of NDA open employment services (Employment Support Services) (aged 15–64 years) as a proportion of the estimated number of people with an employment restric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3454BE" w:rsidRDefault="003454BE" w:rsidP="00730EA6">
            <w:pPr>
              <w:pStyle w:val="Figure"/>
            </w:pPr>
          </w:p>
        </w:tc>
      </w:tr>
      <w:tr w:rsidR="003454BE" w:rsidRPr="00A432DF" w:rsidTr="00730EA6">
        <w:tc>
          <w:tcPr>
            <w:tcW w:w="8771" w:type="dxa"/>
            <w:tcBorders>
              <w:top w:val="nil"/>
              <w:left w:val="nil"/>
              <w:bottom w:val="nil"/>
              <w:right w:val="nil"/>
            </w:tcBorders>
            <w:shd w:val="clear" w:color="auto" w:fill="auto"/>
          </w:tcPr>
          <w:p w:rsidR="003454BE" w:rsidRPr="00A432DF" w:rsidRDefault="003454BE" w:rsidP="00683393">
            <w:pPr>
              <w:pStyle w:val="Note"/>
            </w:pPr>
            <w:proofErr w:type="gramStart"/>
            <w:r w:rsidRPr="00A432DF">
              <w:rPr>
                <w:rStyle w:val="NoteLabel"/>
              </w:rPr>
              <w:t>a</w:t>
            </w:r>
            <w:proofErr w:type="gramEnd"/>
            <w:r w:rsidRPr="00A432DF">
              <w:t xml:space="preserve"> See table</w:t>
            </w:r>
            <w:r w:rsidR="00AE3578">
              <w:t> </w:t>
            </w:r>
            <w:r w:rsidRPr="00A432DF">
              <w:t>14A.</w:t>
            </w:r>
            <w:r w:rsidR="00683393" w:rsidRPr="00A432DF">
              <w:t>2</w:t>
            </w:r>
            <w:r w:rsidR="00683393">
              <w:t>2</w:t>
            </w:r>
            <w:r w:rsidR="00683393" w:rsidRPr="00A432DF">
              <w:t xml:space="preserve"> </w:t>
            </w:r>
            <w:r w:rsidRPr="00A432DF">
              <w:t xml:space="preserve">for detailed notes relating to these data. </w:t>
            </w:r>
            <w:proofErr w:type="gramStart"/>
            <w:r w:rsidRPr="00A432DF">
              <w:rPr>
                <w:rStyle w:val="NoteLabel"/>
              </w:rPr>
              <w:t>b</w:t>
            </w:r>
            <w:proofErr w:type="gramEnd"/>
            <w:r w:rsidRPr="00A432DF">
              <w:t xml:space="preserve"> See </w:t>
            </w:r>
            <w:r w:rsidR="009D29CA">
              <w:t>section 14.7</w:t>
            </w:r>
            <w:r w:rsidRPr="00A432DF">
              <w:t xml:space="preserve"> for further information on employment services.</w:t>
            </w:r>
          </w:p>
        </w:tc>
      </w:tr>
      <w:tr w:rsidR="003454BE" w:rsidRPr="0057455E" w:rsidTr="00730EA6">
        <w:tc>
          <w:tcPr>
            <w:tcW w:w="8771" w:type="dxa"/>
            <w:tcBorders>
              <w:top w:val="nil"/>
              <w:left w:val="nil"/>
              <w:bottom w:val="nil"/>
              <w:right w:val="nil"/>
            </w:tcBorders>
            <w:shd w:val="clear" w:color="auto" w:fill="auto"/>
          </w:tcPr>
          <w:p w:rsidR="003454BE" w:rsidRPr="00A432DF" w:rsidRDefault="003454BE" w:rsidP="00683393">
            <w:pPr>
              <w:pStyle w:val="Source"/>
            </w:pPr>
            <w:r w:rsidRPr="009B4B99">
              <w:rPr>
                <w:i/>
              </w:rPr>
              <w:t>Source</w:t>
            </w:r>
            <w:r w:rsidRPr="009B4B99">
              <w:t xml:space="preserve">: AIHW (unpublished), </w:t>
            </w:r>
            <w:r w:rsidRPr="00CF44B8">
              <w:rPr>
                <w:i/>
              </w:rPr>
              <w:t>DS NMDS 2009</w:t>
            </w:r>
            <w:r w:rsidR="00B84AF2">
              <w:rPr>
                <w:i/>
              </w:rPr>
              <w:noBreakHyphen/>
            </w:r>
            <w:r w:rsidRPr="00CF44B8">
              <w:rPr>
                <w:i/>
              </w:rPr>
              <w:t xml:space="preserve">10 to </w:t>
            </w:r>
            <w:r w:rsidR="009B4B99" w:rsidRPr="00CF44B8">
              <w:rPr>
                <w:i/>
              </w:rPr>
              <w:t>2012</w:t>
            </w:r>
            <w:r w:rsidR="00B84AF2">
              <w:rPr>
                <w:i/>
              </w:rPr>
              <w:noBreakHyphen/>
            </w:r>
            <w:r w:rsidR="009B4B99" w:rsidRPr="00CF44B8">
              <w:rPr>
                <w:i/>
              </w:rPr>
              <w:t>13</w:t>
            </w:r>
            <w:r w:rsidRPr="009B4B99">
              <w:t xml:space="preserve">, </w:t>
            </w:r>
            <w:r w:rsidRPr="00CF44B8">
              <w:rPr>
                <w:i/>
              </w:rPr>
              <w:t>CSTDA National Minimum Data Set (NMDS) 2008</w:t>
            </w:r>
            <w:r w:rsidR="00B84AF2">
              <w:rPr>
                <w:i/>
              </w:rPr>
              <w:noBreakHyphen/>
            </w:r>
            <w:r w:rsidRPr="00CF44B8">
              <w:rPr>
                <w:i/>
              </w:rPr>
              <w:t>09</w:t>
            </w:r>
            <w:r w:rsidRPr="009B4B99">
              <w:t xml:space="preserve">; AIHW analysis of the ABS </w:t>
            </w:r>
            <w:r w:rsidRPr="009B4B99">
              <w:rPr>
                <w:i/>
              </w:rPr>
              <w:t>Estimated Resident Population June 2008</w:t>
            </w:r>
            <w:r w:rsidR="00B84AF2">
              <w:rPr>
                <w:i/>
              </w:rPr>
              <w:t>–</w:t>
            </w:r>
            <w:r w:rsidR="009B4B99" w:rsidRPr="009B4B99">
              <w:rPr>
                <w:i/>
              </w:rPr>
              <w:t>2012</w:t>
            </w:r>
            <w:r w:rsidRPr="009B4B99">
              <w:rPr>
                <w:i/>
              </w:rPr>
              <w:t xml:space="preserve">, ABS Census of Population and Housing </w:t>
            </w:r>
            <w:r w:rsidR="006B51BC">
              <w:rPr>
                <w:i/>
              </w:rPr>
              <w:t>2006 and</w:t>
            </w:r>
            <w:r w:rsidR="006B51BC" w:rsidRPr="00B174BF">
              <w:rPr>
                <w:i/>
              </w:rPr>
              <w:t xml:space="preserve"> </w:t>
            </w:r>
            <w:r w:rsidR="009B4B99" w:rsidRPr="009B4B99">
              <w:rPr>
                <w:i/>
              </w:rPr>
              <w:t>2011</w:t>
            </w:r>
            <w:r w:rsidRPr="009B4B99">
              <w:t xml:space="preserve"> and the ABS </w:t>
            </w:r>
            <w:r w:rsidRPr="009B4B99">
              <w:rPr>
                <w:i/>
              </w:rPr>
              <w:t>Survey of Disability, Ageing and Carers 2009</w:t>
            </w:r>
            <w:r w:rsidR="009B4B99" w:rsidRPr="009B4B99">
              <w:rPr>
                <w:i/>
              </w:rPr>
              <w:t xml:space="preserve"> and 2012</w:t>
            </w:r>
            <w:r w:rsidRPr="009B4B99">
              <w:t>; table</w:t>
            </w:r>
            <w:r w:rsidR="00445BD4">
              <w:t> </w:t>
            </w:r>
            <w:r w:rsidRPr="009B4B99">
              <w:t>14A.</w:t>
            </w:r>
            <w:r w:rsidR="00683393" w:rsidRPr="009B4B99">
              <w:t>2</w:t>
            </w:r>
            <w:r w:rsidR="00683393">
              <w:t>2</w:t>
            </w:r>
            <w:r w:rsidRPr="009B4B99">
              <w:t>.</w:t>
            </w:r>
          </w:p>
        </w:tc>
      </w:tr>
      <w:tr w:rsidR="003454BE" w:rsidTr="00730EA6">
        <w:tc>
          <w:tcPr>
            <w:tcW w:w="8771" w:type="dxa"/>
            <w:tcBorders>
              <w:top w:val="nil"/>
              <w:left w:val="nil"/>
              <w:bottom w:val="single" w:sz="6" w:space="0" w:color="78A22F"/>
              <w:right w:val="nil"/>
            </w:tcBorders>
            <w:shd w:val="clear" w:color="auto" w:fill="auto"/>
          </w:tcPr>
          <w:p w:rsidR="003454BE" w:rsidRDefault="003454BE" w:rsidP="00730EA6">
            <w:pPr>
              <w:pStyle w:val="Figurespace"/>
            </w:pPr>
          </w:p>
        </w:tc>
      </w:tr>
      <w:tr w:rsidR="003454BE" w:rsidRPr="000863A5" w:rsidTr="00730EA6">
        <w:tc>
          <w:tcPr>
            <w:tcW w:w="8771" w:type="dxa"/>
            <w:tcBorders>
              <w:top w:val="single" w:sz="6" w:space="0" w:color="78A22F"/>
              <w:left w:val="nil"/>
              <w:bottom w:val="nil"/>
              <w:right w:val="nil"/>
            </w:tcBorders>
          </w:tcPr>
          <w:p w:rsidR="003454BE" w:rsidRPr="00626D32" w:rsidRDefault="003454BE" w:rsidP="00730EA6">
            <w:pPr>
              <w:pStyle w:val="BoxSpaceBelow"/>
            </w:pPr>
          </w:p>
        </w:tc>
      </w:tr>
    </w:tbl>
    <w:p w:rsidR="00D12D52" w:rsidRPr="002C3181" w:rsidRDefault="00D12D52" w:rsidP="00D12D52">
      <w:pPr>
        <w:pStyle w:val="BodyText"/>
      </w:pPr>
      <w:r w:rsidRPr="002C3181">
        <w:t>Nationally in 2012</w:t>
      </w:r>
      <w:r w:rsidR="00B84AF2">
        <w:noBreakHyphen/>
      </w:r>
      <w:r w:rsidRPr="002C3181">
        <w:t xml:space="preserve">13, </w:t>
      </w:r>
      <w:r w:rsidR="00C47CFB">
        <w:t>8.</w:t>
      </w:r>
      <w:r w:rsidR="00251435">
        <w:t>4</w:t>
      </w:r>
      <w:r w:rsidRPr="002C3181">
        <w:t xml:space="preserve"> per cent of people aged 15</w:t>
      </w:r>
      <w:r w:rsidR="00445BD4">
        <w:t>–</w:t>
      </w:r>
      <w:r w:rsidRPr="002C3181">
        <w:t>64 years with disability with an employment restriction were using NDA open employment services (Disability Management Services) (figure 14.</w:t>
      </w:r>
      <w:r w:rsidR="00251435">
        <w:t>1</w:t>
      </w:r>
      <w:r w:rsidRPr="002C3181">
        <w:t xml:space="preserve">4). </w:t>
      </w:r>
    </w:p>
    <w:p w:rsidR="00D12D52" w:rsidRDefault="00D12D52"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12D52" w:rsidTr="00730EA6">
        <w:tc>
          <w:tcPr>
            <w:tcW w:w="8771" w:type="dxa"/>
            <w:tcBorders>
              <w:top w:val="single" w:sz="6" w:space="0" w:color="78A22F"/>
              <w:left w:val="nil"/>
              <w:bottom w:val="nil"/>
              <w:right w:val="nil"/>
            </w:tcBorders>
            <w:shd w:val="clear" w:color="auto" w:fill="auto"/>
          </w:tcPr>
          <w:p w:rsidR="00D12D52" w:rsidRPr="00176D3F" w:rsidRDefault="00D12D52" w:rsidP="00063660">
            <w:pPr>
              <w:pStyle w:val="FigureTitle"/>
            </w:pPr>
            <w:r w:rsidRPr="00784A05">
              <w:rPr>
                <w:b w:val="0"/>
              </w:rPr>
              <w:t xml:space="preserve">Figure </w:t>
            </w:r>
            <w:r w:rsidR="00321568">
              <w:rPr>
                <w:b w:val="0"/>
              </w:rPr>
              <w:t>14.</w:t>
            </w:r>
            <w:r w:rsidR="0085284B">
              <w:rPr>
                <w:b w:val="0"/>
                <w:noProof/>
              </w:rPr>
              <w:t>14</w:t>
            </w:r>
            <w:r>
              <w:tab/>
            </w:r>
            <w:r w:rsidRPr="00516C52">
              <w:t>Users of NDA open employment services (Disability Management Services) (aged 15</w:t>
            </w:r>
            <w:r w:rsidR="00445BD4">
              <w:t>–</w:t>
            </w:r>
            <w:r w:rsidRPr="00516C52">
              <w:t xml:space="preserve">64 years) as a proportion of the estimated number of people with an employment </w:t>
            </w:r>
            <w:r w:rsidR="00C47CFB">
              <w:t>restriction</w:t>
            </w:r>
            <w:r w:rsidR="00C47CFB" w:rsidRPr="00C47CFB">
              <w:rPr>
                <w:rStyle w:val="NoteLabel"/>
              </w:rPr>
              <w:t>a, b</w:t>
            </w:r>
          </w:p>
        </w:tc>
      </w:tr>
      <w:tr w:rsidR="00D12D52" w:rsidRPr="008704B6"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12D52" w:rsidRPr="008704B6" w:rsidTr="00730EA6">
              <w:trPr>
                <w:jc w:val="center"/>
              </w:trPr>
              <w:tc>
                <w:tcPr>
                  <w:tcW w:w="5000" w:type="pct"/>
                  <w:tcBorders>
                    <w:top w:val="nil"/>
                    <w:bottom w:val="nil"/>
                  </w:tcBorders>
                </w:tcPr>
                <w:p w:rsidR="00D12D52" w:rsidRPr="00AE3578" w:rsidRDefault="0072265E" w:rsidP="00AE3578">
                  <w:pPr>
                    <w:pStyle w:val="Figure"/>
                  </w:pPr>
                  <w:r>
                    <w:rPr>
                      <w:noProof/>
                    </w:rPr>
                    <w:drawing>
                      <wp:inline distT="0" distB="0" distL="0" distR="0">
                        <wp:extent cx="5276850" cy="2686050"/>
                        <wp:effectExtent l="0" t="0" r="0" b="0"/>
                        <wp:docPr id="14" name="Picture 14" descr="Figure 14.14 Users of NDA open employment services (Disability Management Services) (aged 15–64 years) as a proportion of the estimated number of people with an employment restric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76850" cy="2686050"/>
                                </a:xfrm>
                                <a:prstGeom prst="rect">
                                  <a:avLst/>
                                </a:prstGeom>
                                <a:noFill/>
                                <a:ln>
                                  <a:noFill/>
                                </a:ln>
                              </pic:spPr>
                            </pic:pic>
                          </a:graphicData>
                        </a:graphic>
                      </wp:inline>
                    </w:drawing>
                  </w:r>
                </w:p>
              </w:tc>
            </w:tr>
          </w:tbl>
          <w:p w:rsidR="00D12D52" w:rsidRPr="008704B6" w:rsidRDefault="00D12D52" w:rsidP="008704B6">
            <w:pPr>
              <w:pStyle w:val="Figure"/>
            </w:pPr>
          </w:p>
        </w:tc>
      </w:tr>
      <w:tr w:rsidR="00D12D52" w:rsidRPr="00516C52" w:rsidTr="00730EA6">
        <w:tc>
          <w:tcPr>
            <w:tcW w:w="8771" w:type="dxa"/>
            <w:tcBorders>
              <w:top w:val="nil"/>
              <w:left w:val="nil"/>
              <w:bottom w:val="nil"/>
              <w:right w:val="nil"/>
            </w:tcBorders>
            <w:shd w:val="clear" w:color="auto" w:fill="auto"/>
          </w:tcPr>
          <w:p w:rsidR="00D12D52" w:rsidRPr="00516C52" w:rsidRDefault="00516C52" w:rsidP="00683393">
            <w:pPr>
              <w:pStyle w:val="Note"/>
            </w:pPr>
            <w:proofErr w:type="gramStart"/>
            <w:r w:rsidRPr="00516C52">
              <w:rPr>
                <w:rStyle w:val="NoteLabel"/>
              </w:rPr>
              <w:t>a</w:t>
            </w:r>
            <w:proofErr w:type="gramEnd"/>
            <w:r w:rsidRPr="00516C52">
              <w:t xml:space="preserve"> See table</w:t>
            </w:r>
            <w:r w:rsidR="00AE3578">
              <w:t> </w:t>
            </w:r>
            <w:r w:rsidRPr="00516C52">
              <w:t>14A.</w:t>
            </w:r>
            <w:r w:rsidR="00683393" w:rsidRPr="00516C52">
              <w:t>2</w:t>
            </w:r>
            <w:r w:rsidR="00683393">
              <w:t xml:space="preserve">3 </w:t>
            </w:r>
            <w:r w:rsidRPr="00516C52">
              <w:t xml:space="preserve">for detailed notes relating to these data. </w:t>
            </w:r>
            <w:proofErr w:type="gramStart"/>
            <w:r w:rsidRPr="00516C52">
              <w:rPr>
                <w:rStyle w:val="NoteLabel"/>
              </w:rPr>
              <w:t>b</w:t>
            </w:r>
            <w:proofErr w:type="gramEnd"/>
            <w:r w:rsidRPr="00516C52">
              <w:t xml:space="preserve"> See </w:t>
            </w:r>
            <w:r w:rsidR="009D29CA">
              <w:t>section 14.7</w:t>
            </w:r>
            <w:r w:rsidRPr="00516C52">
              <w:t xml:space="preserve"> for further information on employment services.</w:t>
            </w:r>
          </w:p>
        </w:tc>
      </w:tr>
      <w:tr w:rsidR="00D12D52" w:rsidRPr="00176D3F" w:rsidTr="00730EA6">
        <w:tc>
          <w:tcPr>
            <w:tcW w:w="8771" w:type="dxa"/>
            <w:tcBorders>
              <w:top w:val="nil"/>
              <w:left w:val="nil"/>
              <w:bottom w:val="nil"/>
              <w:right w:val="nil"/>
            </w:tcBorders>
            <w:shd w:val="clear" w:color="auto" w:fill="auto"/>
          </w:tcPr>
          <w:p w:rsidR="00D12D52" w:rsidRPr="00176D3F" w:rsidRDefault="00D12D52" w:rsidP="00683393">
            <w:pPr>
              <w:pStyle w:val="Source"/>
            </w:pPr>
            <w:r w:rsidRPr="006356CD">
              <w:rPr>
                <w:i/>
              </w:rPr>
              <w:t>Source</w:t>
            </w:r>
            <w:r w:rsidRPr="006356CD">
              <w:t xml:space="preserve">: </w:t>
            </w:r>
            <w:r w:rsidR="006356CD" w:rsidRPr="006356CD">
              <w:t xml:space="preserve">AIHW (unpublished), </w:t>
            </w:r>
            <w:r w:rsidR="006356CD" w:rsidRPr="00CF44B8">
              <w:rPr>
                <w:i/>
              </w:rPr>
              <w:t>DS NMDS 201</w:t>
            </w:r>
            <w:r w:rsidR="00D51392">
              <w:rPr>
                <w:i/>
              </w:rPr>
              <w:t>0</w:t>
            </w:r>
            <w:r w:rsidR="00B84AF2">
              <w:rPr>
                <w:i/>
              </w:rPr>
              <w:noBreakHyphen/>
            </w:r>
            <w:r w:rsidR="006356CD" w:rsidRPr="00CF44B8">
              <w:rPr>
                <w:i/>
              </w:rPr>
              <w:t>11 to 2012</w:t>
            </w:r>
            <w:r w:rsidR="00B84AF2">
              <w:rPr>
                <w:i/>
              </w:rPr>
              <w:noBreakHyphen/>
            </w:r>
            <w:r w:rsidR="006356CD" w:rsidRPr="00CF44B8">
              <w:rPr>
                <w:i/>
              </w:rPr>
              <w:t>13</w:t>
            </w:r>
            <w:r w:rsidR="006356CD" w:rsidRPr="006356CD">
              <w:t xml:space="preserve">, DEEWR (unpublished) </w:t>
            </w:r>
            <w:r w:rsidR="006356CD" w:rsidRPr="00CF44B8">
              <w:rPr>
                <w:i/>
              </w:rPr>
              <w:t>administrative IT system</w:t>
            </w:r>
            <w:r w:rsidR="00D51392">
              <w:rPr>
                <w:i/>
              </w:rPr>
              <w:t xml:space="preserve"> 2011</w:t>
            </w:r>
            <w:r w:rsidR="00B84AF2">
              <w:rPr>
                <w:i/>
              </w:rPr>
              <w:noBreakHyphen/>
            </w:r>
            <w:r w:rsidR="00D51392">
              <w:rPr>
                <w:i/>
              </w:rPr>
              <w:t>12</w:t>
            </w:r>
            <w:r w:rsidR="006356CD">
              <w:t xml:space="preserve">, </w:t>
            </w:r>
            <w:r w:rsidR="00F162C6">
              <w:t xml:space="preserve">DSS (unpublished) </w:t>
            </w:r>
            <w:r w:rsidR="00F162C6" w:rsidRPr="00A85575">
              <w:rPr>
                <w:i/>
              </w:rPr>
              <w:t>administrative IT system 2012</w:t>
            </w:r>
            <w:r w:rsidR="00B84AF2">
              <w:rPr>
                <w:i/>
              </w:rPr>
              <w:noBreakHyphen/>
            </w:r>
            <w:r w:rsidR="00F162C6" w:rsidRPr="00A85575">
              <w:rPr>
                <w:i/>
              </w:rPr>
              <w:t>13</w:t>
            </w:r>
            <w:r w:rsidR="006B51BC">
              <w:t>,</w:t>
            </w:r>
            <w:r w:rsidR="00F162C6">
              <w:t xml:space="preserve"> </w:t>
            </w:r>
            <w:r w:rsidR="006356CD" w:rsidRPr="006356CD">
              <w:t xml:space="preserve">AIHW analysis of the ABS </w:t>
            </w:r>
            <w:r w:rsidR="006356CD" w:rsidRPr="006356CD">
              <w:rPr>
                <w:i/>
              </w:rPr>
              <w:t>Estimated Resident Population June 20</w:t>
            </w:r>
            <w:r w:rsidR="006356CD">
              <w:rPr>
                <w:i/>
              </w:rPr>
              <w:t>10</w:t>
            </w:r>
            <w:r w:rsidR="00B84AF2">
              <w:rPr>
                <w:i/>
              </w:rPr>
              <w:t>–</w:t>
            </w:r>
            <w:r w:rsidR="006356CD" w:rsidRPr="006356CD">
              <w:rPr>
                <w:i/>
              </w:rPr>
              <w:t xml:space="preserve">2012, ABS Census of Population and Housing </w:t>
            </w:r>
            <w:r w:rsidR="006B51BC">
              <w:rPr>
                <w:i/>
              </w:rPr>
              <w:t>2006 and</w:t>
            </w:r>
            <w:r w:rsidR="006B51BC" w:rsidRPr="00B174BF">
              <w:rPr>
                <w:i/>
              </w:rPr>
              <w:t xml:space="preserve"> </w:t>
            </w:r>
            <w:r w:rsidR="006356CD" w:rsidRPr="006356CD">
              <w:rPr>
                <w:i/>
              </w:rPr>
              <w:t>2011</w:t>
            </w:r>
            <w:r w:rsidR="006356CD" w:rsidRPr="006356CD">
              <w:t xml:space="preserve"> and the ABS </w:t>
            </w:r>
            <w:r w:rsidR="006356CD" w:rsidRPr="006356CD">
              <w:rPr>
                <w:i/>
              </w:rPr>
              <w:t>Survey of Disability, Ageing and Carers 2009 and 2012</w:t>
            </w:r>
            <w:r w:rsidR="006356CD" w:rsidRPr="006356CD">
              <w:t>; table</w:t>
            </w:r>
            <w:r w:rsidR="00AE3578">
              <w:t> </w:t>
            </w:r>
            <w:r w:rsidR="006356CD" w:rsidRPr="006356CD">
              <w:t>14A.</w:t>
            </w:r>
            <w:r w:rsidR="00683393" w:rsidRPr="006356CD">
              <w:t>2</w:t>
            </w:r>
            <w:r w:rsidR="00683393">
              <w:t>3</w:t>
            </w:r>
            <w:r w:rsidR="00A432DF" w:rsidRPr="006356CD">
              <w:t>.</w:t>
            </w:r>
          </w:p>
        </w:tc>
      </w:tr>
      <w:tr w:rsidR="00D12D52" w:rsidTr="00730EA6">
        <w:tc>
          <w:tcPr>
            <w:tcW w:w="8771" w:type="dxa"/>
            <w:tcBorders>
              <w:top w:val="nil"/>
              <w:left w:val="nil"/>
              <w:bottom w:val="single" w:sz="6" w:space="0" w:color="78A22F"/>
              <w:right w:val="nil"/>
            </w:tcBorders>
            <w:shd w:val="clear" w:color="auto" w:fill="auto"/>
          </w:tcPr>
          <w:p w:rsidR="00D12D52" w:rsidRDefault="00D12D52" w:rsidP="00730EA6">
            <w:pPr>
              <w:pStyle w:val="Figurespace"/>
            </w:pPr>
          </w:p>
        </w:tc>
      </w:tr>
      <w:tr w:rsidR="00D12D52" w:rsidRPr="000863A5" w:rsidTr="00730EA6">
        <w:tc>
          <w:tcPr>
            <w:tcW w:w="8771" w:type="dxa"/>
            <w:tcBorders>
              <w:top w:val="single" w:sz="6" w:space="0" w:color="78A22F"/>
              <w:left w:val="nil"/>
              <w:bottom w:val="nil"/>
              <w:right w:val="nil"/>
            </w:tcBorders>
          </w:tcPr>
          <w:p w:rsidR="00D12D52" w:rsidRPr="00626D32" w:rsidRDefault="00D12D52" w:rsidP="00730EA6">
            <w:pPr>
              <w:pStyle w:val="BoxSpaceBelow"/>
            </w:pPr>
          </w:p>
        </w:tc>
      </w:tr>
    </w:tbl>
    <w:p w:rsidR="00A32EAB" w:rsidRPr="002C3181" w:rsidRDefault="00A32EAB" w:rsidP="00A32EAB">
      <w:pPr>
        <w:pStyle w:val="BodyText"/>
      </w:pPr>
      <w:r w:rsidRPr="002C3181">
        <w:t xml:space="preserve">Nationally in </w:t>
      </w:r>
      <w:r w:rsidR="002C3181" w:rsidRPr="002C3181">
        <w:t>2012</w:t>
      </w:r>
      <w:r w:rsidR="00B84AF2">
        <w:noBreakHyphen/>
      </w:r>
      <w:r w:rsidR="002C3181" w:rsidRPr="002C3181">
        <w:t>13</w:t>
      </w:r>
      <w:r w:rsidRPr="002C3181">
        <w:t>,</w:t>
      </w:r>
      <w:r w:rsidR="006C2651" w:rsidRPr="002C3181">
        <w:t xml:space="preserve"> the number of people with disability </w:t>
      </w:r>
      <w:r w:rsidR="00E346DF" w:rsidRPr="002C3181">
        <w:t>who used</w:t>
      </w:r>
      <w:r w:rsidR="006C2651" w:rsidRPr="002C3181">
        <w:t xml:space="preserve"> NDA supported employment services as a proportion of the potential population (aged 15–64 years) was </w:t>
      </w:r>
      <w:r w:rsidR="009B2BD4">
        <w:t>7.5</w:t>
      </w:r>
      <w:r w:rsidR="006C2651" w:rsidRPr="002C3181">
        <w:t xml:space="preserve"> per cent </w:t>
      </w:r>
      <w:r w:rsidRPr="002C3181">
        <w:t>(figure 14.</w:t>
      </w:r>
      <w:r w:rsidR="002C3181" w:rsidRPr="002C3181">
        <w:t>15</w:t>
      </w:r>
      <w:r w:rsidRPr="002C3181">
        <w:t xml:space="preserve">). </w:t>
      </w:r>
    </w:p>
    <w:p w:rsidR="00D12D52" w:rsidRDefault="00D12D52"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12D52" w:rsidRPr="000324AF" w:rsidTr="00730EA6">
        <w:tc>
          <w:tcPr>
            <w:tcW w:w="8771" w:type="dxa"/>
            <w:tcBorders>
              <w:top w:val="single" w:sz="6" w:space="0" w:color="78A22F"/>
              <w:left w:val="nil"/>
              <w:bottom w:val="nil"/>
              <w:right w:val="nil"/>
            </w:tcBorders>
            <w:shd w:val="clear" w:color="auto" w:fill="auto"/>
          </w:tcPr>
          <w:p w:rsidR="00D12D52" w:rsidRPr="000324AF" w:rsidRDefault="00D12D52" w:rsidP="00A50256">
            <w:pPr>
              <w:pStyle w:val="FigureTitle"/>
            </w:pPr>
            <w:r w:rsidRPr="007E4549">
              <w:rPr>
                <w:b w:val="0"/>
              </w:rPr>
              <w:t xml:space="preserve">Figure </w:t>
            </w:r>
            <w:r w:rsidR="00321568">
              <w:rPr>
                <w:b w:val="0"/>
              </w:rPr>
              <w:t>14.</w:t>
            </w:r>
            <w:r w:rsidR="0085284B">
              <w:rPr>
                <w:b w:val="0"/>
                <w:noProof/>
              </w:rPr>
              <w:t>15</w:t>
            </w:r>
            <w:r w:rsidRPr="007E4549">
              <w:tab/>
              <w:t>Users of NDA supported employment services/Australian Disability Enterprises (aged 15</w:t>
            </w:r>
            <w:r w:rsidR="00445BD4">
              <w:t>–</w:t>
            </w:r>
            <w:r w:rsidRPr="007E4549">
              <w:t>64 years) as</w:t>
            </w:r>
            <w:r w:rsidRPr="000324AF">
              <w:t xml:space="preserve"> a proportion of the total estimated potential population for supported employment services</w:t>
            </w:r>
            <w:r w:rsidRPr="000324AF">
              <w:rPr>
                <w:rStyle w:val="NoteLabel"/>
                <w:b/>
              </w:rPr>
              <w:t>a, b</w:t>
            </w:r>
          </w:p>
        </w:tc>
      </w:tr>
      <w:tr w:rsidR="00D12D52" w:rsidRPr="000324AF"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12D52" w:rsidRPr="000324AF" w:rsidTr="00730EA6">
              <w:trPr>
                <w:jc w:val="center"/>
              </w:trPr>
              <w:tc>
                <w:tcPr>
                  <w:tcW w:w="5000" w:type="pct"/>
                  <w:tcBorders>
                    <w:top w:val="nil"/>
                    <w:bottom w:val="nil"/>
                  </w:tcBorders>
                </w:tcPr>
                <w:p w:rsidR="00D12D52" w:rsidRPr="007E4549" w:rsidRDefault="0072265E" w:rsidP="000324AF">
                  <w:pPr>
                    <w:pStyle w:val="Figure"/>
                  </w:pPr>
                  <w:r>
                    <w:rPr>
                      <w:noProof/>
                    </w:rPr>
                    <w:drawing>
                      <wp:inline distT="0" distB="0" distL="0" distR="0">
                        <wp:extent cx="5276850" cy="2705100"/>
                        <wp:effectExtent l="0" t="0" r="0" b="0"/>
                        <wp:docPr id="15" name="Picture 15" descr="Figure 14.15 Users of NDA supported employment services/Australian Disability Enterprises (aged 15–64 years) as a proportion of the total estimated potential population for supported employment servic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6850" cy="2705100"/>
                                </a:xfrm>
                                <a:prstGeom prst="rect">
                                  <a:avLst/>
                                </a:prstGeom>
                                <a:noFill/>
                                <a:ln>
                                  <a:noFill/>
                                </a:ln>
                              </pic:spPr>
                            </pic:pic>
                          </a:graphicData>
                        </a:graphic>
                      </wp:inline>
                    </w:drawing>
                  </w:r>
                </w:p>
              </w:tc>
            </w:tr>
          </w:tbl>
          <w:p w:rsidR="00D12D52" w:rsidRPr="000324AF" w:rsidRDefault="00D12D52" w:rsidP="00730EA6">
            <w:pPr>
              <w:pStyle w:val="Figure"/>
            </w:pPr>
          </w:p>
        </w:tc>
      </w:tr>
      <w:tr w:rsidR="00D12D52" w:rsidRPr="007E4549" w:rsidTr="00730EA6">
        <w:tc>
          <w:tcPr>
            <w:tcW w:w="8771" w:type="dxa"/>
            <w:tcBorders>
              <w:top w:val="nil"/>
              <w:left w:val="nil"/>
              <w:bottom w:val="nil"/>
              <w:right w:val="nil"/>
            </w:tcBorders>
            <w:shd w:val="clear" w:color="auto" w:fill="auto"/>
          </w:tcPr>
          <w:p w:rsidR="00D12D52" w:rsidRPr="007E4549" w:rsidRDefault="00D12D52" w:rsidP="00683393">
            <w:pPr>
              <w:pStyle w:val="Note"/>
            </w:pPr>
            <w:proofErr w:type="gramStart"/>
            <w:r w:rsidRPr="007E4549">
              <w:rPr>
                <w:rStyle w:val="NoteLabel"/>
              </w:rPr>
              <w:t>a</w:t>
            </w:r>
            <w:proofErr w:type="gramEnd"/>
            <w:r w:rsidRPr="007E4549">
              <w:t xml:space="preserve"> See table</w:t>
            </w:r>
            <w:r w:rsidR="00AE3578">
              <w:t> </w:t>
            </w:r>
            <w:r w:rsidRPr="007E4549">
              <w:t>14A.</w:t>
            </w:r>
            <w:r w:rsidR="00683393" w:rsidRPr="007E4549">
              <w:t>2</w:t>
            </w:r>
            <w:r w:rsidR="00683393">
              <w:t>4</w:t>
            </w:r>
            <w:r w:rsidR="00683393" w:rsidRPr="007E4549">
              <w:t xml:space="preserve"> </w:t>
            </w:r>
            <w:r w:rsidRPr="007E4549">
              <w:t xml:space="preserve">for detailed notes relating to these data. </w:t>
            </w:r>
            <w:proofErr w:type="gramStart"/>
            <w:r w:rsidRPr="007E4549">
              <w:rPr>
                <w:rStyle w:val="NoteLabel"/>
              </w:rPr>
              <w:t>b</w:t>
            </w:r>
            <w:proofErr w:type="gramEnd"/>
            <w:r w:rsidRPr="007E4549">
              <w:t xml:space="preserve"> See </w:t>
            </w:r>
            <w:r w:rsidR="009D29CA">
              <w:t>14.7</w:t>
            </w:r>
            <w:r w:rsidRPr="007E4549">
              <w:t xml:space="preserve"> for further information on employment services.</w:t>
            </w:r>
          </w:p>
        </w:tc>
      </w:tr>
      <w:tr w:rsidR="00D12D52" w:rsidRPr="000324AF" w:rsidTr="00730EA6">
        <w:tc>
          <w:tcPr>
            <w:tcW w:w="8771" w:type="dxa"/>
            <w:tcBorders>
              <w:top w:val="nil"/>
              <w:left w:val="nil"/>
              <w:bottom w:val="nil"/>
              <w:right w:val="nil"/>
            </w:tcBorders>
            <w:shd w:val="clear" w:color="auto" w:fill="auto"/>
          </w:tcPr>
          <w:p w:rsidR="00D12D52" w:rsidRPr="007E4549" w:rsidRDefault="00D12D52" w:rsidP="00683393">
            <w:pPr>
              <w:pStyle w:val="Source"/>
            </w:pPr>
            <w:r w:rsidRPr="007E4549">
              <w:rPr>
                <w:i/>
              </w:rPr>
              <w:t>Source</w:t>
            </w:r>
            <w:r w:rsidRPr="007E4549">
              <w:t xml:space="preserve">: AIHW (unpublished), </w:t>
            </w:r>
            <w:r w:rsidRPr="00DF1129">
              <w:rPr>
                <w:i/>
              </w:rPr>
              <w:t>DS NMDS 2009</w:t>
            </w:r>
            <w:r w:rsidR="00B84AF2">
              <w:rPr>
                <w:i/>
              </w:rPr>
              <w:noBreakHyphen/>
            </w:r>
            <w:r w:rsidRPr="00DF1129">
              <w:rPr>
                <w:i/>
              </w:rPr>
              <w:t xml:space="preserve">10 to </w:t>
            </w:r>
            <w:r w:rsidR="009B4B99" w:rsidRPr="00DF1129">
              <w:rPr>
                <w:i/>
              </w:rPr>
              <w:t>2012</w:t>
            </w:r>
            <w:r w:rsidR="00B84AF2">
              <w:rPr>
                <w:i/>
              </w:rPr>
              <w:noBreakHyphen/>
            </w:r>
            <w:r w:rsidR="009B4B99" w:rsidRPr="00DF1129">
              <w:rPr>
                <w:i/>
              </w:rPr>
              <w:t>13</w:t>
            </w:r>
            <w:r w:rsidRPr="007E4549">
              <w:t xml:space="preserve">, </w:t>
            </w:r>
            <w:r w:rsidRPr="006B51BC">
              <w:rPr>
                <w:i/>
              </w:rPr>
              <w:t>CSTDA National Minimum Data Set (NMDS) 2008</w:t>
            </w:r>
            <w:r w:rsidR="00B84AF2">
              <w:rPr>
                <w:i/>
              </w:rPr>
              <w:noBreakHyphen/>
            </w:r>
            <w:r w:rsidRPr="006B51BC">
              <w:rPr>
                <w:i/>
              </w:rPr>
              <w:t>09</w:t>
            </w:r>
            <w:r w:rsidRPr="007E4549">
              <w:t xml:space="preserve">; AIHW analysis of the ABS </w:t>
            </w:r>
            <w:r w:rsidRPr="007E4549">
              <w:rPr>
                <w:i/>
              </w:rPr>
              <w:t>Estimated Resident Population June 2008</w:t>
            </w:r>
            <w:r w:rsidR="00B84AF2">
              <w:rPr>
                <w:i/>
              </w:rPr>
              <w:t>–</w:t>
            </w:r>
            <w:r w:rsidR="009B4B99">
              <w:rPr>
                <w:i/>
              </w:rPr>
              <w:t>2012</w:t>
            </w:r>
            <w:r w:rsidRPr="007E4549">
              <w:rPr>
                <w:i/>
              </w:rPr>
              <w:t xml:space="preserve">, ABS Census of Population and Housing </w:t>
            </w:r>
            <w:r w:rsidR="006B51BC">
              <w:rPr>
                <w:i/>
              </w:rPr>
              <w:t xml:space="preserve">2006 and </w:t>
            </w:r>
            <w:r w:rsidR="009B4B99">
              <w:rPr>
                <w:i/>
              </w:rPr>
              <w:t>2011</w:t>
            </w:r>
            <w:r w:rsidRPr="007E4549">
              <w:t xml:space="preserve"> and the ABS </w:t>
            </w:r>
            <w:r w:rsidRPr="007E4549">
              <w:rPr>
                <w:i/>
              </w:rPr>
              <w:t>Survey of Disability, Ageing and Carers 2009</w:t>
            </w:r>
            <w:r w:rsidR="009B4B99">
              <w:rPr>
                <w:i/>
              </w:rPr>
              <w:t xml:space="preserve"> and 2012</w:t>
            </w:r>
            <w:r w:rsidRPr="007E4549">
              <w:t>; table</w:t>
            </w:r>
            <w:r w:rsidR="00445BD4">
              <w:t> </w:t>
            </w:r>
            <w:r w:rsidRPr="007E4549">
              <w:t>14A.</w:t>
            </w:r>
            <w:r w:rsidR="00683393" w:rsidRPr="007E4549">
              <w:t>2</w:t>
            </w:r>
            <w:r w:rsidR="00683393">
              <w:t>4</w:t>
            </w:r>
            <w:r w:rsidRPr="007E4549">
              <w:t>.</w:t>
            </w:r>
          </w:p>
        </w:tc>
      </w:tr>
      <w:tr w:rsidR="00D12D52" w:rsidRPr="000324AF" w:rsidTr="00730EA6">
        <w:tc>
          <w:tcPr>
            <w:tcW w:w="8771" w:type="dxa"/>
            <w:tcBorders>
              <w:top w:val="nil"/>
              <w:left w:val="nil"/>
              <w:bottom w:val="single" w:sz="6" w:space="0" w:color="78A22F"/>
              <w:right w:val="nil"/>
            </w:tcBorders>
            <w:shd w:val="clear" w:color="auto" w:fill="auto"/>
          </w:tcPr>
          <w:p w:rsidR="00D12D52" w:rsidRPr="000324AF" w:rsidRDefault="00D12D52" w:rsidP="00730EA6">
            <w:pPr>
              <w:pStyle w:val="Figurespace"/>
            </w:pPr>
          </w:p>
        </w:tc>
      </w:tr>
      <w:tr w:rsidR="00D12D52" w:rsidRPr="000863A5" w:rsidTr="00730EA6">
        <w:tc>
          <w:tcPr>
            <w:tcW w:w="8771" w:type="dxa"/>
            <w:tcBorders>
              <w:top w:val="single" w:sz="6" w:space="0" w:color="78A22F"/>
              <w:left w:val="nil"/>
              <w:bottom w:val="nil"/>
              <w:right w:val="nil"/>
            </w:tcBorders>
          </w:tcPr>
          <w:p w:rsidR="00D12D52" w:rsidRPr="00626D32" w:rsidRDefault="00D12D52" w:rsidP="00730EA6">
            <w:pPr>
              <w:pStyle w:val="BoxSpaceBelow"/>
            </w:pPr>
          </w:p>
        </w:tc>
      </w:tr>
    </w:tbl>
    <w:p w:rsidR="001F39F2" w:rsidRPr="002C3181" w:rsidRDefault="001F39F2" w:rsidP="00585E2C">
      <w:pPr>
        <w:pStyle w:val="Heading5"/>
        <w:spacing w:before="400"/>
      </w:pPr>
      <w:r w:rsidRPr="002C3181">
        <w:t>Service use by severity of disability</w:t>
      </w:r>
    </w:p>
    <w:p w:rsidR="005A7EF5" w:rsidRPr="002C3181" w:rsidRDefault="001F39F2" w:rsidP="00585E2C">
      <w:pPr>
        <w:pStyle w:val="BodyText"/>
      </w:pPr>
      <w:r w:rsidRPr="002C3181">
        <w:t>‘Service use by severity of disability’ is an indicator of governments’ objective to use available resources to provide services to people on the basis of relative need, where need for services is assumed to vary according to the need for help with the activities of daily living (ADL) and for help with activities of independent living (AIL) or activities of work, education and community living (AWEC) (box</w:t>
      </w:r>
      <w:r w:rsidR="00AE3578">
        <w:t> </w:t>
      </w:r>
      <w:r w:rsidRPr="002C3181">
        <w:t>14.</w:t>
      </w:r>
      <w:r w:rsidR="00717CE1" w:rsidRPr="002C3181">
        <w:t>8</w:t>
      </w:r>
      <w:r w:rsidRPr="002C3181">
        <w:t xml:space="preserve">). This indicator provides additional information for interpreting the access to NDA services </w:t>
      </w:r>
      <w:r w:rsidR="005A7EF5" w:rsidRPr="002C3181">
        <w:t xml:space="preserve">measures reported. </w:t>
      </w:r>
    </w:p>
    <w:p w:rsidR="001F39F2" w:rsidRPr="002C3181" w:rsidRDefault="001F39F2" w:rsidP="00445BD4">
      <w:pPr>
        <w:pStyle w:val="BodyText"/>
        <w:keepNext/>
      </w:pPr>
      <w:r w:rsidRPr="002C3181">
        <w:lastRenderedPageBreak/>
        <w:t>Data on the need for assistance are derived using information on the level of support needed in one or more of the following support areas:</w:t>
      </w:r>
    </w:p>
    <w:p w:rsidR="001F39F2" w:rsidRPr="002C3181" w:rsidRDefault="005A7EF5" w:rsidP="00445BD4">
      <w:pPr>
        <w:pStyle w:val="ListBullet"/>
        <w:keepNext/>
      </w:pPr>
      <w:r w:rsidRPr="002C3181">
        <w:t>ADL</w:t>
      </w:r>
      <w:r w:rsidR="001F39F2" w:rsidRPr="002C3181">
        <w:t xml:space="preserve"> </w:t>
      </w:r>
      <w:r w:rsidR="00ED66E1" w:rsidRPr="002C3181">
        <w:t>—</w:t>
      </w:r>
      <w:r w:rsidR="001F39F2" w:rsidRPr="002C3181">
        <w:t xml:space="preserve"> self care, mobility, and communication (the core support areas)</w:t>
      </w:r>
      <w:r w:rsidR="00C74279" w:rsidRPr="002C3181">
        <w:t xml:space="preserve"> </w:t>
      </w:r>
      <w:r w:rsidRPr="002C3181">
        <w:t>(conceptually comparable to people who have a profound or severe core activity limitation)</w:t>
      </w:r>
    </w:p>
    <w:p w:rsidR="001F39F2" w:rsidRPr="002C3181" w:rsidRDefault="001F39F2" w:rsidP="00445BD4">
      <w:pPr>
        <w:pStyle w:val="ListBullet"/>
        <w:keepNext/>
      </w:pPr>
      <w:r w:rsidRPr="002C3181">
        <w:t xml:space="preserve">AIL </w:t>
      </w:r>
      <w:r w:rsidR="00ED66E1" w:rsidRPr="002C3181">
        <w:t>—</w:t>
      </w:r>
      <w:r w:rsidRPr="002C3181">
        <w:t xml:space="preserve"> interpersonal interactions and relationships, learning, applying knowledge and general tasks and demands; and domestic life</w:t>
      </w:r>
    </w:p>
    <w:p w:rsidR="001F39F2" w:rsidRPr="002C3181" w:rsidRDefault="001F39F2" w:rsidP="00445BD4">
      <w:pPr>
        <w:pStyle w:val="ListBullet"/>
        <w:keepNext/>
      </w:pPr>
      <w:r w:rsidRPr="002C3181">
        <w:t xml:space="preserve">AWEC </w:t>
      </w:r>
      <w:r w:rsidR="00ED66E1" w:rsidRPr="002C3181">
        <w:t>—</w:t>
      </w:r>
      <w:r w:rsidRPr="002C3181">
        <w:t xml:space="preserve"> education, community (civic) and economic life; and work.</w:t>
      </w:r>
    </w:p>
    <w:p w:rsidR="00A5229F" w:rsidRDefault="00A522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229F" w:rsidRPr="00445E1C" w:rsidTr="00C827D5">
        <w:tc>
          <w:tcPr>
            <w:tcW w:w="8771" w:type="dxa"/>
            <w:tcBorders>
              <w:top w:val="single" w:sz="6" w:space="0" w:color="78A22F"/>
              <w:left w:val="nil"/>
              <w:bottom w:val="nil"/>
              <w:right w:val="nil"/>
            </w:tcBorders>
            <w:shd w:val="clear" w:color="auto" w:fill="F2F2F2"/>
          </w:tcPr>
          <w:p w:rsidR="00A5229F" w:rsidRPr="00445E1C" w:rsidRDefault="00A5229F" w:rsidP="00A5229F">
            <w:pPr>
              <w:pStyle w:val="BoxTitle"/>
            </w:pPr>
            <w:r w:rsidRPr="00445E1C">
              <w:rPr>
                <w:b w:val="0"/>
              </w:rPr>
              <w:t xml:space="preserve">Box </w:t>
            </w:r>
            <w:r w:rsidR="00321568" w:rsidRPr="00445E1C">
              <w:rPr>
                <w:b w:val="0"/>
              </w:rPr>
              <w:t>14.</w:t>
            </w:r>
            <w:r w:rsidR="0085284B">
              <w:rPr>
                <w:b w:val="0"/>
                <w:noProof/>
              </w:rPr>
              <w:t>8</w:t>
            </w:r>
            <w:r w:rsidRPr="00445E1C">
              <w:tab/>
            </w:r>
            <w:r w:rsidRPr="00445E1C">
              <w:rPr>
                <w:iCs/>
              </w:rPr>
              <w:t>Service use by severity of disability</w:t>
            </w:r>
          </w:p>
        </w:tc>
      </w:tr>
      <w:tr w:rsidR="00A5229F" w:rsidRPr="00445E1C" w:rsidTr="00C827D5">
        <w:trPr>
          <w:cantSplit/>
        </w:trPr>
        <w:tc>
          <w:tcPr>
            <w:tcW w:w="8771" w:type="dxa"/>
            <w:tcBorders>
              <w:top w:val="nil"/>
              <w:left w:val="nil"/>
              <w:bottom w:val="nil"/>
              <w:right w:val="nil"/>
            </w:tcBorders>
            <w:shd w:val="clear" w:color="auto" w:fill="F2F2F2"/>
          </w:tcPr>
          <w:p w:rsidR="00A5229F" w:rsidRPr="00445E1C" w:rsidRDefault="00A5229F" w:rsidP="00A5229F">
            <w:pPr>
              <w:pStyle w:val="Box"/>
            </w:pPr>
            <w:r w:rsidRPr="00445E1C">
              <w:t>‘Service use by severity of disability’ is defined as the proportion of people who access N</w:t>
            </w:r>
            <w:r w:rsidR="00795979" w:rsidRPr="00445E1C">
              <w:t xml:space="preserve">ational </w:t>
            </w:r>
            <w:r w:rsidRPr="00445E1C">
              <w:t>D</w:t>
            </w:r>
            <w:r w:rsidR="00795979" w:rsidRPr="00445E1C">
              <w:t xml:space="preserve">isability </w:t>
            </w:r>
            <w:r w:rsidRPr="00445E1C">
              <w:t>A</w:t>
            </w:r>
            <w:r w:rsidR="00795979" w:rsidRPr="00445E1C">
              <w:t>greement (NDA)</w:t>
            </w:r>
            <w:r w:rsidRPr="00445E1C">
              <w:t xml:space="preserve"> specialist disability services, by need for help with </w:t>
            </w:r>
            <w:r w:rsidR="008704B6" w:rsidRPr="00445E1C">
              <w:t>activities of daily living (ADL) or activities of independent living</w:t>
            </w:r>
            <w:r w:rsidR="00795979" w:rsidRPr="00445E1C">
              <w:t xml:space="preserve"> (AIL)</w:t>
            </w:r>
            <w:r w:rsidRPr="00445E1C">
              <w:t xml:space="preserve">, or </w:t>
            </w:r>
            <w:r w:rsidR="00795979" w:rsidRPr="00445E1C">
              <w:t>activities of work, education and community living (</w:t>
            </w:r>
            <w:r w:rsidRPr="00445E1C">
              <w:t>AWEC</w:t>
            </w:r>
            <w:r w:rsidR="00795979" w:rsidRPr="00445E1C">
              <w:t>).</w:t>
            </w:r>
            <w:r w:rsidR="008704B6" w:rsidRPr="00445E1C">
              <w:t xml:space="preserve"> </w:t>
            </w:r>
            <w:r w:rsidRPr="00445E1C">
              <w:t xml:space="preserve">Four categories are reported: </w:t>
            </w:r>
          </w:p>
          <w:p w:rsidR="00A5229F" w:rsidRPr="00445E1C" w:rsidRDefault="00A5229F" w:rsidP="00A5229F">
            <w:pPr>
              <w:pStyle w:val="BoxListBullet"/>
            </w:pPr>
            <w:r w:rsidRPr="00445E1C">
              <w:t xml:space="preserve">need help with ADL </w:t>
            </w:r>
          </w:p>
          <w:p w:rsidR="00A5229F" w:rsidRPr="00445E1C" w:rsidRDefault="00A5229F" w:rsidP="00A5229F">
            <w:pPr>
              <w:pStyle w:val="BoxListBullet"/>
            </w:pPr>
            <w:r w:rsidRPr="00445E1C">
              <w:t>need help with AIL or AWEC</w:t>
            </w:r>
            <w:r w:rsidRPr="00445E1C">
              <w:rPr>
                <w:rFonts w:cs="Arial"/>
                <w:szCs w:val="22"/>
              </w:rPr>
              <w:t xml:space="preserve"> but not ADL</w:t>
            </w:r>
          </w:p>
          <w:p w:rsidR="00A5229F" w:rsidRPr="00445E1C" w:rsidRDefault="00A5229F" w:rsidP="00A5229F">
            <w:pPr>
              <w:pStyle w:val="BoxListBullet"/>
            </w:pPr>
            <w:r w:rsidRPr="00445E1C">
              <w:rPr>
                <w:rFonts w:cs="Arial"/>
                <w:szCs w:val="22"/>
              </w:rPr>
              <w:t xml:space="preserve">does not need assistance </w:t>
            </w:r>
            <w:r w:rsidRPr="00445E1C">
              <w:t xml:space="preserve">or information on ADL, AIL or AWEC </w:t>
            </w:r>
          </w:p>
          <w:p w:rsidR="00A5229F" w:rsidRPr="00445E1C" w:rsidRDefault="00A5229F" w:rsidP="00A5229F">
            <w:pPr>
              <w:pStyle w:val="BoxListBullet"/>
            </w:pPr>
            <w:proofErr w:type="gramStart"/>
            <w:r w:rsidRPr="00445E1C">
              <w:t>not</w:t>
            </w:r>
            <w:proofErr w:type="gramEnd"/>
            <w:r w:rsidRPr="00445E1C">
              <w:t xml:space="preserve"> stated/collected. </w:t>
            </w:r>
          </w:p>
          <w:p w:rsidR="00A5229F" w:rsidRPr="00445E1C" w:rsidRDefault="00A5229F" w:rsidP="00A5229F">
            <w:pPr>
              <w:pStyle w:val="Box"/>
            </w:pPr>
            <w:r w:rsidRPr="00445E1C">
              <w:t xml:space="preserve">Measures are reported for accommodation support, community support, community access, </w:t>
            </w:r>
            <w:proofErr w:type="gramStart"/>
            <w:r w:rsidR="00795979" w:rsidRPr="00445E1C">
              <w:t>respite</w:t>
            </w:r>
            <w:proofErr w:type="gramEnd"/>
            <w:r w:rsidR="00795979" w:rsidRPr="00445E1C">
              <w:t xml:space="preserve"> and </w:t>
            </w:r>
            <w:r w:rsidRPr="00445E1C">
              <w:t xml:space="preserve">employment services. </w:t>
            </w:r>
          </w:p>
          <w:p w:rsidR="00A5229F" w:rsidRPr="00445E1C" w:rsidRDefault="00A5229F" w:rsidP="00A5229F">
            <w:pPr>
              <w:pStyle w:val="Box"/>
            </w:pPr>
            <w:r w:rsidRPr="00445E1C">
              <w:t xml:space="preserve">A high or increasing proportion of people using a particular service type who need help with ADL </w:t>
            </w:r>
            <w:proofErr w:type="gramStart"/>
            <w:r w:rsidRPr="00445E1C">
              <w:t>suggests</w:t>
            </w:r>
            <w:proofErr w:type="gramEnd"/>
            <w:r w:rsidRPr="00445E1C">
              <w:t xml:space="preserve"> greater access for those with the greatest level of need. </w:t>
            </w:r>
          </w:p>
          <w:p w:rsidR="00A5229F" w:rsidRPr="00445E1C" w:rsidRDefault="00A5229F" w:rsidP="00A5229F">
            <w:pPr>
              <w:pStyle w:val="Box"/>
              <w:spacing w:before="100"/>
            </w:pPr>
            <w:bookmarkStart w:id="15" w:name="OLE_LINK12"/>
            <w:bookmarkStart w:id="16" w:name="OLE_LINK14"/>
            <w:r w:rsidRPr="00445E1C">
              <w:t xml:space="preserve">This indicator does not provide information on whether services are appropriate for the needs of the people receiving them or appropriately targeted </w:t>
            </w:r>
            <w:r w:rsidRPr="00445E1C">
              <w:rPr>
                <w:rFonts w:cs="Arial"/>
                <w:szCs w:val="22"/>
              </w:rPr>
              <w:t xml:space="preserve">based on relative need taking into account </w:t>
            </w:r>
            <w:r w:rsidRPr="00445E1C">
              <w:t>access to other formal and informal support.</w:t>
            </w:r>
            <w:bookmarkEnd w:id="15"/>
            <w:bookmarkEnd w:id="16"/>
            <w:r w:rsidRPr="00445E1C">
              <w:t xml:space="preserve"> The need for services is assumed to vary according to the need for help with ADL, or AIL, or AWEC. Data on ADL, AIL and AWEC are self/carer identified, not based on formal clinical assessments of individual limitations. Other factors may also be important in determining relative need, such as the complexity of a service user’s needs in other activity areas.</w:t>
            </w:r>
          </w:p>
          <w:p w:rsidR="00A5229F" w:rsidRPr="00445E1C" w:rsidRDefault="00A5229F" w:rsidP="00A5229F">
            <w:pPr>
              <w:pStyle w:val="Box"/>
            </w:pPr>
            <w:r w:rsidRPr="00445E1C">
              <w:t>Data reported for this measure are:</w:t>
            </w:r>
          </w:p>
          <w:p w:rsidR="00A5229F" w:rsidRPr="00445E1C" w:rsidRDefault="00A5229F" w:rsidP="00A5229F">
            <w:pPr>
              <w:pStyle w:val="BoxListBullet"/>
              <w:keepLines/>
            </w:pPr>
            <w:r w:rsidRPr="00445E1C">
              <w:t xml:space="preserve">comparable (subject to caveats) across jurisdictions and over time </w:t>
            </w:r>
          </w:p>
          <w:p w:rsidR="00A5229F" w:rsidRPr="00445E1C" w:rsidRDefault="00A5229F" w:rsidP="00A5229F">
            <w:pPr>
              <w:pStyle w:val="BoxListBullet"/>
              <w:keepLines/>
            </w:pPr>
            <w:proofErr w:type="gramStart"/>
            <w:r w:rsidRPr="00445E1C">
              <w:t>complete</w:t>
            </w:r>
            <w:proofErr w:type="gramEnd"/>
            <w:r w:rsidRPr="00445E1C">
              <w:t xml:space="preserve"> (subject to caveats) for the current reporting period. All required </w:t>
            </w:r>
            <w:r w:rsidR="00C21DBC" w:rsidRPr="00445E1C">
              <w:t>2012</w:t>
            </w:r>
            <w:r w:rsidR="00B84AF2">
              <w:noBreakHyphen/>
            </w:r>
            <w:r w:rsidR="00C21DBC" w:rsidRPr="00445E1C">
              <w:t>13</w:t>
            </w:r>
            <w:r w:rsidRPr="00445E1C">
              <w:t xml:space="preserve"> data are available for all jurisdictions.</w:t>
            </w:r>
          </w:p>
          <w:p w:rsidR="00A5229F" w:rsidRPr="00445E1C" w:rsidRDefault="00802A7D" w:rsidP="002C3181">
            <w:pPr>
              <w:pStyle w:val="Box"/>
            </w:pPr>
            <w:r w:rsidRPr="00445E1C">
              <w:t>Data quality information for this indicator</w:t>
            </w:r>
            <w:r w:rsidR="0028432F">
              <w:t xml:space="preserve"> is at www.pc.gov.au</w:t>
            </w:r>
            <w:r w:rsidRPr="00445E1C">
              <w:t>/rogs/2015.</w:t>
            </w:r>
          </w:p>
        </w:tc>
      </w:tr>
      <w:tr w:rsidR="00A5229F" w:rsidRPr="00445E1C" w:rsidTr="00C827D5">
        <w:trPr>
          <w:cantSplit/>
        </w:trPr>
        <w:tc>
          <w:tcPr>
            <w:tcW w:w="8771" w:type="dxa"/>
            <w:tcBorders>
              <w:top w:val="nil"/>
              <w:left w:val="nil"/>
              <w:bottom w:val="single" w:sz="6" w:space="0" w:color="78A22F"/>
              <w:right w:val="nil"/>
            </w:tcBorders>
            <w:shd w:val="clear" w:color="auto" w:fill="F2F2F2"/>
          </w:tcPr>
          <w:p w:rsidR="00A5229F" w:rsidRPr="00445E1C" w:rsidRDefault="00A5229F">
            <w:pPr>
              <w:pStyle w:val="Box"/>
              <w:spacing w:before="0" w:line="120" w:lineRule="exact"/>
            </w:pPr>
          </w:p>
        </w:tc>
      </w:tr>
      <w:tr w:rsidR="00A5229F" w:rsidRPr="00445E1C" w:rsidTr="00C827D5">
        <w:tc>
          <w:tcPr>
            <w:tcW w:w="8771" w:type="dxa"/>
            <w:tcBorders>
              <w:top w:val="single" w:sz="6" w:space="0" w:color="78A22F"/>
              <w:left w:val="nil"/>
              <w:bottom w:val="nil"/>
              <w:right w:val="nil"/>
            </w:tcBorders>
          </w:tcPr>
          <w:p w:rsidR="00A5229F" w:rsidRPr="00445E1C" w:rsidRDefault="00A5229F" w:rsidP="00C827D5">
            <w:pPr>
              <w:pStyle w:val="BoxSpaceBelow"/>
            </w:pPr>
          </w:p>
        </w:tc>
      </w:tr>
    </w:tbl>
    <w:p w:rsidR="001F39F2" w:rsidRPr="00402B1D" w:rsidRDefault="001F39F2" w:rsidP="00A5229F">
      <w:pPr>
        <w:pStyle w:val="BodyText"/>
      </w:pPr>
      <w:r w:rsidRPr="00A5229F">
        <w:br w:type="page"/>
      </w:r>
      <w:r w:rsidRPr="00402B1D">
        <w:lastRenderedPageBreak/>
        <w:t xml:space="preserve">Nationally, in </w:t>
      </w:r>
      <w:r w:rsidR="00A5229F" w:rsidRPr="00402B1D">
        <w:t>2012</w:t>
      </w:r>
      <w:r w:rsidR="00B84AF2">
        <w:noBreakHyphen/>
      </w:r>
      <w:r w:rsidR="00A5229F" w:rsidRPr="00402B1D">
        <w:t>13</w:t>
      </w:r>
      <w:r w:rsidRPr="00402B1D">
        <w:t>:</w:t>
      </w:r>
    </w:p>
    <w:p w:rsidR="001F39F2" w:rsidRPr="00402B1D" w:rsidRDefault="005E126E" w:rsidP="00585E2C">
      <w:pPr>
        <w:pStyle w:val="ListBullet"/>
        <w:spacing w:before="80"/>
      </w:pPr>
      <w:r>
        <w:t>83.5</w:t>
      </w:r>
      <w:r w:rsidR="001F39F2" w:rsidRPr="00402B1D">
        <w:t xml:space="preserve"> per cent of users of NDA accommodation support services needed help with ADL, </w:t>
      </w:r>
      <w:r>
        <w:t>10.1</w:t>
      </w:r>
      <w:r w:rsidR="001F39F2" w:rsidRPr="00402B1D">
        <w:t xml:space="preserve"> per cent required assistance with AIL or AWEC but not with ADL, </w:t>
      </w:r>
      <w:r>
        <w:t>1.7</w:t>
      </w:r>
      <w:r w:rsidR="001F39F2" w:rsidRPr="00402B1D">
        <w:t xml:space="preserve"> per cent did not report need for any assistance in major life areas and for </w:t>
      </w:r>
      <w:r>
        <w:t>4.7</w:t>
      </w:r>
      <w:r w:rsidR="001F39F2" w:rsidRPr="00402B1D">
        <w:t> per cent information on need for assistance was not collected/not stated (figure 14.1</w:t>
      </w:r>
      <w:r w:rsidR="002C3181" w:rsidRPr="00402B1D">
        <w:t>6</w:t>
      </w:r>
      <w:r w:rsidR="001F39F2" w:rsidRPr="00402B1D">
        <w:t>a)</w:t>
      </w:r>
    </w:p>
    <w:p w:rsidR="001F39F2" w:rsidRPr="00402B1D" w:rsidRDefault="005E126E" w:rsidP="00585E2C">
      <w:pPr>
        <w:pStyle w:val="ListBullet"/>
        <w:spacing w:before="80"/>
      </w:pPr>
      <w:r>
        <w:t>71.6</w:t>
      </w:r>
      <w:r w:rsidR="0019455A">
        <w:t xml:space="preserve"> </w:t>
      </w:r>
      <w:r w:rsidR="001F39F2" w:rsidRPr="00402B1D">
        <w:t xml:space="preserve">per cent of users of NDA community support services needed help with ADL, </w:t>
      </w:r>
      <w:r>
        <w:t>6.6</w:t>
      </w:r>
      <w:r w:rsidR="00795979">
        <w:t> </w:t>
      </w:r>
      <w:r w:rsidR="001F39F2" w:rsidRPr="00402B1D">
        <w:t xml:space="preserve">per cent required assistance with AIL or AWEC but not with ADL, </w:t>
      </w:r>
      <w:r>
        <w:t>2.1</w:t>
      </w:r>
      <w:r w:rsidR="001F39F2" w:rsidRPr="00402B1D">
        <w:t xml:space="preserve"> per cent did not report need for any assistance in major life areas and for </w:t>
      </w:r>
      <w:r>
        <w:t>19.7</w:t>
      </w:r>
      <w:r w:rsidR="001F39F2" w:rsidRPr="00402B1D">
        <w:t> per cent information on need for assistance was not collected/not stated (figure</w:t>
      </w:r>
      <w:r w:rsidR="00AE3578">
        <w:t> </w:t>
      </w:r>
      <w:r w:rsidR="001F39F2" w:rsidRPr="00402B1D">
        <w:t>14.1</w:t>
      </w:r>
      <w:r w:rsidR="002C3181" w:rsidRPr="00402B1D">
        <w:t>6</w:t>
      </w:r>
      <w:r w:rsidR="001F39F2" w:rsidRPr="00402B1D">
        <w:t>b)</w:t>
      </w:r>
    </w:p>
    <w:p w:rsidR="001F39F2" w:rsidRPr="00402B1D" w:rsidRDefault="005E126E" w:rsidP="00585E2C">
      <w:pPr>
        <w:pStyle w:val="ListBullet"/>
        <w:spacing w:before="80"/>
      </w:pPr>
      <w:r>
        <w:t>68.7</w:t>
      </w:r>
      <w:r w:rsidR="0019455A">
        <w:t xml:space="preserve"> </w:t>
      </w:r>
      <w:r w:rsidR="001F39F2" w:rsidRPr="00402B1D">
        <w:t xml:space="preserve">per cent of users of NDA community access services needed help with ADL, </w:t>
      </w:r>
      <w:r>
        <w:t>9.0</w:t>
      </w:r>
      <w:r w:rsidR="00795979">
        <w:t> </w:t>
      </w:r>
      <w:r w:rsidR="001F39F2" w:rsidRPr="00402B1D">
        <w:t xml:space="preserve">per cent required assistance with AIL or AWEC but not with ADL, </w:t>
      </w:r>
      <w:r>
        <w:t>3.8</w:t>
      </w:r>
      <w:r w:rsidR="00832519" w:rsidRPr="00402B1D">
        <w:t xml:space="preserve"> </w:t>
      </w:r>
      <w:r w:rsidR="001F39F2" w:rsidRPr="00402B1D">
        <w:t xml:space="preserve">per cent did not report need for any assistance in major life areas and for </w:t>
      </w:r>
      <w:r>
        <w:t>18.5</w:t>
      </w:r>
      <w:r w:rsidR="001F39F2" w:rsidRPr="00402B1D">
        <w:t> per cent information on need for assistance was not collected/not stated (figure</w:t>
      </w:r>
      <w:r w:rsidR="00AE3578">
        <w:t> </w:t>
      </w:r>
      <w:r w:rsidR="001F39F2" w:rsidRPr="00402B1D">
        <w:t>14.1</w:t>
      </w:r>
      <w:r w:rsidR="002C3181" w:rsidRPr="00402B1D">
        <w:t>6</w:t>
      </w:r>
      <w:r w:rsidR="001F39F2" w:rsidRPr="00402B1D">
        <w:t>c)</w:t>
      </w:r>
    </w:p>
    <w:p w:rsidR="001F39F2" w:rsidRPr="00402B1D" w:rsidRDefault="007041C8" w:rsidP="00585E2C">
      <w:pPr>
        <w:pStyle w:val="ListBullet"/>
        <w:spacing w:before="80"/>
      </w:pPr>
      <w:r>
        <w:t>82.0</w:t>
      </w:r>
      <w:r w:rsidR="006F31FA" w:rsidRPr="00402B1D">
        <w:t xml:space="preserve"> </w:t>
      </w:r>
      <w:r w:rsidR="001F39F2" w:rsidRPr="00402B1D">
        <w:t xml:space="preserve">per cent of users of NDA respite services needed help with ADL, </w:t>
      </w:r>
      <w:r>
        <w:t xml:space="preserve">6.1 </w:t>
      </w:r>
      <w:r w:rsidR="001F39F2" w:rsidRPr="00402B1D">
        <w:t>per</w:t>
      </w:r>
      <w:r w:rsidR="00821EB3" w:rsidRPr="00402B1D">
        <w:t> </w:t>
      </w:r>
      <w:r w:rsidR="001F39F2" w:rsidRPr="00402B1D">
        <w:t xml:space="preserve">cent required assistance with AIL or AWEC but not with ADL, </w:t>
      </w:r>
      <w:r>
        <w:t>0.9</w:t>
      </w:r>
      <w:r w:rsidR="00821EB3" w:rsidRPr="00402B1D">
        <w:t> </w:t>
      </w:r>
      <w:r w:rsidR="001F39F2" w:rsidRPr="00402B1D">
        <w:t>per</w:t>
      </w:r>
      <w:r w:rsidR="00821EB3" w:rsidRPr="00402B1D">
        <w:t> </w:t>
      </w:r>
      <w:r w:rsidR="001F39F2" w:rsidRPr="00402B1D">
        <w:t xml:space="preserve">cent did not report need for any assistance in major life areas and for </w:t>
      </w:r>
      <w:r>
        <w:t>11.0</w:t>
      </w:r>
      <w:r w:rsidR="001F39F2" w:rsidRPr="00402B1D">
        <w:t> per cent information on need for assistance was not collected/not stated (figure</w:t>
      </w:r>
      <w:r w:rsidR="00AE3578">
        <w:t> </w:t>
      </w:r>
      <w:r w:rsidR="001F39F2" w:rsidRPr="00402B1D">
        <w:t>14.1</w:t>
      </w:r>
      <w:r w:rsidR="002C3181" w:rsidRPr="00402B1D">
        <w:t>6</w:t>
      </w:r>
      <w:r w:rsidR="001F39F2" w:rsidRPr="00402B1D">
        <w:t>d)</w:t>
      </w:r>
    </w:p>
    <w:p w:rsidR="001F39F2" w:rsidRPr="00402B1D" w:rsidRDefault="007041C8" w:rsidP="00585E2C">
      <w:pPr>
        <w:pStyle w:val="ListBullet"/>
        <w:spacing w:before="80"/>
      </w:pPr>
      <w:r>
        <w:t>37.4</w:t>
      </w:r>
      <w:r w:rsidR="0019455A">
        <w:t xml:space="preserve"> </w:t>
      </w:r>
      <w:r w:rsidR="001F39F2" w:rsidRPr="00402B1D">
        <w:t xml:space="preserve">per cent of users of NDA </w:t>
      </w:r>
      <w:r w:rsidR="00E110A8" w:rsidRPr="00402B1D">
        <w:t xml:space="preserve">open and supported </w:t>
      </w:r>
      <w:r w:rsidR="001F39F2" w:rsidRPr="00402B1D">
        <w:t xml:space="preserve">employment services needed help with ADL, </w:t>
      </w:r>
      <w:r>
        <w:t>25.6</w:t>
      </w:r>
      <w:r w:rsidR="00F93C35" w:rsidRPr="00402B1D">
        <w:t> </w:t>
      </w:r>
      <w:r w:rsidR="001F39F2" w:rsidRPr="00402B1D">
        <w:t>per cent required assistance with AIL or AWEC but not with ADL</w:t>
      </w:r>
      <w:r w:rsidR="00821EB3" w:rsidRPr="00402B1D">
        <w:t xml:space="preserve">, </w:t>
      </w:r>
      <w:r>
        <w:t>10.1</w:t>
      </w:r>
      <w:r w:rsidR="00821EB3" w:rsidRPr="00402B1D">
        <w:t> </w:t>
      </w:r>
      <w:r w:rsidR="001F39F2" w:rsidRPr="00402B1D">
        <w:t>per cent did not report need for any assistance in major life areas</w:t>
      </w:r>
      <w:r w:rsidR="00821EB3" w:rsidRPr="00402B1D">
        <w:t xml:space="preserve"> and for </w:t>
      </w:r>
      <w:r>
        <w:t>26.9</w:t>
      </w:r>
      <w:r w:rsidR="00795979">
        <w:t> </w:t>
      </w:r>
      <w:r w:rsidR="0094452E" w:rsidRPr="00402B1D">
        <w:t>per</w:t>
      </w:r>
      <w:r w:rsidR="00795979">
        <w:t> </w:t>
      </w:r>
      <w:r w:rsidR="0094452E" w:rsidRPr="00402B1D">
        <w:t xml:space="preserve">cent </w:t>
      </w:r>
      <w:r w:rsidR="00821EB3" w:rsidRPr="00402B1D">
        <w:t>information on need for assistance was not collected/not stated</w:t>
      </w:r>
      <w:r w:rsidR="001F39F2" w:rsidRPr="00402B1D">
        <w:t xml:space="preserve"> (figure</w:t>
      </w:r>
      <w:r w:rsidR="00821EB3" w:rsidRPr="00402B1D">
        <w:t> </w:t>
      </w:r>
      <w:r w:rsidR="001F39F2" w:rsidRPr="00402B1D">
        <w:t>14.1</w:t>
      </w:r>
      <w:r w:rsidR="002C3181" w:rsidRPr="00402B1D">
        <w:t>6</w:t>
      </w:r>
      <w:r w:rsidR="001F39F2" w:rsidRPr="00402B1D">
        <w:t>e).</w:t>
      </w:r>
    </w:p>
    <w:p w:rsidR="001F39F2" w:rsidRPr="00DE2F96" w:rsidRDefault="001F39F2" w:rsidP="00E3374A">
      <w:pPr>
        <w:pStyle w:val="BodyText"/>
      </w:pPr>
      <w:r w:rsidRPr="00402B1D">
        <w:t xml:space="preserve">Data on users of NDA specialist disability services </w:t>
      </w:r>
      <w:r w:rsidR="00CE5834" w:rsidRPr="00402B1D">
        <w:t>for people aged 0</w:t>
      </w:r>
      <w:r w:rsidR="00795979">
        <w:t>–</w:t>
      </w:r>
      <w:r w:rsidR="00CE5834" w:rsidRPr="00402B1D">
        <w:t xml:space="preserve">64 years </w:t>
      </w:r>
      <w:r w:rsidRPr="00402B1D">
        <w:t xml:space="preserve">as a proportion of the estimated potential population </w:t>
      </w:r>
      <w:r w:rsidR="009F5385" w:rsidRPr="00402B1D">
        <w:t>for 2007</w:t>
      </w:r>
      <w:r w:rsidR="00B84AF2">
        <w:noBreakHyphen/>
      </w:r>
      <w:r w:rsidR="009F5385" w:rsidRPr="00402B1D">
        <w:t xml:space="preserve">08 to </w:t>
      </w:r>
      <w:r w:rsidR="00DE2F96" w:rsidRPr="00402B1D">
        <w:t>2012</w:t>
      </w:r>
      <w:r w:rsidR="00B84AF2">
        <w:noBreakHyphen/>
      </w:r>
      <w:r w:rsidR="00DE2F96" w:rsidRPr="00402B1D">
        <w:t>13</w:t>
      </w:r>
      <w:r w:rsidR="009F5385" w:rsidRPr="00402B1D">
        <w:t xml:space="preserve"> </w:t>
      </w:r>
      <w:r w:rsidRPr="00402B1D">
        <w:t>are also available (tables</w:t>
      </w:r>
      <w:r w:rsidR="00AE3578">
        <w:t> </w:t>
      </w:r>
      <w:r w:rsidRPr="00402B1D">
        <w:t>14A.</w:t>
      </w:r>
      <w:r w:rsidR="00683393" w:rsidRPr="00402B1D">
        <w:t>2</w:t>
      </w:r>
      <w:r w:rsidR="00683393">
        <w:t>5</w:t>
      </w:r>
      <w:r w:rsidRPr="00402B1D">
        <w:t>, 14A.</w:t>
      </w:r>
      <w:r w:rsidR="00683393" w:rsidRPr="00402B1D">
        <w:t>2</w:t>
      </w:r>
      <w:r w:rsidR="00683393">
        <w:t>7</w:t>
      </w:r>
      <w:r w:rsidRPr="00402B1D">
        <w:t>, 14A.</w:t>
      </w:r>
      <w:r w:rsidR="00683393" w:rsidRPr="00402B1D">
        <w:t>2</w:t>
      </w:r>
      <w:r w:rsidR="00683393">
        <w:t>9</w:t>
      </w:r>
      <w:r w:rsidRPr="00402B1D">
        <w:t>, 14A.</w:t>
      </w:r>
      <w:r w:rsidR="00683393">
        <w:t>31</w:t>
      </w:r>
      <w:r w:rsidRPr="00402B1D">
        <w:t xml:space="preserve">, </w:t>
      </w:r>
      <w:r w:rsidRPr="00A85575">
        <w:t>14A.</w:t>
      </w:r>
      <w:r w:rsidR="00683393" w:rsidRPr="00A85575">
        <w:t>3</w:t>
      </w:r>
      <w:r w:rsidR="00683393">
        <w:t>3</w:t>
      </w:r>
      <w:r w:rsidR="008876A1" w:rsidRPr="00A85575">
        <w:t>). Tables on users of NDA employment services for people aged 15–64 years as a proportion of the estimated potential population for 2007</w:t>
      </w:r>
      <w:r w:rsidR="00B84AF2">
        <w:noBreakHyphen/>
      </w:r>
      <w:r w:rsidR="008876A1" w:rsidRPr="00A85575">
        <w:t xml:space="preserve">08 </w:t>
      </w:r>
      <w:r w:rsidR="00A54DB5">
        <w:t>to 2012</w:t>
      </w:r>
      <w:r w:rsidR="00B84AF2">
        <w:noBreakHyphen/>
      </w:r>
      <w:r w:rsidR="00A54DB5">
        <w:t>13 are also available (</w:t>
      </w:r>
      <w:r w:rsidRPr="00A85575">
        <w:t>14A.</w:t>
      </w:r>
      <w:r w:rsidR="00683393" w:rsidRPr="00A85575">
        <w:t>3</w:t>
      </w:r>
      <w:r w:rsidR="00683393">
        <w:t>5</w:t>
      </w:r>
      <w:r w:rsidR="00B84AF2">
        <w:noBreakHyphen/>
      </w:r>
      <w:r w:rsidR="00683393" w:rsidRPr="00402B1D">
        <w:t>3</w:t>
      </w:r>
      <w:r w:rsidR="00683393">
        <w:t>6</w:t>
      </w:r>
      <w:r w:rsidRPr="00402B1D">
        <w:t>).</w:t>
      </w:r>
    </w:p>
    <w:p w:rsidR="00063660" w:rsidRDefault="00063660"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3660" w:rsidTr="00730EA6">
        <w:tc>
          <w:tcPr>
            <w:tcW w:w="8771" w:type="dxa"/>
            <w:tcBorders>
              <w:top w:val="single" w:sz="6" w:space="0" w:color="78A22F"/>
              <w:left w:val="nil"/>
              <w:bottom w:val="nil"/>
              <w:right w:val="nil"/>
            </w:tcBorders>
            <w:shd w:val="clear" w:color="auto" w:fill="auto"/>
          </w:tcPr>
          <w:p w:rsidR="00063660" w:rsidRPr="00176D3F" w:rsidRDefault="00063660" w:rsidP="0096382D">
            <w:pPr>
              <w:pStyle w:val="FigureTitle"/>
            </w:pPr>
            <w:r w:rsidRPr="00784A05">
              <w:rPr>
                <w:b w:val="0"/>
              </w:rPr>
              <w:t xml:space="preserve">Figure </w:t>
            </w:r>
            <w:r w:rsidR="00321568">
              <w:rPr>
                <w:b w:val="0"/>
              </w:rPr>
              <w:t>14.</w:t>
            </w:r>
            <w:r w:rsidR="0085284B">
              <w:rPr>
                <w:b w:val="0"/>
                <w:noProof/>
              </w:rPr>
              <w:t>16</w:t>
            </w:r>
            <w:r>
              <w:tab/>
            </w:r>
            <w:r w:rsidRPr="004C10F7">
              <w:t xml:space="preserve">Users of NDA specialist disability services, by need for help with </w:t>
            </w:r>
            <w:r w:rsidR="0096382D">
              <w:t>a</w:t>
            </w:r>
            <w:r w:rsidR="0096382D" w:rsidRPr="004C10F7">
              <w:t xml:space="preserve">ctivities </w:t>
            </w:r>
            <w:r w:rsidRPr="004C10F7">
              <w:t>201</w:t>
            </w:r>
            <w:r w:rsidR="004C10F7" w:rsidRPr="004C10F7">
              <w:t>2</w:t>
            </w:r>
            <w:r w:rsidR="00B84AF2">
              <w:noBreakHyphen/>
            </w:r>
            <w:r w:rsidR="004C10F7" w:rsidRPr="004C10F7">
              <w:t>13</w:t>
            </w:r>
            <w:r w:rsidR="00A54DB5">
              <w:rPr>
                <w:rStyle w:val="NoteLabel"/>
                <w:b/>
              </w:rPr>
              <w:t>a, b, c, d</w:t>
            </w:r>
          </w:p>
        </w:tc>
      </w:tr>
      <w:tr w:rsidR="0006366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063660" w:rsidTr="00730EA6">
              <w:trPr>
                <w:jc w:val="center"/>
              </w:trPr>
              <w:tc>
                <w:tcPr>
                  <w:tcW w:w="5000" w:type="pct"/>
                  <w:tcBorders>
                    <w:top w:val="nil"/>
                    <w:bottom w:val="nil"/>
                  </w:tcBorders>
                </w:tcPr>
                <w:p w:rsidR="00A84DD1" w:rsidRDefault="0072265E" w:rsidP="00A84DD1">
                  <w:pPr>
                    <w:pStyle w:val="Figure"/>
                  </w:pPr>
                  <w:r>
                    <w:rPr>
                      <w:noProof/>
                    </w:rPr>
                    <w:drawing>
                      <wp:inline distT="0" distB="0" distL="0" distR="0">
                        <wp:extent cx="2505075" cy="1981200"/>
                        <wp:effectExtent l="0" t="0" r="9525" b="0"/>
                        <wp:docPr id="16" name="Picture 16" descr="Figure 14.16 Users of NDA specialist disability services, by need for help with activities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05075" cy="1981200"/>
                                </a:xfrm>
                                <a:prstGeom prst="rect">
                                  <a:avLst/>
                                </a:prstGeom>
                                <a:noFill/>
                                <a:ln>
                                  <a:noFill/>
                                </a:ln>
                              </pic:spPr>
                            </pic:pic>
                          </a:graphicData>
                        </a:graphic>
                      </wp:inline>
                    </w:drawing>
                  </w:r>
                  <w:r>
                    <w:rPr>
                      <w:noProof/>
                    </w:rPr>
                    <w:drawing>
                      <wp:inline distT="0" distB="0" distL="0" distR="0">
                        <wp:extent cx="2505075" cy="1981200"/>
                        <wp:effectExtent l="0" t="0" r="9525" b="0"/>
                        <wp:docPr id="17" name="Picture 17" descr="Figure 14.16 Users of NDA specialist disability services, by need for help with activities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05075" cy="1981200"/>
                                </a:xfrm>
                                <a:prstGeom prst="rect">
                                  <a:avLst/>
                                </a:prstGeom>
                                <a:noFill/>
                                <a:ln>
                                  <a:noFill/>
                                </a:ln>
                              </pic:spPr>
                            </pic:pic>
                          </a:graphicData>
                        </a:graphic>
                      </wp:inline>
                    </w:drawing>
                  </w:r>
                </w:p>
                <w:p w:rsidR="00A84DD1" w:rsidRDefault="0072265E" w:rsidP="00A84DD1">
                  <w:pPr>
                    <w:pStyle w:val="Figure"/>
                  </w:pPr>
                  <w:r>
                    <w:rPr>
                      <w:noProof/>
                    </w:rPr>
                    <w:drawing>
                      <wp:inline distT="0" distB="0" distL="0" distR="0">
                        <wp:extent cx="2505075" cy="1981200"/>
                        <wp:effectExtent l="0" t="0" r="9525" b="0"/>
                        <wp:docPr id="18" name="Picture 18" descr="Figure 14.16 Users of NDA specialist disability services, by need for help with activities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05075" cy="1981200"/>
                                </a:xfrm>
                                <a:prstGeom prst="rect">
                                  <a:avLst/>
                                </a:prstGeom>
                                <a:noFill/>
                                <a:ln>
                                  <a:noFill/>
                                </a:ln>
                              </pic:spPr>
                            </pic:pic>
                          </a:graphicData>
                        </a:graphic>
                      </wp:inline>
                    </w:drawing>
                  </w:r>
                  <w:r>
                    <w:rPr>
                      <w:noProof/>
                    </w:rPr>
                    <w:drawing>
                      <wp:inline distT="0" distB="0" distL="0" distR="0">
                        <wp:extent cx="2505075" cy="1981200"/>
                        <wp:effectExtent l="0" t="0" r="9525" b="0"/>
                        <wp:docPr id="19" name="Picture 19" descr="Figure 14.16 Users of NDA specialist disability services, by need for help with activities 2012-13&#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05075" cy="1981200"/>
                                </a:xfrm>
                                <a:prstGeom prst="rect">
                                  <a:avLst/>
                                </a:prstGeom>
                                <a:noFill/>
                                <a:ln>
                                  <a:noFill/>
                                </a:ln>
                              </pic:spPr>
                            </pic:pic>
                          </a:graphicData>
                        </a:graphic>
                      </wp:inline>
                    </w:drawing>
                  </w:r>
                </w:p>
                <w:p w:rsidR="00601595" w:rsidRDefault="0072265E" w:rsidP="00430027">
                  <w:pPr>
                    <w:pStyle w:val="Figure"/>
                    <w:spacing w:before="60" w:after="60"/>
                  </w:pPr>
                  <w:r>
                    <w:rPr>
                      <w:noProof/>
                    </w:rPr>
                    <w:drawing>
                      <wp:inline distT="0" distB="0" distL="0" distR="0">
                        <wp:extent cx="2505075" cy="1981200"/>
                        <wp:effectExtent l="0" t="0" r="9525" b="0"/>
                        <wp:docPr id="20" name="Picture 20" descr="Figure 14.16 Users of NDA specialist disability services, by need for help with activities 2012-13&#10;&#10;(e) Employm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05075" cy="1981200"/>
                                </a:xfrm>
                                <a:prstGeom prst="rect">
                                  <a:avLst/>
                                </a:prstGeom>
                                <a:noFill/>
                                <a:ln>
                                  <a:noFill/>
                                </a:ln>
                              </pic:spPr>
                            </pic:pic>
                          </a:graphicData>
                        </a:graphic>
                      </wp:inline>
                    </w:drawing>
                  </w:r>
                  <w:r>
                    <w:rPr>
                      <w:noProof/>
                    </w:rPr>
                    <w:drawing>
                      <wp:inline distT="0" distB="0" distL="0" distR="0">
                        <wp:extent cx="5238750" cy="352425"/>
                        <wp:effectExtent l="0" t="0" r="0" b="9525"/>
                        <wp:docPr id="21" name="Picture 21" descr="Figure 14.16 Users of NDA specialist disability services, by need for help with activities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38750" cy="352425"/>
                                </a:xfrm>
                                <a:prstGeom prst="rect">
                                  <a:avLst/>
                                </a:prstGeom>
                                <a:noFill/>
                                <a:ln>
                                  <a:noFill/>
                                </a:ln>
                              </pic:spPr>
                            </pic:pic>
                          </a:graphicData>
                        </a:graphic>
                      </wp:inline>
                    </w:drawing>
                  </w:r>
                </w:p>
              </w:tc>
            </w:tr>
          </w:tbl>
          <w:p w:rsidR="00063660" w:rsidRDefault="00063660" w:rsidP="00730EA6">
            <w:pPr>
              <w:pStyle w:val="Figure"/>
            </w:pPr>
          </w:p>
        </w:tc>
      </w:tr>
      <w:tr w:rsidR="00063660" w:rsidRPr="00B865A9" w:rsidTr="00730EA6">
        <w:tc>
          <w:tcPr>
            <w:tcW w:w="8771" w:type="dxa"/>
            <w:tcBorders>
              <w:top w:val="nil"/>
              <w:left w:val="nil"/>
              <w:bottom w:val="nil"/>
              <w:right w:val="nil"/>
            </w:tcBorders>
            <w:shd w:val="clear" w:color="auto" w:fill="auto"/>
          </w:tcPr>
          <w:p w:rsidR="00063660" w:rsidRPr="00B865A9" w:rsidRDefault="00063660" w:rsidP="00A54DB5">
            <w:pPr>
              <w:pStyle w:val="Note"/>
              <w:keepNext/>
            </w:pPr>
            <w:proofErr w:type="gramStart"/>
            <w:r w:rsidRPr="00B865A9">
              <w:rPr>
                <w:rStyle w:val="NoteLabel"/>
              </w:rPr>
              <w:t>a</w:t>
            </w:r>
            <w:proofErr w:type="gramEnd"/>
            <w:r w:rsidRPr="00B865A9">
              <w:t xml:space="preserve"> Need for help with ADL relates to the level of support needed in self care, mobility and communication. It does not necessarily relate to the level of support needed to find or maintain employment or with other activities. </w:t>
            </w:r>
            <w:proofErr w:type="gramStart"/>
            <w:r w:rsidRPr="00B865A9">
              <w:rPr>
                <w:rStyle w:val="NoteLabel"/>
              </w:rPr>
              <w:t>b</w:t>
            </w:r>
            <w:proofErr w:type="gramEnd"/>
            <w:r w:rsidRPr="00B865A9">
              <w:t xml:space="preserve"> See tables</w:t>
            </w:r>
            <w:r w:rsidR="00AE3578">
              <w:t> </w:t>
            </w:r>
            <w:r w:rsidRPr="00B865A9">
              <w:t>14A.</w:t>
            </w:r>
            <w:r w:rsidR="00683393" w:rsidRPr="00B865A9">
              <w:t>2</w:t>
            </w:r>
            <w:r w:rsidR="00683393">
              <w:t>6</w:t>
            </w:r>
            <w:r w:rsidRPr="00B865A9">
              <w:t>, 14A.</w:t>
            </w:r>
            <w:r w:rsidR="00683393" w:rsidRPr="00B865A9">
              <w:t>2</w:t>
            </w:r>
            <w:r w:rsidR="00683393">
              <w:t>8</w:t>
            </w:r>
            <w:r w:rsidRPr="00B865A9">
              <w:t>, 14A.</w:t>
            </w:r>
            <w:r w:rsidR="00683393">
              <w:t>30</w:t>
            </w:r>
            <w:r w:rsidRPr="00B865A9">
              <w:t>, 14A.3</w:t>
            </w:r>
            <w:r w:rsidR="00683393">
              <w:t>2</w:t>
            </w:r>
            <w:r w:rsidRPr="00B865A9">
              <w:t xml:space="preserve"> and 14A.3</w:t>
            </w:r>
            <w:r w:rsidR="00683393">
              <w:t>4</w:t>
            </w:r>
            <w:r w:rsidRPr="00B865A9">
              <w:t xml:space="preserve"> for detailed notes about these data. </w:t>
            </w:r>
            <w:proofErr w:type="gramStart"/>
            <w:r w:rsidRPr="00B865A9">
              <w:rPr>
                <w:rStyle w:val="NoteLabel"/>
              </w:rPr>
              <w:t>c</w:t>
            </w:r>
            <w:proofErr w:type="gramEnd"/>
            <w:r w:rsidRPr="00B865A9">
              <w:t xml:space="preserve"> Data need to be interpreted with care due to factors affecting data quality. Section 14.6 contains further information on data quality issues. </w:t>
            </w:r>
            <w:proofErr w:type="gramStart"/>
            <w:r w:rsidRPr="00B865A9">
              <w:rPr>
                <w:rStyle w:val="NoteLabel"/>
              </w:rPr>
              <w:t>d</w:t>
            </w:r>
            <w:proofErr w:type="gramEnd"/>
            <w:r w:rsidRPr="00B865A9">
              <w:t xml:space="preserve"> Need help with AIL or AWEC does not include people who also need help with ADL.</w:t>
            </w:r>
          </w:p>
        </w:tc>
      </w:tr>
      <w:tr w:rsidR="00063660" w:rsidRPr="00B865A9" w:rsidTr="00730EA6">
        <w:tc>
          <w:tcPr>
            <w:tcW w:w="8771" w:type="dxa"/>
            <w:tcBorders>
              <w:top w:val="nil"/>
              <w:left w:val="nil"/>
              <w:bottom w:val="nil"/>
              <w:right w:val="nil"/>
            </w:tcBorders>
            <w:shd w:val="clear" w:color="auto" w:fill="auto"/>
          </w:tcPr>
          <w:p w:rsidR="00063660" w:rsidRPr="00B865A9" w:rsidRDefault="00063660" w:rsidP="00604140">
            <w:pPr>
              <w:pStyle w:val="Source"/>
            </w:pPr>
            <w:r w:rsidRPr="00B865A9">
              <w:rPr>
                <w:i/>
              </w:rPr>
              <w:t>Source</w:t>
            </w:r>
            <w:r w:rsidRPr="00B865A9">
              <w:t xml:space="preserve">: AIHW (unpublished) </w:t>
            </w:r>
            <w:r w:rsidR="00D221B0" w:rsidRPr="00D221B0">
              <w:rPr>
                <w:i/>
              </w:rPr>
              <w:t>DS NMDS 2012</w:t>
            </w:r>
            <w:r w:rsidR="00B84AF2">
              <w:rPr>
                <w:i/>
              </w:rPr>
              <w:noBreakHyphen/>
            </w:r>
            <w:r w:rsidR="00D221B0" w:rsidRPr="00D221B0">
              <w:rPr>
                <w:i/>
              </w:rPr>
              <w:t>13</w:t>
            </w:r>
            <w:r w:rsidRPr="00B865A9">
              <w:rPr>
                <w:szCs w:val="18"/>
              </w:rPr>
              <w:t xml:space="preserve">; </w:t>
            </w:r>
            <w:r w:rsidRPr="00B865A9">
              <w:t>tables</w:t>
            </w:r>
            <w:r w:rsidR="00AE3578">
              <w:t> </w:t>
            </w:r>
            <w:r w:rsidRPr="00B865A9">
              <w:t>14A.</w:t>
            </w:r>
            <w:r w:rsidR="00683393" w:rsidRPr="00B865A9">
              <w:t>2</w:t>
            </w:r>
            <w:r w:rsidR="00683393">
              <w:t>6</w:t>
            </w:r>
            <w:r w:rsidRPr="00B865A9">
              <w:t>, 14A.</w:t>
            </w:r>
            <w:r w:rsidR="00683393" w:rsidRPr="00B865A9">
              <w:t>2</w:t>
            </w:r>
            <w:r w:rsidR="00683393">
              <w:t>8</w:t>
            </w:r>
            <w:r w:rsidRPr="00B865A9">
              <w:t>, 14A.</w:t>
            </w:r>
            <w:r w:rsidR="00683393">
              <w:t>30</w:t>
            </w:r>
            <w:r w:rsidRPr="00B865A9">
              <w:t>, 14A.3</w:t>
            </w:r>
            <w:r w:rsidR="00683393">
              <w:t>2</w:t>
            </w:r>
            <w:r w:rsidRPr="00B865A9">
              <w:t xml:space="preserve"> and 14A.3</w:t>
            </w:r>
            <w:r w:rsidR="00683393">
              <w:t>4</w:t>
            </w:r>
            <w:r w:rsidRPr="00B865A9">
              <w:t>.</w:t>
            </w:r>
          </w:p>
        </w:tc>
      </w:tr>
      <w:tr w:rsidR="00063660" w:rsidTr="00730EA6">
        <w:tc>
          <w:tcPr>
            <w:tcW w:w="8771" w:type="dxa"/>
            <w:tcBorders>
              <w:top w:val="nil"/>
              <w:left w:val="nil"/>
              <w:bottom w:val="single" w:sz="6" w:space="0" w:color="78A22F"/>
              <w:right w:val="nil"/>
            </w:tcBorders>
            <w:shd w:val="clear" w:color="auto" w:fill="auto"/>
          </w:tcPr>
          <w:p w:rsidR="00063660" w:rsidRDefault="00063660" w:rsidP="00730EA6">
            <w:pPr>
              <w:pStyle w:val="Figurespace"/>
            </w:pPr>
          </w:p>
        </w:tc>
      </w:tr>
      <w:tr w:rsidR="00063660" w:rsidRPr="000863A5" w:rsidTr="00730EA6">
        <w:tc>
          <w:tcPr>
            <w:tcW w:w="8771" w:type="dxa"/>
            <w:tcBorders>
              <w:top w:val="single" w:sz="6" w:space="0" w:color="78A22F"/>
              <w:left w:val="nil"/>
              <w:bottom w:val="nil"/>
              <w:right w:val="nil"/>
            </w:tcBorders>
          </w:tcPr>
          <w:p w:rsidR="00063660" w:rsidRPr="00626D32" w:rsidRDefault="00063660" w:rsidP="00730EA6">
            <w:pPr>
              <w:pStyle w:val="BoxSpaceBelow"/>
            </w:pPr>
          </w:p>
        </w:tc>
      </w:tr>
    </w:tbl>
    <w:p w:rsidR="001F39F2" w:rsidRPr="00F25B51" w:rsidRDefault="001F39F2" w:rsidP="00585E2C">
      <w:pPr>
        <w:pStyle w:val="Heading5"/>
        <w:spacing w:before="400"/>
      </w:pPr>
      <w:r w:rsidRPr="00F25B51">
        <w:lastRenderedPageBreak/>
        <w:t xml:space="preserve">Service use by special needs groups </w:t>
      </w:r>
    </w:p>
    <w:p w:rsidR="001F39F2" w:rsidRDefault="001F39F2" w:rsidP="00585E2C">
      <w:pPr>
        <w:pStyle w:val="BodyText"/>
      </w:pPr>
      <w:r w:rsidRPr="00F25B51">
        <w:t>‘Service use by special needs groups’ is an indicator of governments’ objective that access to services should be equitable for all members of the community and provided on the basis of relative need (box</w:t>
      </w:r>
      <w:r w:rsidR="00AE3578">
        <w:t> </w:t>
      </w:r>
      <w:r w:rsidRPr="00F25B51">
        <w:t>14.</w:t>
      </w:r>
      <w:r w:rsidR="00717CE1" w:rsidRPr="00F25B51">
        <w:t>9</w:t>
      </w:r>
      <w:r w:rsidRPr="00F25B51">
        <w:t xml:space="preserve">). </w:t>
      </w:r>
      <w:r w:rsidR="00F93C35" w:rsidRPr="00F25B51">
        <w:t>This indicator</w:t>
      </w:r>
      <w:r w:rsidRPr="00F25B51">
        <w:t xml:space="preserve"> compares access for people from special needs groups with access for people from outside the special needs group</w:t>
      </w:r>
      <w:r w:rsidR="003D0CDC">
        <w:t>.</w:t>
      </w:r>
    </w:p>
    <w:p w:rsidR="00A5229F" w:rsidRDefault="00A522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229F" w:rsidTr="00C827D5">
        <w:tc>
          <w:tcPr>
            <w:tcW w:w="8771" w:type="dxa"/>
            <w:tcBorders>
              <w:top w:val="single" w:sz="6" w:space="0" w:color="78A22F"/>
              <w:left w:val="nil"/>
              <w:bottom w:val="nil"/>
              <w:right w:val="nil"/>
            </w:tcBorders>
            <w:shd w:val="clear" w:color="auto" w:fill="F2F2F2"/>
          </w:tcPr>
          <w:p w:rsidR="00A5229F" w:rsidRDefault="00A5229F">
            <w:pPr>
              <w:pStyle w:val="BoxTitle"/>
            </w:pPr>
            <w:r>
              <w:rPr>
                <w:b w:val="0"/>
              </w:rPr>
              <w:t xml:space="preserve">Box </w:t>
            </w:r>
            <w:r w:rsidR="00321568">
              <w:rPr>
                <w:b w:val="0"/>
              </w:rPr>
              <w:t>14.</w:t>
            </w:r>
            <w:r w:rsidR="0085284B">
              <w:rPr>
                <w:b w:val="0"/>
                <w:noProof/>
              </w:rPr>
              <w:t>9</w:t>
            </w:r>
            <w:r>
              <w:tab/>
            </w:r>
            <w:r w:rsidRPr="00A5229F">
              <w:t>Service use by special needs groups</w:t>
            </w:r>
          </w:p>
        </w:tc>
      </w:tr>
      <w:tr w:rsidR="00A5229F" w:rsidTr="00C827D5">
        <w:trPr>
          <w:cantSplit/>
        </w:trPr>
        <w:tc>
          <w:tcPr>
            <w:tcW w:w="8771" w:type="dxa"/>
            <w:tcBorders>
              <w:top w:val="nil"/>
              <w:left w:val="nil"/>
              <w:bottom w:val="nil"/>
              <w:right w:val="nil"/>
            </w:tcBorders>
            <w:shd w:val="clear" w:color="auto" w:fill="F2F2F2"/>
          </w:tcPr>
          <w:p w:rsidR="00A5229F" w:rsidRPr="004C10F7" w:rsidRDefault="00A5229F" w:rsidP="00A5229F">
            <w:pPr>
              <w:pStyle w:val="Box"/>
            </w:pPr>
            <w:r w:rsidRPr="004C10F7">
              <w:t xml:space="preserve">‘Service use by special needs groups’ is defined by two measures: </w:t>
            </w:r>
          </w:p>
          <w:p w:rsidR="00A5229F" w:rsidRPr="004C10F7" w:rsidRDefault="00A5229F" w:rsidP="00A5229F">
            <w:pPr>
              <w:pStyle w:val="BoxListBullet"/>
            </w:pPr>
            <w:r w:rsidRPr="004C10F7">
              <w:t xml:space="preserve">the proportion of service users per 1000 total population in a particular special needs group, compared with the proportion of service users per 1000 total population outside the special needs group </w:t>
            </w:r>
          </w:p>
          <w:p w:rsidR="00A5229F" w:rsidRPr="004C10F7" w:rsidRDefault="00A5229F" w:rsidP="00A5229F">
            <w:pPr>
              <w:pStyle w:val="BoxListBullet"/>
            </w:pPr>
            <w:r w:rsidRPr="004C10F7">
              <w:t>the proportion of service users per 1000 potential population in a particular special needs group, compared with the proportion of service users per 1000 potential population outside the special needs group.</w:t>
            </w:r>
          </w:p>
          <w:p w:rsidR="00A5229F" w:rsidRPr="000D3220" w:rsidRDefault="00A5229F" w:rsidP="00A5229F">
            <w:pPr>
              <w:pStyle w:val="Box"/>
            </w:pPr>
            <w:r w:rsidRPr="000D3220">
              <w:t xml:space="preserve">Both measures are reported for accommodation support, community support, </w:t>
            </w:r>
            <w:proofErr w:type="gramStart"/>
            <w:r w:rsidRPr="000D3220">
              <w:t>community</w:t>
            </w:r>
            <w:proofErr w:type="gramEnd"/>
            <w:r w:rsidRPr="000D3220">
              <w:t xml:space="preserve"> access and employment services. For respite services, data are reported </w:t>
            </w:r>
            <w:r w:rsidRPr="000D3220">
              <w:br/>
              <w:t xml:space="preserve">per 1000 total population only, due to data limitations. </w:t>
            </w:r>
          </w:p>
          <w:p w:rsidR="00A5229F" w:rsidRPr="000D3220" w:rsidRDefault="00A5229F" w:rsidP="00A5229F">
            <w:pPr>
              <w:pStyle w:val="Box"/>
            </w:pPr>
            <w:r w:rsidRPr="000D3220">
              <w:t>Data are reported for three special needs groups:</w:t>
            </w:r>
          </w:p>
          <w:p w:rsidR="00A5229F" w:rsidRPr="000D3220" w:rsidRDefault="00A5229F" w:rsidP="00A5229F">
            <w:pPr>
              <w:pStyle w:val="BoxListBullet"/>
              <w:keepLines/>
            </w:pPr>
            <w:r w:rsidRPr="000D3220">
              <w:t xml:space="preserve">people from outer regional and remote/very remote locations </w:t>
            </w:r>
          </w:p>
          <w:p w:rsidR="00A5229F" w:rsidRPr="000D3220" w:rsidRDefault="00A5229F" w:rsidP="00A5229F">
            <w:pPr>
              <w:pStyle w:val="BoxListBullet"/>
              <w:keepLines/>
            </w:pPr>
            <w:r w:rsidRPr="000D3220">
              <w:t xml:space="preserve">people identified as Aboriginal and Torres Strait </w:t>
            </w:r>
            <w:r w:rsidR="00C21DBC">
              <w:t xml:space="preserve">Islander </w:t>
            </w:r>
            <w:r w:rsidR="00021B2E">
              <w:t>Australians</w:t>
            </w:r>
          </w:p>
          <w:p w:rsidR="00A5229F" w:rsidRPr="000D3220" w:rsidRDefault="00A5229F" w:rsidP="00A5229F">
            <w:pPr>
              <w:pStyle w:val="BoxListBullet"/>
              <w:keepLines/>
            </w:pPr>
            <w:proofErr w:type="gramStart"/>
            <w:r w:rsidRPr="000D3220">
              <w:t>people</w:t>
            </w:r>
            <w:proofErr w:type="gramEnd"/>
            <w:r w:rsidRPr="000D3220">
              <w:t xml:space="preserve"> who were born in</w:t>
            </w:r>
            <w:r w:rsidR="00795979">
              <w:t xml:space="preserve"> a non</w:t>
            </w:r>
            <w:r w:rsidR="00B84AF2">
              <w:noBreakHyphen/>
            </w:r>
            <w:r w:rsidR="00795979">
              <w:t>English speaking country</w:t>
            </w:r>
            <w:r w:rsidR="003D0CDC">
              <w:t>.</w:t>
            </w:r>
          </w:p>
          <w:p w:rsidR="00A5229F" w:rsidRPr="000D3220" w:rsidRDefault="00A5229F" w:rsidP="00A5229F">
            <w:pPr>
              <w:pStyle w:val="Box"/>
            </w:pPr>
            <w:r w:rsidRPr="000D3220">
              <w:t xml:space="preserve">For both measures, while a lower proportion can indicate reduced access for a special needs group, it can also represent strong alternative informal support networks (and a consequent lower level of otherwise unmet need), or a lower tendency of people in a special needs group to choose to access NDA specialist disability services. Similarly, a higher proportion can suggest poor service </w:t>
            </w:r>
            <w:proofErr w:type="gramStart"/>
            <w:r w:rsidRPr="000D3220">
              <w:t>targeting,</w:t>
            </w:r>
            <w:proofErr w:type="gramEnd"/>
            <w:r w:rsidRPr="000D3220">
              <w:t xml:space="preserve"> the lack of alternative informal support networks or a greater tendency of people in a special needs group to choose to access NDA specialist disability services. For the measure that compares access per 1000 population, significant differences in access can also reflect the special needs group having a higher/lower prevalence of disability. </w:t>
            </w:r>
          </w:p>
          <w:p w:rsidR="00A5229F" w:rsidRPr="000D3220" w:rsidRDefault="00A5229F" w:rsidP="00A5229F">
            <w:pPr>
              <w:pStyle w:val="Box"/>
            </w:pPr>
            <w:r w:rsidRPr="000D3220">
              <w:t>This indicator does</w:t>
            </w:r>
            <w:r w:rsidRPr="000D3220" w:rsidDel="00217352">
              <w:t xml:space="preserve"> </w:t>
            </w:r>
            <w:r w:rsidRPr="000D3220">
              <w:t xml:space="preserve">not provide information on whether the services are appropriate for the needs of the people receiving them, or correctly targeted </w:t>
            </w:r>
            <w:r w:rsidRPr="000D3220">
              <w:rPr>
                <w:rFonts w:cs="Arial"/>
                <w:szCs w:val="22"/>
              </w:rPr>
              <w:t>on the basis of relative need</w:t>
            </w:r>
            <w:r w:rsidRPr="000D3220">
              <w:t xml:space="preserve">. The indicator does not take into account differences in the level of informal assistance that is available for people in special needs groups and outside the special needs groups. Results for outer regional and remote/very remote users of accommodation support services, for example, should be considered with </w:t>
            </w:r>
            <w:proofErr w:type="gramStart"/>
            <w:r w:rsidRPr="000D3220">
              <w:t>care,</w:t>
            </w:r>
            <w:proofErr w:type="gramEnd"/>
            <w:r w:rsidRPr="000D3220">
              <w:t xml:space="preserve"> </w:t>
            </w:r>
            <w:r w:rsidR="00795979" w:rsidRPr="000D3220">
              <w:t>because alternatives to government funded accommodation support services are likely to be more readily available in these areas</w:t>
            </w:r>
            <w:r w:rsidR="00905166">
              <w:t>.</w:t>
            </w:r>
          </w:p>
          <w:p w:rsidR="00A5229F" w:rsidRDefault="00A5229F" w:rsidP="00610020">
            <w:pPr>
              <w:pStyle w:val="Continued"/>
            </w:pPr>
            <w:r>
              <w:t>(</w:t>
            </w:r>
            <w:r w:rsidR="00610020">
              <w:t>C</w:t>
            </w:r>
            <w:r>
              <w:t>ontinued next page)</w:t>
            </w:r>
          </w:p>
        </w:tc>
      </w:tr>
      <w:tr w:rsidR="00A5229F" w:rsidTr="00C827D5">
        <w:trPr>
          <w:cantSplit/>
        </w:trPr>
        <w:tc>
          <w:tcPr>
            <w:tcW w:w="8771" w:type="dxa"/>
            <w:tcBorders>
              <w:top w:val="nil"/>
              <w:left w:val="nil"/>
              <w:bottom w:val="single" w:sz="6" w:space="0" w:color="78A22F"/>
              <w:right w:val="nil"/>
            </w:tcBorders>
            <w:shd w:val="clear" w:color="auto" w:fill="F2F2F2"/>
          </w:tcPr>
          <w:p w:rsidR="00A5229F" w:rsidRDefault="00A5229F">
            <w:pPr>
              <w:pStyle w:val="Box"/>
              <w:spacing w:before="0" w:line="120" w:lineRule="exact"/>
            </w:pPr>
          </w:p>
        </w:tc>
      </w:tr>
      <w:tr w:rsidR="00A5229F" w:rsidRPr="000863A5" w:rsidTr="00C827D5">
        <w:tc>
          <w:tcPr>
            <w:tcW w:w="8771" w:type="dxa"/>
            <w:tcBorders>
              <w:top w:val="single" w:sz="6" w:space="0" w:color="78A22F"/>
              <w:left w:val="nil"/>
              <w:bottom w:val="nil"/>
              <w:right w:val="nil"/>
            </w:tcBorders>
          </w:tcPr>
          <w:p w:rsidR="00A5229F" w:rsidRPr="00626D32" w:rsidRDefault="00A5229F" w:rsidP="00C827D5">
            <w:pPr>
              <w:pStyle w:val="BoxSpaceBelow"/>
            </w:pPr>
          </w:p>
        </w:tc>
      </w:tr>
    </w:tbl>
    <w:p w:rsidR="00A5229F" w:rsidRDefault="00A522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229F" w:rsidTr="00C827D5">
        <w:tc>
          <w:tcPr>
            <w:tcW w:w="8771" w:type="dxa"/>
            <w:tcBorders>
              <w:top w:val="single" w:sz="6" w:space="0" w:color="78A22F"/>
              <w:left w:val="nil"/>
              <w:bottom w:val="nil"/>
              <w:right w:val="nil"/>
            </w:tcBorders>
            <w:shd w:val="clear" w:color="auto" w:fill="F2F2F2"/>
          </w:tcPr>
          <w:p w:rsidR="00A5229F" w:rsidRDefault="00A5229F" w:rsidP="00795979">
            <w:pPr>
              <w:pStyle w:val="BoxTitle"/>
            </w:pPr>
            <w:r>
              <w:rPr>
                <w:b w:val="0"/>
              </w:rPr>
              <w:t xml:space="preserve">Box </w:t>
            </w:r>
            <w:r w:rsidR="00321568">
              <w:rPr>
                <w:b w:val="0"/>
              </w:rPr>
              <w:t>14.</w:t>
            </w:r>
            <w:r w:rsidR="00795979">
              <w:rPr>
                <w:b w:val="0"/>
              </w:rPr>
              <w:t>9</w:t>
            </w:r>
            <w:r>
              <w:tab/>
            </w:r>
            <w:r w:rsidR="00610020" w:rsidRPr="00E373DF">
              <w:rPr>
                <w:rStyle w:val="ContinuedChar"/>
              </w:rPr>
              <w:t>(</w:t>
            </w:r>
            <w:r w:rsidRPr="00E373DF">
              <w:rPr>
                <w:rStyle w:val="ContinuedChar"/>
              </w:rPr>
              <w:t>continued</w:t>
            </w:r>
            <w:r w:rsidR="00610020" w:rsidRPr="00E373DF">
              <w:rPr>
                <w:rStyle w:val="ContinuedChar"/>
              </w:rPr>
              <w:t>)</w:t>
            </w:r>
          </w:p>
        </w:tc>
      </w:tr>
      <w:tr w:rsidR="00A5229F" w:rsidTr="00C827D5">
        <w:trPr>
          <w:cantSplit/>
        </w:trPr>
        <w:tc>
          <w:tcPr>
            <w:tcW w:w="8771" w:type="dxa"/>
            <w:tcBorders>
              <w:top w:val="nil"/>
              <w:left w:val="nil"/>
              <w:bottom w:val="nil"/>
              <w:right w:val="nil"/>
            </w:tcBorders>
            <w:shd w:val="clear" w:color="auto" w:fill="F2F2F2"/>
          </w:tcPr>
          <w:p w:rsidR="00905166" w:rsidRPr="000D3220" w:rsidRDefault="00905166" w:rsidP="00905166">
            <w:pPr>
              <w:pStyle w:val="Box"/>
            </w:pPr>
            <w:r w:rsidRPr="000D3220">
              <w:t>This is because accommodation support services in outer regional and remote/very remote areas are largely provided informally, making use of local area coordinators and local community resources.</w:t>
            </w:r>
          </w:p>
          <w:p w:rsidR="00A5229F" w:rsidRPr="000D3220" w:rsidRDefault="00A5229F" w:rsidP="00A5229F">
            <w:pPr>
              <w:pStyle w:val="Box"/>
            </w:pPr>
            <w:r w:rsidRPr="000D3220">
              <w:t>Data reported for this measure are:</w:t>
            </w:r>
          </w:p>
          <w:p w:rsidR="00A5229F" w:rsidRPr="001A0CA8" w:rsidRDefault="00A5229F" w:rsidP="00A5229F">
            <w:pPr>
              <w:pStyle w:val="BoxListBullet"/>
              <w:keepLines/>
            </w:pPr>
            <w:r w:rsidRPr="00417B0B">
              <w:t>compa</w:t>
            </w:r>
            <w:r w:rsidRPr="001A0CA8">
              <w:t xml:space="preserve">rable (subject to caveats) across jurisdictions and over time </w:t>
            </w:r>
          </w:p>
          <w:p w:rsidR="00A5229F" w:rsidRPr="00795979" w:rsidRDefault="00A5229F" w:rsidP="00A5229F">
            <w:pPr>
              <w:pStyle w:val="BoxListBullet"/>
              <w:keepLines/>
            </w:pPr>
            <w:proofErr w:type="gramStart"/>
            <w:r w:rsidRPr="001A0CA8">
              <w:t>complete</w:t>
            </w:r>
            <w:proofErr w:type="gramEnd"/>
            <w:r w:rsidRPr="001A0CA8">
              <w:t xml:space="preserve"> (subject to caveats) for the current reporting period. </w:t>
            </w:r>
            <w:r w:rsidRPr="00417B0B">
              <w:t xml:space="preserve">All required </w:t>
            </w:r>
            <w:r w:rsidR="000D3220" w:rsidRPr="001A0CA8">
              <w:t>2012</w:t>
            </w:r>
            <w:r w:rsidR="00B84AF2">
              <w:noBreakHyphen/>
            </w:r>
            <w:r w:rsidR="000D3220" w:rsidRPr="001A0CA8">
              <w:t>13</w:t>
            </w:r>
            <w:r w:rsidR="001A0CA8">
              <w:t xml:space="preserve"> </w:t>
            </w:r>
            <w:r w:rsidRPr="00417B0B">
              <w:t>data are available for all jurisdictions.</w:t>
            </w:r>
          </w:p>
          <w:p w:rsidR="00A5229F" w:rsidRDefault="00802A7D" w:rsidP="000D3220">
            <w:pPr>
              <w:pStyle w:val="Box"/>
            </w:pPr>
            <w:r w:rsidRPr="00802A7D">
              <w:t>Data quality information for this indicator</w:t>
            </w:r>
            <w:r w:rsidR="0028432F">
              <w:t xml:space="preserve"> is at www.pc.gov.au</w:t>
            </w:r>
            <w:r w:rsidRPr="00802A7D">
              <w:t>/rogs/2015.</w:t>
            </w:r>
          </w:p>
        </w:tc>
      </w:tr>
      <w:tr w:rsidR="00A5229F" w:rsidTr="00C827D5">
        <w:trPr>
          <w:cantSplit/>
        </w:trPr>
        <w:tc>
          <w:tcPr>
            <w:tcW w:w="8771" w:type="dxa"/>
            <w:tcBorders>
              <w:top w:val="nil"/>
              <w:left w:val="nil"/>
              <w:bottom w:val="single" w:sz="6" w:space="0" w:color="78A22F"/>
              <w:right w:val="nil"/>
            </w:tcBorders>
            <w:shd w:val="clear" w:color="auto" w:fill="F2F2F2"/>
          </w:tcPr>
          <w:p w:rsidR="00A5229F" w:rsidRDefault="00A5229F">
            <w:pPr>
              <w:pStyle w:val="Box"/>
              <w:spacing w:before="0" w:line="120" w:lineRule="exact"/>
            </w:pPr>
          </w:p>
        </w:tc>
      </w:tr>
      <w:tr w:rsidR="00A5229F" w:rsidRPr="000863A5" w:rsidTr="00C827D5">
        <w:tc>
          <w:tcPr>
            <w:tcW w:w="8771" w:type="dxa"/>
            <w:tcBorders>
              <w:top w:val="single" w:sz="6" w:space="0" w:color="78A22F"/>
              <w:left w:val="nil"/>
              <w:bottom w:val="nil"/>
              <w:right w:val="nil"/>
            </w:tcBorders>
          </w:tcPr>
          <w:p w:rsidR="00A5229F" w:rsidRPr="00626D32" w:rsidRDefault="00A5229F" w:rsidP="00C827D5">
            <w:pPr>
              <w:pStyle w:val="BoxSpaceBelow"/>
            </w:pPr>
          </w:p>
        </w:tc>
      </w:tr>
    </w:tbl>
    <w:p w:rsidR="001F39F2" w:rsidRPr="00DF61E7" w:rsidRDefault="001F39F2" w:rsidP="00585E2C">
      <w:pPr>
        <w:pStyle w:val="BodyText"/>
      </w:pPr>
      <w:r w:rsidRPr="00DF61E7">
        <w:t xml:space="preserve">The numerators and denominators of </w:t>
      </w:r>
      <w:r w:rsidR="00F93C35" w:rsidRPr="00DF61E7">
        <w:t>these</w:t>
      </w:r>
      <w:r w:rsidRPr="00DF61E7">
        <w:t xml:space="preserve"> measure</w:t>
      </w:r>
      <w:r w:rsidR="00F93C35" w:rsidRPr="00DF61E7">
        <w:t>s</w:t>
      </w:r>
      <w:r w:rsidRPr="00DF61E7">
        <w:t xml:space="preserve"> </w:t>
      </w:r>
      <w:r w:rsidR="00F93C35" w:rsidRPr="00DF61E7">
        <w:t xml:space="preserve">use </w:t>
      </w:r>
      <w:r w:rsidRPr="00DF61E7">
        <w:t>different age groups. The numerator</w:t>
      </w:r>
      <w:r w:rsidR="00F93C35" w:rsidRPr="00DF61E7">
        <w:t>s</w:t>
      </w:r>
      <w:r w:rsidRPr="00DF61E7">
        <w:t xml:space="preserve"> </w:t>
      </w:r>
      <w:r w:rsidR="00F93C35" w:rsidRPr="00DF61E7">
        <w:t>include</w:t>
      </w:r>
      <w:r w:rsidRPr="00DF61E7">
        <w:t xml:space="preserve"> service users of all ages. The denominator</w:t>
      </w:r>
      <w:r w:rsidR="006517C8" w:rsidRPr="00DF61E7">
        <w:t>s are based on specific age groups</w:t>
      </w:r>
      <w:r w:rsidR="00E43DC3" w:rsidRPr="00DF61E7">
        <w:t xml:space="preserve"> of people aged</w:t>
      </w:r>
      <w:r w:rsidR="006517C8" w:rsidRPr="00DF61E7">
        <w:t>:</w:t>
      </w:r>
    </w:p>
    <w:p w:rsidR="001F39F2" w:rsidRPr="00DF61E7" w:rsidRDefault="001F39F2" w:rsidP="00585E2C">
      <w:pPr>
        <w:pStyle w:val="ListBullet"/>
      </w:pPr>
      <w:r w:rsidRPr="00DF61E7">
        <w:t xml:space="preserve">under 65 years for accommodation support, community support, community access and respite services </w:t>
      </w:r>
    </w:p>
    <w:p w:rsidR="001F39F2" w:rsidRPr="00DF61E7" w:rsidRDefault="001F39F2" w:rsidP="00585E2C">
      <w:pPr>
        <w:pStyle w:val="ListBullet"/>
      </w:pPr>
      <w:r w:rsidRPr="00DF61E7">
        <w:t xml:space="preserve">15–64 years for employment services. </w:t>
      </w:r>
    </w:p>
    <w:p w:rsidR="001F39F2" w:rsidRPr="00FB3B17" w:rsidRDefault="006517C8" w:rsidP="00585E2C">
      <w:pPr>
        <w:pStyle w:val="BodyText"/>
      </w:pPr>
      <w:r w:rsidRPr="00FB3B17">
        <w:t xml:space="preserve">The measures of </w:t>
      </w:r>
      <w:r w:rsidR="001F39F2" w:rsidRPr="00FB3B17">
        <w:t xml:space="preserve">access per 1000 potential population </w:t>
      </w:r>
      <w:r w:rsidRPr="00FB3B17">
        <w:t>should</w:t>
      </w:r>
      <w:r w:rsidR="001F39F2" w:rsidRPr="00FB3B17">
        <w:t xml:space="preserve"> be interpreted with care</w:t>
      </w:r>
      <w:r w:rsidRPr="00FB3B17">
        <w:t>,</w:t>
      </w:r>
      <w:r w:rsidR="001F39F2" w:rsidRPr="00FB3B17">
        <w:t xml:space="preserve"> due to factors affecting data quality. Potential sources of error include:</w:t>
      </w:r>
    </w:p>
    <w:p w:rsidR="001F39F2" w:rsidRPr="00FB3B17" w:rsidRDefault="006517C8" w:rsidP="00585E2C">
      <w:pPr>
        <w:pStyle w:val="ListBullet"/>
      </w:pPr>
      <w:r w:rsidRPr="00FB3B17">
        <w:t>the existence of</w:t>
      </w:r>
      <w:r w:rsidR="001F39F2" w:rsidRPr="00FB3B17">
        <w:t xml:space="preserve"> service users for whom special needs group status (for example, Indigenous status) is not stated or not collected — poor and/or inconsistent levels of identification </w:t>
      </w:r>
      <w:r w:rsidRPr="00FB3B17">
        <w:t>across</w:t>
      </w:r>
      <w:r w:rsidR="001F39F2" w:rsidRPr="00FB3B17">
        <w:t xml:space="preserve"> states and territories would affect comparisons</w:t>
      </w:r>
    </w:p>
    <w:p w:rsidR="001F39F2" w:rsidRPr="00FB3B17" w:rsidRDefault="001F39F2" w:rsidP="00585E2C">
      <w:pPr>
        <w:pStyle w:val="ListBullet"/>
      </w:pPr>
      <w:r w:rsidRPr="00FB3B17">
        <w:t>the assumptions underlying the method used to derive the potential populations</w:t>
      </w:r>
    </w:p>
    <w:p w:rsidR="001F39F2" w:rsidRPr="00FB3B17" w:rsidRDefault="001F39F2" w:rsidP="00585E2C">
      <w:pPr>
        <w:pStyle w:val="ListBullet"/>
      </w:pPr>
      <w:proofErr w:type="gramStart"/>
      <w:r w:rsidRPr="00FB3B17">
        <w:t>for</w:t>
      </w:r>
      <w:proofErr w:type="gramEnd"/>
      <w:r w:rsidRPr="00FB3B17">
        <w:t xml:space="preserve"> the </w:t>
      </w:r>
      <w:r w:rsidR="00904E97" w:rsidRPr="00FB3B17">
        <w:t>Aboriginal and Torres Strait Islander</w:t>
      </w:r>
      <w:r w:rsidRPr="00FB3B17">
        <w:t xml:space="preserve"> estimates, differential Census undercount </w:t>
      </w:r>
      <w:r w:rsidR="006517C8" w:rsidRPr="00FB3B17">
        <w:t>across</w:t>
      </w:r>
      <w:r w:rsidRPr="00FB3B17">
        <w:t xml:space="preserve"> states and territories </w:t>
      </w:r>
      <w:r w:rsidR="006517C8" w:rsidRPr="00FB3B17">
        <w:t>could</w:t>
      </w:r>
      <w:r w:rsidRPr="00FB3B17">
        <w:t xml:space="preserve"> introduce bias in the results. </w:t>
      </w:r>
    </w:p>
    <w:p w:rsidR="001F39F2" w:rsidRPr="00FB3B17" w:rsidRDefault="001F39F2" w:rsidP="00585E2C">
      <w:pPr>
        <w:pStyle w:val="BodyText"/>
      </w:pPr>
      <w:r w:rsidRPr="00FB3B17">
        <w:t>Section 14.6 contains more detailed information on these quality issues.</w:t>
      </w:r>
    </w:p>
    <w:p w:rsidR="001F39F2" w:rsidRPr="00FA33CF" w:rsidRDefault="001F39F2" w:rsidP="00585E2C">
      <w:pPr>
        <w:pStyle w:val="Heading5"/>
        <w:spacing w:before="240"/>
      </w:pPr>
      <w:r w:rsidRPr="00FA33CF">
        <w:t>Service use by special needs groups — people in outer region</w:t>
      </w:r>
      <w:r w:rsidR="002229DE">
        <w:t>al and remote/very remote areas</w:t>
      </w:r>
    </w:p>
    <w:p w:rsidR="008E3618" w:rsidRPr="00FA33CF" w:rsidRDefault="001F39F2" w:rsidP="00585E2C">
      <w:pPr>
        <w:pStyle w:val="BodyText"/>
      </w:pPr>
      <w:r w:rsidRPr="00FA33CF">
        <w:t xml:space="preserve">Nationally in </w:t>
      </w:r>
      <w:r w:rsidR="00FB3B17" w:rsidRPr="00FA33CF">
        <w:t>2012</w:t>
      </w:r>
      <w:r w:rsidR="00B84AF2">
        <w:noBreakHyphen/>
      </w:r>
      <w:r w:rsidR="00FB3B17" w:rsidRPr="00FA33CF">
        <w:t>13</w:t>
      </w:r>
      <w:r w:rsidRPr="00FA33CF">
        <w:t>, the proportion of the outer regional and remote/very remote population who used NDA</w:t>
      </w:r>
      <w:r w:rsidR="008E3618" w:rsidRPr="00FA33CF">
        <w:t>:</w:t>
      </w:r>
    </w:p>
    <w:p w:rsidR="001F39F2" w:rsidRPr="00A67389" w:rsidRDefault="001F39F2" w:rsidP="00585E2C">
      <w:pPr>
        <w:pStyle w:val="ListBullet"/>
      </w:pPr>
      <w:r w:rsidRPr="00FA33CF">
        <w:t xml:space="preserve">accommodation support services was </w:t>
      </w:r>
      <w:r w:rsidR="00FA33CF">
        <w:t>1.</w:t>
      </w:r>
      <w:r w:rsidR="00A67389">
        <w:t>7</w:t>
      </w:r>
      <w:r w:rsidR="00F44AA9" w:rsidRPr="00FA33CF">
        <w:t xml:space="preserve"> </w:t>
      </w:r>
      <w:r w:rsidRPr="00FA33CF">
        <w:t xml:space="preserve">service users per 1000 </w:t>
      </w:r>
      <w:r w:rsidR="0088323A" w:rsidRPr="00FA33CF">
        <w:t>people</w:t>
      </w:r>
      <w:r w:rsidRPr="00FA33CF">
        <w:t xml:space="preserve">, </w:t>
      </w:r>
      <w:r w:rsidR="0088323A" w:rsidRPr="00FA33CF">
        <w:t xml:space="preserve">slightly </w:t>
      </w:r>
      <w:r w:rsidRPr="00FA33CF">
        <w:t>lower than the proportion of the major cities and inner regional population who used these services (</w:t>
      </w:r>
      <w:r w:rsidR="00FA33CF">
        <w:t>1.8</w:t>
      </w:r>
      <w:r w:rsidR="00A12C03" w:rsidRPr="00FA33CF">
        <w:t xml:space="preserve"> </w:t>
      </w:r>
      <w:r w:rsidRPr="00FA33CF">
        <w:t xml:space="preserve">service users per 1000 </w:t>
      </w:r>
      <w:r w:rsidR="0088323A" w:rsidRPr="00FA33CF">
        <w:t>people</w:t>
      </w:r>
      <w:r w:rsidRPr="00FA33CF">
        <w:t>) (figure 14.1</w:t>
      </w:r>
      <w:r w:rsidR="001A0CA8">
        <w:t>7</w:t>
      </w:r>
      <w:r w:rsidRPr="00FA33CF">
        <w:t>a). The proportion of the outer regional and remote/very remote potential population who used NDA accommodation support services (</w:t>
      </w:r>
      <w:r w:rsidR="00FA33CF">
        <w:t>54.2</w:t>
      </w:r>
      <w:r w:rsidRPr="00FA33CF">
        <w:t> service users per 1000</w:t>
      </w:r>
      <w:r w:rsidR="008E3618" w:rsidRPr="00FA33CF">
        <w:t> </w:t>
      </w:r>
      <w:r w:rsidRPr="00A67389">
        <w:t>potential population) was lower than that of the major cities and inner regional potential population who used these services (</w:t>
      </w:r>
      <w:r w:rsidR="00FA33CF">
        <w:t>66.0</w:t>
      </w:r>
      <w:r w:rsidR="00A12C03" w:rsidRPr="00FA33CF">
        <w:t> </w:t>
      </w:r>
      <w:r w:rsidRPr="00FA33CF">
        <w:t>service users per 1000 potential population) (figure</w:t>
      </w:r>
      <w:r w:rsidR="00AE3578">
        <w:t> </w:t>
      </w:r>
      <w:r w:rsidRPr="00FA33CF">
        <w:t>14.1</w:t>
      </w:r>
      <w:r w:rsidR="00FB3B17" w:rsidRPr="00A67389">
        <w:t>8</w:t>
      </w:r>
      <w:r w:rsidRPr="00A67389">
        <w:t>a).</w:t>
      </w:r>
    </w:p>
    <w:p w:rsidR="001F39F2" w:rsidRPr="00B841B6" w:rsidRDefault="001F39F2" w:rsidP="00585E2C">
      <w:pPr>
        <w:pStyle w:val="ListBullet"/>
      </w:pPr>
      <w:r w:rsidRPr="00A67389">
        <w:lastRenderedPageBreak/>
        <w:t xml:space="preserve">community support services was </w:t>
      </w:r>
      <w:r w:rsidR="00A67389">
        <w:t>7.0</w:t>
      </w:r>
      <w:r w:rsidR="00F44AA9" w:rsidRPr="00A67389">
        <w:t xml:space="preserve"> </w:t>
      </w:r>
      <w:r w:rsidRPr="00A67389">
        <w:t xml:space="preserve">service users per 1000 </w:t>
      </w:r>
      <w:r w:rsidR="0088323A" w:rsidRPr="00A67389">
        <w:t>people</w:t>
      </w:r>
      <w:r w:rsidRPr="00A67389">
        <w:t xml:space="preserve">, </w:t>
      </w:r>
      <w:r w:rsidR="00A67389">
        <w:t>the same as</w:t>
      </w:r>
      <w:r w:rsidRPr="00A67389">
        <w:t xml:space="preserve"> the proportion of the major cities and inner regional population who used these services (</w:t>
      </w:r>
      <w:r w:rsidR="00A67389">
        <w:t>7.0</w:t>
      </w:r>
      <w:r w:rsidRPr="00A67389">
        <w:t xml:space="preserve"> service users per 1000 </w:t>
      </w:r>
      <w:r w:rsidR="0088323A" w:rsidRPr="00A67389">
        <w:t>people</w:t>
      </w:r>
      <w:r w:rsidRPr="00A67389">
        <w:t>) (figure 14.1</w:t>
      </w:r>
      <w:r w:rsidR="00FB3B17" w:rsidRPr="00A67389">
        <w:t>7</w:t>
      </w:r>
      <w:r w:rsidRPr="00A67389">
        <w:t>b). The proportion of the outer regional and remote/very remote potential population who used NDA community support services (</w:t>
      </w:r>
      <w:r w:rsidR="00A67389">
        <w:t>223.2</w:t>
      </w:r>
      <w:r w:rsidR="00F44AA9" w:rsidRPr="00A67389">
        <w:t> </w:t>
      </w:r>
      <w:r w:rsidRPr="00A67389">
        <w:t>service users per 1000</w:t>
      </w:r>
      <w:r w:rsidR="005B065A" w:rsidRPr="00A67389">
        <w:t> </w:t>
      </w:r>
      <w:r w:rsidRPr="00A67389">
        <w:t xml:space="preserve">potential population) was lower than the proportion of the major cities and inner regional </w:t>
      </w:r>
      <w:r w:rsidRPr="00B841B6">
        <w:t>potential population who used these services (</w:t>
      </w:r>
      <w:r w:rsidR="00A67389" w:rsidRPr="004A661E">
        <w:t>253.1</w:t>
      </w:r>
      <w:r w:rsidR="008E3618" w:rsidRPr="004A661E">
        <w:t> </w:t>
      </w:r>
      <w:r w:rsidRPr="004A661E">
        <w:t xml:space="preserve">service users per 1000 </w:t>
      </w:r>
      <w:r w:rsidRPr="00B841B6">
        <w:t>potential population) (figure</w:t>
      </w:r>
      <w:r w:rsidR="00AE3578">
        <w:t> </w:t>
      </w:r>
      <w:r w:rsidRPr="00B841B6">
        <w:t>14.1</w:t>
      </w:r>
      <w:r w:rsidR="00FB3B17" w:rsidRPr="00B841B6">
        <w:t>8</w:t>
      </w:r>
      <w:r w:rsidRPr="00B841B6">
        <w:t>b).</w:t>
      </w:r>
    </w:p>
    <w:p w:rsidR="001F39F2" w:rsidRPr="006A73EF" w:rsidRDefault="001F39F2" w:rsidP="00585E2C">
      <w:pPr>
        <w:pStyle w:val="ListBullet"/>
      </w:pPr>
      <w:r w:rsidRPr="006A73EF">
        <w:t xml:space="preserve">community access services was </w:t>
      </w:r>
      <w:r w:rsidR="00B841B6" w:rsidRPr="006A73EF">
        <w:t>2.1</w:t>
      </w:r>
      <w:r w:rsidRPr="006A73EF">
        <w:t xml:space="preserve"> service users per 1000 </w:t>
      </w:r>
      <w:r w:rsidR="0088323A" w:rsidRPr="006A73EF">
        <w:t>people</w:t>
      </w:r>
      <w:r w:rsidRPr="006A73EF">
        <w:t>, lower than the proportion of the major cities and inner regional population who used these services (</w:t>
      </w:r>
      <w:r w:rsidR="00B841B6" w:rsidRPr="006A73EF">
        <w:t>2.4</w:t>
      </w:r>
      <w:r w:rsidRPr="006A73EF">
        <w:t xml:space="preserve"> service users per 1000 </w:t>
      </w:r>
      <w:r w:rsidR="0088323A" w:rsidRPr="006A73EF">
        <w:t>people</w:t>
      </w:r>
      <w:r w:rsidRPr="006A73EF">
        <w:t>) (figure</w:t>
      </w:r>
      <w:r w:rsidR="00AE3578">
        <w:t> </w:t>
      </w:r>
      <w:r w:rsidRPr="006A73EF">
        <w:t>14.1</w:t>
      </w:r>
      <w:r w:rsidR="00FB3B17" w:rsidRPr="006A73EF">
        <w:t>7</w:t>
      </w:r>
      <w:r w:rsidRPr="006A73EF">
        <w:t>c). The proportion of the outer regional and remote/very remote potential population who used NDA community access services (</w:t>
      </w:r>
      <w:r w:rsidR="00B841B6" w:rsidRPr="006A73EF">
        <w:t>67.7</w:t>
      </w:r>
      <w:r w:rsidR="008E3618" w:rsidRPr="006A73EF">
        <w:t xml:space="preserve"> service users per 1000 </w:t>
      </w:r>
      <w:r w:rsidRPr="006A73EF">
        <w:t>potential population) was lower than the proportion of the major cities and inner regional potential population who used these services (</w:t>
      </w:r>
      <w:r w:rsidR="00B841B6" w:rsidRPr="006A73EF">
        <w:t>86.9</w:t>
      </w:r>
      <w:r w:rsidR="0019455A" w:rsidRPr="006A73EF">
        <w:t xml:space="preserve"> </w:t>
      </w:r>
      <w:r w:rsidRPr="006A73EF">
        <w:t>service users per 1000 potential population) (figure</w:t>
      </w:r>
      <w:r w:rsidR="00AE3578">
        <w:t> </w:t>
      </w:r>
      <w:r w:rsidRPr="006A73EF">
        <w:t>14.1</w:t>
      </w:r>
      <w:r w:rsidR="005763DF" w:rsidRPr="006A73EF">
        <w:t>8</w:t>
      </w:r>
      <w:r w:rsidRPr="006A73EF">
        <w:t>c).</w:t>
      </w:r>
    </w:p>
    <w:p w:rsidR="001F39F2" w:rsidRPr="006A73EF" w:rsidRDefault="001F39F2" w:rsidP="00585E2C">
      <w:pPr>
        <w:pStyle w:val="ListBullet"/>
      </w:pPr>
      <w:r w:rsidRPr="006A73EF">
        <w:t xml:space="preserve">respite services was </w:t>
      </w:r>
      <w:r w:rsidR="00612AF9" w:rsidRPr="006A73EF">
        <w:t>1.8</w:t>
      </w:r>
      <w:r w:rsidRPr="006A73EF">
        <w:t xml:space="preserve"> service users per 1000 </w:t>
      </w:r>
      <w:r w:rsidR="0088323A" w:rsidRPr="006A73EF">
        <w:t>people</w:t>
      </w:r>
      <w:r w:rsidRPr="006A73EF">
        <w:t xml:space="preserve">, </w:t>
      </w:r>
      <w:r w:rsidR="00A14C13" w:rsidRPr="006A73EF">
        <w:t>the same as</w:t>
      </w:r>
      <w:r w:rsidRPr="006A73EF">
        <w:t xml:space="preserve"> the proportion of the major cities and inner regional population who used these services (</w:t>
      </w:r>
      <w:r w:rsidR="00612AF9" w:rsidRPr="006A73EF">
        <w:t>1.8</w:t>
      </w:r>
      <w:r w:rsidRPr="006A73EF">
        <w:t xml:space="preserve"> service users per 1000 </w:t>
      </w:r>
      <w:r w:rsidR="0088323A" w:rsidRPr="006A73EF">
        <w:t>people</w:t>
      </w:r>
      <w:r w:rsidRPr="006A73EF">
        <w:t>) (figure 14.1</w:t>
      </w:r>
      <w:r w:rsidR="001A0CA8" w:rsidRPr="006A73EF">
        <w:t>7</w:t>
      </w:r>
      <w:r w:rsidRPr="006A73EF">
        <w:t xml:space="preserve">d). Access to respite as a proportion of the potential population is not reported. Potential population data for respite services is not calculated at these levels because of conceptual, definitional and quality issues with carer data </w:t>
      </w:r>
      <w:r w:rsidR="00DA0DAF" w:rsidRPr="006A73EF">
        <w:t xml:space="preserve">for special needs groups </w:t>
      </w:r>
      <w:r w:rsidRPr="006A73EF">
        <w:t xml:space="preserve">from the </w:t>
      </w:r>
      <w:r w:rsidR="0027537F" w:rsidRPr="006A73EF">
        <w:t xml:space="preserve">2011 </w:t>
      </w:r>
      <w:r w:rsidRPr="006A73EF">
        <w:t>Census.</w:t>
      </w:r>
    </w:p>
    <w:p w:rsidR="00063660" w:rsidRPr="00D90D49" w:rsidRDefault="00063660"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3660" w:rsidRPr="00612AF9" w:rsidTr="00730EA6">
        <w:tc>
          <w:tcPr>
            <w:tcW w:w="8771" w:type="dxa"/>
            <w:tcBorders>
              <w:top w:val="single" w:sz="6" w:space="0" w:color="78A22F"/>
              <w:left w:val="nil"/>
              <w:bottom w:val="nil"/>
              <w:right w:val="nil"/>
            </w:tcBorders>
            <w:shd w:val="clear" w:color="auto" w:fill="auto"/>
          </w:tcPr>
          <w:p w:rsidR="00063660" w:rsidRPr="00612AF9" w:rsidRDefault="00063660" w:rsidP="00290A7F">
            <w:pPr>
              <w:pStyle w:val="FigureTitle"/>
            </w:pPr>
            <w:r w:rsidRPr="00417B0B">
              <w:rPr>
                <w:b w:val="0"/>
              </w:rPr>
              <w:t xml:space="preserve">Figure </w:t>
            </w:r>
            <w:r w:rsidR="00321568">
              <w:rPr>
                <w:b w:val="0"/>
              </w:rPr>
              <w:t>14.</w:t>
            </w:r>
            <w:r w:rsidR="0085284B">
              <w:rPr>
                <w:b w:val="0"/>
                <w:noProof/>
              </w:rPr>
              <w:t>17</w:t>
            </w:r>
            <w:r w:rsidRPr="001A0CA8">
              <w:tab/>
              <w:t xml:space="preserve">Users of State and Territory administered NDA specialist disability services per 1000 people, by geographic location, </w:t>
            </w:r>
            <w:r w:rsidR="00E5504B" w:rsidRPr="001A0CA8">
              <w:t>2012</w:t>
            </w:r>
            <w:r w:rsidR="00B84AF2">
              <w:noBreakHyphen/>
            </w:r>
            <w:r w:rsidR="00E5504B" w:rsidRPr="001A0CA8">
              <w:t>13</w:t>
            </w:r>
            <w:r w:rsidR="00EC45F9" w:rsidRPr="00EC45F9">
              <w:rPr>
                <w:rStyle w:val="NoteLabel"/>
              </w:rPr>
              <w:t>a</w:t>
            </w:r>
            <w:r w:rsidRPr="001A0CA8">
              <w:rPr>
                <w:rStyle w:val="NoteLabel"/>
                <w:b/>
              </w:rPr>
              <w:t>, b, c, d</w:t>
            </w:r>
            <w:r w:rsidR="00655E3A">
              <w:rPr>
                <w:rStyle w:val="NoteLabel"/>
                <w:b/>
              </w:rPr>
              <w:t>, e</w:t>
            </w:r>
          </w:p>
        </w:tc>
      </w:tr>
      <w:tr w:rsidR="00063660" w:rsidRPr="00612AF9"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063660" w:rsidRPr="00612AF9" w:rsidTr="00730EA6">
              <w:trPr>
                <w:jc w:val="center"/>
              </w:trPr>
              <w:tc>
                <w:tcPr>
                  <w:tcW w:w="5000" w:type="pct"/>
                  <w:tcBorders>
                    <w:top w:val="nil"/>
                    <w:bottom w:val="nil"/>
                  </w:tcBorders>
                </w:tcPr>
                <w:p w:rsidR="00063660" w:rsidRPr="00612AF9" w:rsidRDefault="0072265E" w:rsidP="00E615A2">
                  <w:pPr>
                    <w:pStyle w:val="Figure"/>
                    <w:spacing w:before="60" w:after="60"/>
                  </w:pPr>
                  <w:r>
                    <w:rPr>
                      <w:noProof/>
                    </w:rPr>
                    <w:drawing>
                      <wp:inline distT="0" distB="0" distL="0" distR="0">
                        <wp:extent cx="2505075" cy="2314575"/>
                        <wp:effectExtent l="0" t="0" r="9525" b="9525"/>
                        <wp:docPr id="22" name="Picture 22" descr="Figure 14.17 Users of State and Territory administered NDA specialist disability services per 1000 people, by geographic location,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23" name="Picture 23" descr="Figure 14.17 Users of State and Territory administered NDA specialist disability services per 1000 people, by geographic location,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430D4C" w:rsidRPr="00612AF9" w:rsidTr="00730EA6">
              <w:trPr>
                <w:jc w:val="center"/>
              </w:trPr>
              <w:tc>
                <w:tcPr>
                  <w:tcW w:w="5000" w:type="pct"/>
                  <w:tcBorders>
                    <w:top w:val="nil"/>
                    <w:bottom w:val="nil"/>
                  </w:tcBorders>
                </w:tcPr>
                <w:p w:rsidR="00430D4C" w:rsidRPr="00612AF9" w:rsidRDefault="0072265E" w:rsidP="00E615A2">
                  <w:pPr>
                    <w:pStyle w:val="Figure"/>
                    <w:spacing w:before="60" w:after="60"/>
                  </w:pPr>
                  <w:r>
                    <w:rPr>
                      <w:noProof/>
                    </w:rPr>
                    <w:drawing>
                      <wp:inline distT="0" distB="0" distL="0" distR="0">
                        <wp:extent cx="2505075" cy="2314575"/>
                        <wp:effectExtent l="0" t="0" r="9525" b="9525"/>
                        <wp:docPr id="24" name="Picture 24" descr="Figure 14.17 Users of State and Territory administered NDA specialist disability services per 1000 people, by geographic location,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25" name="Picture 25" descr="Figure 14.17 Users of State and Territory administered NDA specialist disability services per 1000 people, by geographic location, 2012-13&#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3B3976" w:rsidRPr="00612AF9" w:rsidTr="00730EA6">
              <w:trPr>
                <w:jc w:val="center"/>
              </w:trPr>
              <w:tc>
                <w:tcPr>
                  <w:tcW w:w="5000" w:type="pct"/>
                  <w:tcBorders>
                    <w:top w:val="nil"/>
                    <w:bottom w:val="nil"/>
                  </w:tcBorders>
                </w:tcPr>
                <w:p w:rsidR="003B3976" w:rsidRPr="00612AF9" w:rsidRDefault="0072265E" w:rsidP="00B841B6">
                  <w:pPr>
                    <w:pStyle w:val="Figure"/>
                    <w:spacing w:before="60" w:after="60"/>
                  </w:pPr>
                  <w:r>
                    <w:rPr>
                      <w:noProof/>
                    </w:rPr>
                    <w:drawing>
                      <wp:inline distT="0" distB="0" distL="0" distR="0">
                        <wp:extent cx="5238750" cy="352425"/>
                        <wp:effectExtent l="0" t="0" r="0" b="9525"/>
                        <wp:docPr id="26" name="Picture 26" descr="Figure 14.17 Users of State and Territory administered NDA specialist disability services per 1000 people, by geographic location,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38750" cy="352425"/>
                                </a:xfrm>
                                <a:prstGeom prst="rect">
                                  <a:avLst/>
                                </a:prstGeom>
                                <a:noFill/>
                                <a:ln>
                                  <a:noFill/>
                                </a:ln>
                              </pic:spPr>
                            </pic:pic>
                          </a:graphicData>
                        </a:graphic>
                      </wp:inline>
                    </w:drawing>
                  </w:r>
                </w:p>
              </w:tc>
            </w:tr>
          </w:tbl>
          <w:p w:rsidR="00063660" w:rsidRPr="00612AF9" w:rsidRDefault="00063660" w:rsidP="00730EA6">
            <w:pPr>
              <w:pStyle w:val="Figure"/>
            </w:pPr>
          </w:p>
        </w:tc>
      </w:tr>
      <w:tr w:rsidR="00063660" w:rsidRPr="00612AF9" w:rsidTr="00730EA6">
        <w:tc>
          <w:tcPr>
            <w:tcW w:w="8771" w:type="dxa"/>
            <w:tcBorders>
              <w:top w:val="nil"/>
              <w:left w:val="nil"/>
              <w:bottom w:val="nil"/>
              <w:right w:val="nil"/>
            </w:tcBorders>
            <w:shd w:val="clear" w:color="auto" w:fill="auto"/>
          </w:tcPr>
          <w:p w:rsidR="00063660" w:rsidRPr="00612AF9" w:rsidRDefault="00063660" w:rsidP="00C73AAC">
            <w:pPr>
              <w:pStyle w:val="Note"/>
              <w:keepNext/>
            </w:pPr>
            <w:proofErr w:type="gramStart"/>
            <w:r w:rsidRPr="00612AF9">
              <w:rPr>
                <w:rStyle w:val="NoteLabel"/>
              </w:rPr>
              <w:t>a</w:t>
            </w:r>
            <w:proofErr w:type="gramEnd"/>
            <w:r w:rsidRPr="00612AF9">
              <w:t xml:space="preserve"> See tables 14A.</w:t>
            </w:r>
            <w:r w:rsidR="00683393" w:rsidRPr="00612AF9">
              <w:t>3</w:t>
            </w:r>
            <w:r w:rsidR="00683393">
              <w:t>7</w:t>
            </w:r>
            <w:r w:rsidR="00A74BA3">
              <w:rPr>
                <w:rFonts w:cs="Arial"/>
              </w:rPr>
              <w:t>–</w:t>
            </w:r>
            <w:r w:rsidR="00A74BA3">
              <w:t xml:space="preserve">40 </w:t>
            </w:r>
            <w:r w:rsidRPr="00612AF9">
              <w:t xml:space="preserve">for detailed notes relating to these data. </w:t>
            </w:r>
            <w:proofErr w:type="gramStart"/>
            <w:r w:rsidRPr="00612AF9">
              <w:rPr>
                <w:rStyle w:val="NoteLabel"/>
              </w:rPr>
              <w:t>b</w:t>
            </w:r>
            <w:proofErr w:type="gramEnd"/>
            <w:r w:rsidRPr="00612AF9">
              <w:t xml:space="preserve"> Data need to be interpreted with care due to factors affecting data quality. Section 14.6 contains further information on data quality issues. </w:t>
            </w:r>
            <w:proofErr w:type="gramStart"/>
            <w:r w:rsidRPr="00612AF9">
              <w:rPr>
                <w:rStyle w:val="NoteLabel"/>
              </w:rPr>
              <w:t>c</w:t>
            </w:r>
            <w:proofErr w:type="gramEnd"/>
            <w:r w:rsidRPr="00612AF9">
              <w:t xml:space="preserve"> The ACT does not have outer regional </w:t>
            </w:r>
            <w:r w:rsidR="00655E3A">
              <w:t>or</w:t>
            </w:r>
            <w:r w:rsidRPr="00612AF9">
              <w:t xml:space="preserve"> remote/very remote areas. </w:t>
            </w:r>
            <w:proofErr w:type="gramStart"/>
            <w:r w:rsidRPr="00612AF9">
              <w:rPr>
                <w:rStyle w:val="NoteLabel"/>
              </w:rPr>
              <w:t>d</w:t>
            </w:r>
            <w:proofErr w:type="gramEnd"/>
            <w:r w:rsidRPr="00612AF9">
              <w:rPr>
                <w:rStyle w:val="NoteLabel"/>
              </w:rPr>
              <w:t> </w:t>
            </w:r>
            <w:r w:rsidRPr="00612AF9">
              <w:t xml:space="preserve">The NT does not have major cities and inner regional areas. </w:t>
            </w:r>
            <w:proofErr w:type="gramStart"/>
            <w:r w:rsidRPr="00612AF9">
              <w:rPr>
                <w:rStyle w:val="NoteLabel"/>
              </w:rPr>
              <w:t>e</w:t>
            </w:r>
            <w:proofErr w:type="gramEnd"/>
            <w:r w:rsidRPr="00612AF9">
              <w:rPr>
                <w:b/>
              </w:rPr>
              <w:t xml:space="preserve"> </w:t>
            </w:r>
            <w:r w:rsidRPr="00612AF9">
              <w:t xml:space="preserve">Some data for </w:t>
            </w:r>
            <w:r w:rsidR="003D0CDC">
              <w:t>Tasmania</w:t>
            </w:r>
            <w:r w:rsidRPr="00612AF9">
              <w:t xml:space="preserve">, ACT and NT community access </w:t>
            </w:r>
            <w:r w:rsidR="003D0CDC">
              <w:t xml:space="preserve">services </w:t>
            </w:r>
            <w:r w:rsidRPr="00612AF9">
              <w:t>are not published</w:t>
            </w:r>
            <w:r w:rsidR="003D31DC">
              <w:t xml:space="preserve"> due to</w:t>
            </w:r>
            <w:r w:rsidR="003D31DC" w:rsidRPr="00612AF9">
              <w:t xml:space="preserve"> </w:t>
            </w:r>
            <w:r w:rsidRPr="00612AF9">
              <w:t xml:space="preserve">privacy reasons (see </w:t>
            </w:r>
            <w:r w:rsidR="003D0CDC">
              <w:t>table</w:t>
            </w:r>
            <w:r w:rsidR="00AE3578">
              <w:t> </w:t>
            </w:r>
            <w:r w:rsidRPr="00612AF9">
              <w:t>14A.</w:t>
            </w:r>
            <w:r w:rsidR="00683393" w:rsidRPr="00612AF9">
              <w:t>3</w:t>
            </w:r>
            <w:r w:rsidR="00683393">
              <w:t>9</w:t>
            </w:r>
            <w:r w:rsidRPr="00612AF9">
              <w:t>) though these data have been included.</w:t>
            </w:r>
          </w:p>
        </w:tc>
      </w:tr>
      <w:tr w:rsidR="00B841B6" w:rsidRPr="00612AF9" w:rsidTr="00730EA6">
        <w:tc>
          <w:tcPr>
            <w:tcW w:w="8771" w:type="dxa"/>
            <w:tcBorders>
              <w:top w:val="nil"/>
              <w:left w:val="nil"/>
              <w:bottom w:val="nil"/>
              <w:right w:val="nil"/>
            </w:tcBorders>
            <w:shd w:val="clear" w:color="auto" w:fill="auto"/>
          </w:tcPr>
          <w:p w:rsidR="00063660" w:rsidRPr="00612AF9" w:rsidRDefault="00063660" w:rsidP="00C73AAC">
            <w:pPr>
              <w:pStyle w:val="Source"/>
              <w:keepNext/>
              <w:ind w:left="-22" w:firstLine="22"/>
            </w:pPr>
            <w:r w:rsidRPr="009B4B99">
              <w:rPr>
                <w:i/>
              </w:rPr>
              <w:t>Source</w:t>
            </w:r>
            <w:r w:rsidRPr="009B4B99">
              <w:t xml:space="preserve">: </w:t>
            </w:r>
            <w:r w:rsidR="009B4B99" w:rsidRPr="009B4B99">
              <w:t xml:space="preserve">AIHW (unpublished) </w:t>
            </w:r>
            <w:r w:rsidR="00D221B0" w:rsidRPr="00D221B0">
              <w:rPr>
                <w:i/>
              </w:rPr>
              <w:t>DS NMDS 2012</w:t>
            </w:r>
            <w:r w:rsidR="00B84AF2">
              <w:rPr>
                <w:i/>
              </w:rPr>
              <w:noBreakHyphen/>
            </w:r>
            <w:r w:rsidR="00D221B0" w:rsidRPr="00D221B0">
              <w:rPr>
                <w:i/>
              </w:rPr>
              <w:t>13</w:t>
            </w:r>
            <w:r w:rsidR="009B4B99" w:rsidRPr="009B4B99">
              <w:t xml:space="preserve">; AIHW (unpublished), AIHW analysis of the </w:t>
            </w:r>
            <w:r w:rsidR="009B4B99" w:rsidRPr="009B4B99">
              <w:rPr>
                <w:i/>
              </w:rPr>
              <w:t>ABS Estimated Resident Population June 2012</w:t>
            </w:r>
            <w:r w:rsidR="009B4B99" w:rsidRPr="009B4B99">
              <w:t>; tables</w:t>
            </w:r>
            <w:r w:rsidR="00AE3578">
              <w:t> </w:t>
            </w:r>
            <w:r w:rsidR="009B4B99" w:rsidRPr="009B4B99">
              <w:t>14A.</w:t>
            </w:r>
            <w:r w:rsidR="00683393" w:rsidRPr="009B4B99">
              <w:t>3</w:t>
            </w:r>
            <w:r w:rsidR="00683393">
              <w:t>7</w:t>
            </w:r>
            <w:r w:rsidR="003D0CDC">
              <w:t>–</w:t>
            </w:r>
            <w:r w:rsidR="00683393">
              <w:t>40</w:t>
            </w:r>
            <w:r w:rsidRPr="009B4B99">
              <w:t>.</w:t>
            </w:r>
          </w:p>
        </w:tc>
      </w:tr>
      <w:tr w:rsidR="00063660" w:rsidRPr="00612AF9" w:rsidTr="00730EA6">
        <w:tc>
          <w:tcPr>
            <w:tcW w:w="8771" w:type="dxa"/>
            <w:tcBorders>
              <w:top w:val="nil"/>
              <w:left w:val="nil"/>
              <w:bottom w:val="single" w:sz="6" w:space="0" w:color="78A22F"/>
              <w:right w:val="nil"/>
            </w:tcBorders>
            <w:shd w:val="clear" w:color="auto" w:fill="auto"/>
          </w:tcPr>
          <w:p w:rsidR="00063660" w:rsidRPr="00612AF9" w:rsidRDefault="00063660" w:rsidP="00730EA6">
            <w:pPr>
              <w:pStyle w:val="Figurespace"/>
            </w:pPr>
          </w:p>
        </w:tc>
      </w:tr>
      <w:tr w:rsidR="00063660" w:rsidRPr="000863A5" w:rsidTr="00730EA6">
        <w:tc>
          <w:tcPr>
            <w:tcW w:w="8771" w:type="dxa"/>
            <w:tcBorders>
              <w:top w:val="single" w:sz="6" w:space="0" w:color="78A22F"/>
              <w:left w:val="nil"/>
              <w:bottom w:val="nil"/>
              <w:right w:val="nil"/>
            </w:tcBorders>
          </w:tcPr>
          <w:p w:rsidR="00063660" w:rsidRPr="00626D32" w:rsidRDefault="00063660" w:rsidP="00730EA6">
            <w:pPr>
              <w:pStyle w:val="BoxSpaceBelow"/>
            </w:pPr>
          </w:p>
        </w:tc>
      </w:tr>
    </w:tbl>
    <w:p w:rsidR="00063660" w:rsidRDefault="00063660" w:rsidP="00730E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3660" w:rsidRPr="00612AF9" w:rsidTr="00730EA6">
        <w:tc>
          <w:tcPr>
            <w:tcW w:w="8771" w:type="dxa"/>
            <w:tcBorders>
              <w:top w:val="single" w:sz="6" w:space="0" w:color="78A22F"/>
              <w:left w:val="nil"/>
              <w:bottom w:val="nil"/>
              <w:right w:val="nil"/>
            </w:tcBorders>
            <w:shd w:val="clear" w:color="auto" w:fill="auto"/>
          </w:tcPr>
          <w:p w:rsidR="00063660" w:rsidRPr="00612AF9" w:rsidRDefault="00063660" w:rsidP="00063660">
            <w:pPr>
              <w:pStyle w:val="FigureTitle"/>
            </w:pPr>
            <w:r w:rsidRPr="00612AF9">
              <w:rPr>
                <w:b w:val="0"/>
              </w:rPr>
              <w:t xml:space="preserve">Figure </w:t>
            </w:r>
            <w:r w:rsidR="00321568">
              <w:rPr>
                <w:b w:val="0"/>
              </w:rPr>
              <w:t>14.</w:t>
            </w:r>
            <w:r w:rsidR="0085284B">
              <w:rPr>
                <w:b w:val="0"/>
                <w:noProof/>
              </w:rPr>
              <w:t>18</w:t>
            </w:r>
            <w:r w:rsidRPr="00612AF9">
              <w:tab/>
              <w:t xml:space="preserve">Users of State and Territory administered NDA specialist disability services per 1000 potential population, by geographic location, </w:t>
            </w:r>
            <w:r w:rsidR="00E5504B" w:rsidRPr="00612AF9">
              <w:t>2012</w:t>
            </w:r>
            <w:r w:rsidR="00B84AF2">
              <w:noBreakHyphen/>
            </w:r>
            <w:r w:rsidR="00E5504B" w:rsidRPr="00612AF9">
              <w:t>13</w:t>
            </w:r>
            <w:r w:rsidRPr="00612AF9">
              <w:rPr>
                <w:rStyle w:val="NoteLabel"/>
                <w:b/>
              </w:rPr>
              <w:t>a, b, c, d, e</w:t>
            </w:r>
          </w:p>
        </w:tc>
      </w:tr>
      <w:tr w:rsidR="00063660" w:rsidRPr="00612AF9"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430D4C" w:rsidRPr="00612AF9" w:rsidTr="00730EA6">
              <w:trPr>
                <w:jc w:val="center"/>
              </w:trPr>
              <w:tc>
                <w:tcPr>
                  <w:tcW w:w="5000" w:type="pct"/>
                  <w:tcBorders>
                    <w:top w:val="nil"/>
                    <w:bottom w:val="nil"/>
                  </w:tcBorders>
                </w:tcPr>
                <w:p w:rsidR="00430D4C" w:rsidRDefault="0072265E" w:rsidP="00A84DD1">
                  <w:pPr>
                    <w:pStyle w:val="Figure"/>
                    <w:spacing w:before="60" w:after="60"/>
                  </w:pPr>
                  <w:r>
                    <w:rPr>
                      <w:noProof/>
                    </w:rPr>
                    <w:drawing>
                      <wp:inline distT="0" distB="0" distL="0" distR="0">
                        <wp:extent cx="2505075" cy="2314575"/>
                        <wp:effectExtent l="0" t="0" r="9525" b="9525"/>
                        <wp:docPr id="27" name="Picture 27" descr="Figure 14.18 Users of State and Territory administered NDA specialist disability services per 1000 potential population, by geographic location,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28" name="Picture 28" descr="Figure 14.18 Users of State and Territory administered NDA specialist disability services per 1000 potential population, by geographic location,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29" name="Picture 29" descr="Figure 14.18 Users of State and Territory administered NDA specialist disability services per 1000 potential population, by geographic location,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p w:rsidR="003B3976" w:rsidRPr="00612AF9" w:rsidRDefault="0072265E" w:rsidP="00A84DD1">
                  <w:pPr>
                    <w:pStyle w:val="Figure"/>
                    <w:spacing w:before="60" w:after="60"/>
                  </w:pPr>
                  <w:r>
                    <w:rPr>
                      <w:noProof/>
                    </w:rPr>
                    <w:drawing>
                      <wp:inline distT="0" distB="0" distL="0" distR="0">
                        <wp:extent cx="5238750" cy="352425"/>
                        <wp:effectExtent l="0" t="0" r="0" b="9525"/>
                        <wp:docPr id="30" name="Picture 30" descr="Figure 14.18 Users of State and Territory administered NDA specialist disability services per 1000 potential population, by geographic location,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38750" cy="352425"/>
                                </a:xfrm>
                                <a:prstGeom prst="rect">
                                  <a:avLst/>
                                </a:prstGeom>
                                <a:noFill/>
                                <a:ln>
                                  <a:noFill/>
                                </a:ln>
                              </pic:spPr>
                            </pic:pic>
                          </a:graphicData>
                        </a:graphic>
                      </wp:inline>
                    </w:drawing>
                  </w:r>
                </w:p>
              </w:tc>
            </w:tr>
          </w:tbl>
          <w:p w:rsidR="00063660" w:rsidRPr="00612AF9" w:rsidRDefault="00063660" w:rsidP="00730EA6">
            <w:pPr>
              <w:pStyle w:val="Figure"/>
            </w:pPr>
          </w:p>
        </w:tc>
      </w:tr>
      <w:tr w:rsidR="00063660" w:rsidRPr="00612AF9" w:rsidTr="00730EA6">
        <w:tc>
          <w:tcPr>
            <w:tcW w:w="8771" w:type="dxa"/>
            <w:tcBorders>
              <w:top w:val="nil"/>
              <w:left w:val="nil"/>
              <w:bottom w:val="nil"/>
              <w:right w:val="nil"/>
            </w:tcBorders>
            <w:shd w:val="clear" w:color="auto" w:fill="auto"/>
          </w:tcPr>
          <w:p w:rsidR="00063660" w:rsidRPr="00612AF9" w:rsidRDefault="00730EA6" w:rsidP="00C73AAC">
            <w:pPr>
              <w:pStyle w:val="Note"/>
              <w:keepNext/>
            </w:pPr>
            <w:proofErr w:type="gramStart"/>
            <w:r w:rsidRPr="00612AF9">
              <w:rPr>
                <w:rStyle w:val="NoteLabel"/>
              </w:rPr>
              <w:t>a</w:t>
            </w:r>
            <w:proofErr w:type="gramEnd"/>
            <w:r w:rsidRPr="00612AF9">
              <w:t xml:space="preserve"> See tables</w:t>
            </w:r>
            <w:r w:rsidR="00AE3578">
              <w:t> </w:t>
            </w:r>
            <w:r w:rsidRPr="00612AF9">
              <w:t>14A.</w:t>
            </w:r>
            <w:r w:rsidR="00683393" w:rsidRPr="00612AF9">
              <w:t>3</w:t>
            </w:r>
            <w:r w:rsidR="00683393">
              <w:t>7</w:t>
            </w:r>
            <w:r w:rsidR="0045593D">
              <w:t>–</w:t>
            </w:r>
            <w:r w:rsidR="00683393" w:rsidRPr="00612AF9">
              <w:t>3</w:t>
            </w:r>
            <w:r w:rsidR="00683393">
              <w:t>9</w:t>
            </w:r>
            <w:r w:rsidR="00683393" w:rsidRPr="00612AF9">
              <w:t xml:space="preserve"> </w:t>
            </w:r>
            <w:r w:rsidRPr="00612AF9">
              <w:t xml:space="preserve">for detailed notes relating to these data. </w:t>
            </w:r>
            <w:proofErr w:type="gramStart"/>
            <w:r w:rsidRPr="00612AF9">
              <w:rPr>
                <w:rStyle w:val="NoteLabel"/>
              </w:rPr>
              <w:t>b</w:t>
            </w:r>
            <w:proofErr w:type="gramEnd"/>
            <w:r w:rsidRPr="00612AF9">
              <w:t xml:space="preserve"> See </w:t>
            </w:r>
            <w:r w:rsidR="009D29CA">
              <w:t>sections 14.6 and 14.7</w:t>
            </w:r>
            <w:r w:rsidRPr="00612AF9">
              <w:t xml:space="preserve"> for information on how the potential population is defined. </w:t>
            </w:r>
            <w:proofErr w:type="gramStart"/>
            <w:r w:rsidRPr="00612AF9">
              <w:rPr>
                <w:rStyle w:val="NoteLabel"/>
              </w:rPr>
              <w:t>c</w:t>
            </w:r>
            <w:proofErr w:type="gramEnd"/>
            <w:r w:rsidRPr="00612AF9">
              <w:t xml:space="preserve"> Data need to be interpreted with care due to factors affecting data quality. Section 14.6 contains further information on data quality issues. </w:t>
            </w:r>
            <w:proofErr w:type="gramStart"/>
            <w:r w:rsidRPr="00612AF9">
              <w:rPr>
                <w:rStyle w:val="NoteLabel"/>
              </w:rPr>
              <w:t>d</w:t>
            </w:r>
            <w:proofErr w:type="gramEnd"/>
            <w:r w:rsidRPr="00612AF9">
              <w:rPr>
                <w:rStyle w:val="NoteLabel"/>
              </w:rPr>
              <w:t> </w:t>
            </w:r>
            <w:r w:rsidRPr="00612AF9">
              <w:t xml:space="preserve">The ACT does not have outer regional </w:t>
            </w:r>
            <w:r w:rsidR="00655E3A">
              <w:t>or</w:t>
            </w:r>
            <w:r w:rsidRPr="00612AF9">
              <w:t xml:space="preserve"> remote/very remote areas. </w:t>
            </w:r>
            <w:proofErr w:type="gramStart"/>
            <w:r w:rsidRPr="00612AF9">
              <w:rPr>
                <w:rStyle w:val="NoteLabel"/>
              </w:rPr>
              <w:t>e</w:t>
            </w:r>
            <w:proofErr w:type="gramEnd"/>
            <w:r w:rsidRPr="00612AF9">
              <w:t xml:space="preserve"> </w:t>
            </w:r>
            <w:r w:rsidR="003D0CDC" w:rsidRPr="00612AF9">
              <w:t xml:space="preserve">Some data for </w:t>
            </w:r>
            <w:r w:rsidR="003D0CDC">
              <w:t>Tasmania</w:t>
            </w:r>
            <w:r w:rsidR="003D0CDC" w:rsidRPr="00612AF9">
              <w:t xml:space="preserve">, ACT and NT community access </w:t>
            </w:r>
            <w:r w:rsidR="003D0CDC">
              <w:t xml:space="preserve">services </w:t>
            </w:r>
            <w:r w:rsidR="003D0CDC" w:rsidRPr="00612AF9">
              <w:t xml:space="preserve">are not published </w:t>
            </w:r>
            <w:r w:rsidR="00655E3A">
              <w:t xml:space="preserve">due to </w:t>
            </w:r>
            <w:r w:rsidR="003D0CDC" w:rsidRPr="00612AF9">
              <w:t xml:space="preserve">privacy reasons (see </w:t>
            </w:r>
            <w:r w:rsidR="003D0CDC">
              <w:t>table</w:t>
            </w:r>
            <w:r w:rsidR="00AE3578">
              <w:t> </w:t>
            </w:r>
            <w:r w:rsidR="003D0CDC" w:rsidRPr="00612AF9">
              <w:t>14A.</w:t>
            </w:r>
            <w:r w:rsidR="00683393" w:rsidRPr="00612AF9">
              <w:t>3</w:t>
            </w:r>
            <w:r w:rsidR="00683393">
              <w:t>9</w:t>
            </w:r>
            <w:r w:rsidR="003D0CDC" w:rsidRPr="00612AF9">
              <w:t>) though these data have been included in this figure.</w:t>
            </w:r>
          </w:p>
        </w:tc>
      </w:tr>
      <w:tr w:rsidR="00B841B6" w:rsidRPr="00612AF9" w:rsidTr="00730EA6">
        <w:tc>
          <w:tcPr>
            <w:tcW w:w="8771" w:type="dxa"/>
            <w:tcBorders>
              <w:top w:val="nil"/>
              <w:left w:val="nil"/>
              <w:bottom w:val="nil"/>
              <w:right w:val="nil"/>
            </w:tcBorders>
            <w:shd w:val="clear" w:color="auto" w:fill="auto"/>
          </w:tcPr>
          <w:p w:rsidR="00063660" w:rsidRPr="00612AF9" w:rsidRDefault="00730EA6" w:rsidP="00C73AAC">
            <w:pPr>
              <w:pStyle w:val="Source"/>
              <w:keepNext/>
            </w:pPr>
            <w:r w:rsidRPr="009B4B99">
              <w:rPr>
                <w:i/>
              </w:rPr>
              <w:t>Source</w:t>
            </w:r>
            <w:r w:rsidR="00612AF9" w:rsidRPr="00AE3578">
              <w:t>:</w:t>
            </w:r>
            <w:r w:rsidR="00612AF9" w:rsidRPr="009B4B99">
              <w:rPr>
                <w:i/>
              </w:rPr>
              <w:t xml:space="preserve"> </w:t>
            </w:r>
            <w:r w:rsidR="009B4B99" w:rsidRPr="009B4B99">
              <w:t xml:space="preserve">AIHW (unpublished) </w:t>
            </w:r>
            <w:r w:rsidR="00D221B0" w:rsidRPr="00D221B0">
              <w:rPr>
                <w:i/>
              </w:rPr>
              <w:t>DS NMDS 2012</w:t>
            </w:r>
            <w:r w:rsidR="00B84AF2">
              <w:rPr>
                <w:i/>
              </w:rPr>
              <w:noBreakHyphen/>
            </w:r>
            <w:r w:rsidR="00D221B0" w:rsidRPr="00D221B0">
              <w:rPr>
                <w:i/>
              </w:rPr>
              <w:t>13</w:t>
            </w:r>
            <w:r w:rsidR="009B4B99" w:rsidRPr="009B4B99">
              <w:t xml:space="preserve">; AIHW (unpublished), AIHW analysis of the </w:t>
            </w:r>
            <w:r w:rsidR="009B4B99" w:rsidRPr="009B4B99">
              <w:rPr>
                <w:i/>
              </w:rPr>
              <w:t>ABS Estimated Resident Population June 2012</w:t>
            </w:r>
            <w:r w:rsidR="009B4B99" w:rsidRPr="009B4B99">
              <w:t xml:space="preserve">, </w:t>
            </w:r>
            <w:r w:rsidR="00DF1129" w:rsidRPr="007E4549">
              <w:rPr>
                <w:i/>
              </w:rPr>
              <w:t xml:space="preserve">ABS Census of Population and Housing </w:t>
            </w:r>
            <w:r w:rsidR="00DF1129">
              <w:rPr>
                <w:i/>
              </w:rPr>
              <w:t>2011</w:t>
            </w:r>
            <w:r w:rsidR="00DF1129" w:rsidRPr="007E4549">
              <w:t xml:space="preserve"> and the ABS </w:t>
            </w:r>
            <w:r w:rsidR="00DF1129" w:rsidRPr="007E4549">
              <w:rPr>
                <w:i/>
              </w:rPr>
              <w:t xml:space="preserve">Survey of Disability, Ageing and Carers </w:t>
            </w:r>
            <w:r w:rsidR="00DF1129">
              <w:rPr>
                <w:i/>
              </w:rPr>
              <w:t>2012</w:t>
            </w:r>
            <w:r w:rsidR="009B4B99" w:rsidRPr="009B4B99">
              <w:t>;</w:t>
            </w:r>
            <w:r w:rsidRPr="009B4B99">
              <w:t xml:space="preserve"> tables 14A.</w:t>
            </w:r>
            <w:r w:rsidR="00683393" w:rsidRPr="009B4B99">
              <w:t>3</w:t>
            </w:r>
            <w:r w:rsidR="00683393">
              <w:t>7</w:t>
            </w:r>
            <w:r w:rsidR="00DF1129">
              <w:t>–</w:t>
            </w:r>
            <w:r w:rsidR="00683393" w:rsidRPr="009B4B99">
              <w:t>3</w:t>
            </w:r>
            <w:r w:rsidR="00683393">
              <w:t>9</w:t>
            </w:r>
            <w:r w:rsidRPr="009B4B99">
              <w:t>.</w:t>
            </w:r>
          </w:p>
        </w:tc>
      </w:tr>
      <w:tr w:rsidR="00063660" w:rsidRPr="00612AF9" w:rsidTr="00730EA6">
        <w:tc>
          <w:tcPr>
            <w:tcW w:w="8771" w:type="dxa"/>
            <w:tcBorders>
              <w:top w:val="nil"/>
              <w:left w:val="nil"/>
              <w:bottom w:val="single" w:sz="6" w:space="0" w:color="78A22F"/>
              <w:right w:val="nil"/>
            </w:tcBorders>
            <w:shd w:val="clear" w:color="auto" w:fill="auto"/>
          </w:tcPr>
          <w:p w:rsidR="00063660" w:rsidRPr="00612AF9" w:rsidRDefault="00063660" w:rsidP="00730EA6">
            <w:pPr>
              <w:pStyle w:val="Figurespace"/>
            </w:pPr>
          </w:p>
        </w:tc>
      </w:tr>
      <w:tr w:rsidR="00063660" w:rsidRPr="000863A5" w:rsidTr="00730EA6">
        <w:tc>
          <w:tcPr>
            <w:tcW w:w="8771" w:type="dxa"/>
            <w:tcBorders>
              <w:top w:val="single" w:sz="6" w:space="0" w:color="78A22F"/>
              <w:left w:val="nil"/>
              <w:bottom w:val="nil"/>
              <w:right w:val="nil"/>
            </w:tcBorders>
          </w:tcPr>
          <w:p w:rsidR="00063660" w:rsidRPr="00626D32" w:rsidRDefault="00063660" w:rsidP="00730EA6">
            <w:pPr>
              <w:pStyle w:val="BoxSpaceBelow"/>
            </w:pPr>
          </w:p>
        </w:tc>
      </w:tr>
    </w:tbl>
    <w:p w:rsidR="001F39F2" w:rsidRPr="00A34487" w:rsidRDefault="001F39F2" w:rsidP="00585E2C">
      <w:pPr>
        <w:pStyle w:val="BodyText"/>
        <w:rPr>
          <w:b/>
        </w:rPr>
      </w:pPr>
      <w:r w:rsidRPr="00A34487">
        <w:t xml:space="preserve">Nationally in </w:t>
      </w:r>
      <w:r w:rsidR="0056028E" w:rsidRPr="00A34487">
        <w:t>2012</w:t>
      </w:r>
      <w:r w:rsidR="00B84AF2">
        <w:noBreakHyphen/>
      </w:r>
      <w:r w:rsidR="0056028E" w:rsidRPr="00A34487">
        <w:t>13</w:t>
      </w:r>
      <w:r w:rsidRPr="00A34487">
        <w:t>, the proportion of the outer regional and remote/very remote population who used NDA employment services (</w:t>
      </w:r>
      <w:r w:rsidR="00A34487" w:rsidRPr="00A34487">
        <w:t>8.9</w:t>
      </w:r>
      <w:r w:rsidR="00913967" w:rsidRPr="00A34487">
        <w:t xml:space="preserve"> </w:t>
      </w:r>
      <w:r w:rsidRPr="00A34487">
        <w:t>service users per 1000</w:t>
      </w:r>
      <w:r w:rsidR="00326F45" w:rsidRPr="00A34487">
        <w:t> </w:t>
      </w:r>
      <w:r w:rsidRPr="00A34487">
        <w:t>population) was higher than that of the major cities and inner regional population (</w:t>
      </w:r>
      <w:r w:rsidR="00A34487" w:rsidRPr="00A34487">
        <w:t>8.5</w:t>
      </w:r>
      <w:r w:rsidR="001A0CA8">
        <w:t xml:space="preserve"> </w:t>
      </w:r>
      <w:r w:rsidR="001B3857">
        <w:t>service users per </w:t>
      </w:r>
      <w:r w:rsidRPr="00A34487">
        <w:t>1000 population) (figure</w:t>
      </w:r>
      <w:r w:rsidR="00AE3578">
        <w:t> </w:t>
      </w:r>
      <w:r w:rsidRPr="00A34487">
        <w:t>14.1</w:t>
      </w:r>
      <w:r w:rsidR="0056028E" w:rsidRPr="00A34487">
        <w:t>9</w:t>
      </w:r>
      <w:r w:rsidRPr="00A34487">
        <w:t>). The proportion of the outer regional and remote/very remote potential population who used NDA employment services (</w:t>
      </w:r>
      <w:r w:rsidR="00FE382F" w:rsidRPr="00A34487">
        <w:t xml:space="preserve">406.3 </w:t>
      </w:r>
      <w:r w:rsidRPr="00A34487">
        <w:t xml:space="preserve">service users </w:t>
      </w:r>
      <w:r w:rsidRPr="00A34487">
        <w:lastRenderedPageBreak/>
        <w:t>per</w:t>
      </w:r>
      <w:r w:rsidR="001B3857">
        <w:t> </w:t>
      </w:r>
      <w:r w:rsidRPr="00A34487">
        <w:t>1000 potential population) was lower than that of the major cities and inner regional potential population (</w:t>
      </w:r>
      <w:r w:rsidR="00FE382F">
        <w:t>460</w:t>
      </w:r>
      <w:r w:rsidR="00FE382F" w:rsidRPr="00A34487">
        <w:t xml:space="preserve">.0 </w:t>
      </w:r>
      <w:r w:rsidRPr="00A34487">
        <w:t>service users per 1000 potential population) (figure</w:t>
      </w:r>
      <w:r w:rsidR="00AE3578">
        <w:t> </w:t>
      </w:r>
      <w:r w:rsidRPr="00A34487">
        <w:t>14.1</w:t>
      </w:r>
      <w:r w:rsidR="0056028E" w:rsidRPr="00A34487">
        <w:t>9</w:t>
      </w:r>
      <w:r w:rsidRPr="00A34487">
        <w:t>).</w:t>
      </w:r>
    </w:p>
    <w:p w:rsidR="00BD53BA" w:rsidRPr="00A34487" w:rsidRDefault="00BD53BA"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D53BA" w:rsidRPr="00A34487" w:rsidTr="00DD33DF">
        <w:tc>
          <w:tcPr>
            <w:tcW w:w="8771" w:type="dxa"/>
            <w:tcBorders>
              <w:top w:val="single" w:sz="6" w:space="0" w:color="78A22F"/>
              <w:left w:val="nil"/>
              <w:bottom w:val="nil"/>
              <w:right w:val="nil"/>
            </w:tcBorders>
            <w:shd w:val="clear" w:color="auto" w:fill="auto"/>
          </w:tcPr>
          <w:p w:rsidR="00BD53BA" w:rsidRPr="00A34487" w:rsidRDefault="00BD53BA" w:rsidP="00BD53BA">
            <w:pPr>
              <w:pStyle w:val="FigureTitle"/>
            </w:pPr>
            <w:r w:rsidRPr="00A34487">
              <w:rPr>
                <w:b w:val="0"/>
              </w:rPr>
              <w:t xml:space="preserve">Figure </w:t>
            </w:r>
            <w:r w:rsidR="00321568">
              <w:rPr>
                <w:b w:val="0"/>
              </w:rPr>
              <w:t>14.</w:t>
            </w:r>
            <w:r w:rsidR="0085284B">
              <w:rPr>
                <w:b w:val="0"/>
                <w:noProof/>
              </w:rPr>
              <w:t>19</w:t>
            </w:r>
            <w:r w:rsidRPr="00A34487">
              <w:tab/>
              <w:t>Users of NDA employment services, by geographic location, 201</w:t>
            </w:r>
            <w:r w:rsidR="0056028E" w:rsidRPr="00A34487">
              <w:t>2</w:t>
            </w:r>
            <w:r w:rsidR="00B84AF2">
              <w:noBreakHyphen/>
            </w:r>
            <w:r w:rsidR="0056028E" w:rsidRPr="00A34487">
              <w:t>13</w:t>
            </w:r>
            <w:r w:rsidR="00A64C59">
              <w:rPr>
                <w:rStyle w:val="NoteLabel"/>
                <w:b/>
              </w:rPr>
              <w:t>a, b, c</w:t>
            </w:r>
          </w:p>
        </w:tc>
      </w:tr>
      <w:tr w:rsidR="00BD53BA" w:rsidRPr="00A34487" w:rsidTr="00DD33DF">
        <w:tc>
          <w:tcPr>
            <w:tcW w:w="8771" w:type="dxa"/>
            <w:tcBorders>
              <w:top w:val="nil"/>
              <w:left w:val="nil"/>
              <w:bottom w:val="nil"/>
              <w:right w:val="nil"/>
            </w:tcBorders>
            <w:shd w:val="clear" w:color="auto" w:fill="auto"/>
            <w:tcMar>
              <w:top w:w="28" w:type="dxa"/>
              <w:bottom w:w="28" w:type="dxa"/>
            </w:tcMar>
          </w:tcPr>
          <w:p w:rsidR="003B3976" w:rsidRPr="003B3976" w:rsidRDefault="0072265E" w:rsidP="00905166">
            <w:pPr>
              <w:pStyle w:val="Figure"/>
              <w:spacing w:after="0"/>
            </w:pPr>
            <w:r>
              <w:rPr>
                <w:noProof/>
              </w:rPr>
              <w:drawing>
                <wp:inline distT="0" distB="0" distL="0" distR="0">
                  <wp:extent cx="2505075" cy="2314575"/>
                  <wp:effectExtent l="0" t="0" r="9525" b="9525"/>
                  <wp:docPr id="31" name="Picture 31" descr="Figure 14.19 Users of NDA employment services, by geographic location, 2012-13&#10;&#10;Users/1000 peop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32" name="Picture 32" descr="Figure 14.19 Users of NDA employment services, by geographic location, 2012-13&#10;&#10;Users/1000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5238750" cy="352425"/>
                  <wp:effectExtent l="0" t="0" r="0" b="9525"/>
                  <wp:docPr id="33" name="Picture 33" descr="Figure 14.19 Users of NDA employment services, by geographic location,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38750" cy="352425"/>
                          </a:xfrm>
                          <a:prstGeom prst="rect">
                            <a:avLst/>
                          </a:prstGeom>
                          <a:noFill/>
                          <a:ln>
                            <a:noFill/>
                          </a:ln>
                        </pic:spPr>
                      </pic:pic>
                    </a:graphicData>
                  </a:graphic>
                </wp:inline>
              </w:drawing>
            </w:r>
          </w:p>
        </w:tc>
      </w:tr>
      <w:tr w:rsidR="00BD53BA" w:rsidRPr="00A34487" w:rsidTr="00DD33DF">
        <w:tc>
          <w:tcPr>
            <w:tcW w:w="8771" w:type="dxa"/>
            <w:tcBorders>
              <w:top w:val="nil"/>
              <w:left w:val="nil"/>
              <w:bottom w:val="nil"/>
              <w:right w:val="nil"/>
            </w:tcBorders>
            <w:shd w:val="clear" w:color="auto" w:fill="auto"/>
          </w:tcPr>
          <w:p w:rsidR="00BD53BA" w:rsidRPr="00A34487" w:rsidRDefault="00E17301" w:rsidP="00683393">
            <w:pPr>
              <w:pStyle w:val="Note"/>
            </w:pPr>
            <w:proofErr w:type="gramStart"/>
            <w:r w:rsidRPr="0049705B">
              <w:rPr>
                <w:rStyle w:val="NoteLabel"/>
              </w:rPr>
              <w:t>a</w:t>
            </w:r>
            <w:proofErr w:type="gramEnd"/>
            <w:r w:rsidRPr="0049705B">
              <w:t xml:space="preserve"> See table 14A.</w:t>
            </w:r>
            <w:r w:rsidR="00683393">
              <w:t>41</w:t>
            </w:r>
            <w:r w:rsidR="00683393" w:rsidRPr="0049705B">
              <w:t xml:space="preserve"> </w:t>
            </w:r>
            <w:r w:rsidRPr="0049705B">
              <w:t xml:space="preserve">for detailed notes relating to these data. </w:t>
            </w:r>
            <w:proofErr w:type="gramStart"/>
            <w:r w:rsidR="00A64C59">
              <w:rPr>
                <w:rStyle w:val="NoteLabel"/>
              </w:rPr>
              <w:t>b</w:t>
            </w:r>
            <w:proofErr w:type="gramEnd"/>
            <w:r w:rsidR="00A64C59">
              <w:rPr>
                <w:rStyle w:val="NoteLabel"/>
              </w:rPr>
              <w:t xml:space="preserve"> </w:t>
            </w:r>
            <w:r w:rsidRPr="0049705B">
              <w:t xml:space="preserve">The ACT does not have outer regional and remote/very remote areas. </w:t>
            </w:r>
            <w:proofErr w:type="gramStart"/>
            <w:r w:rsidR="00A64C59">
              <w:rPr>
                <w:rStyle w:val="NoteLabel"/>
              </w:rPr>
              <w:t>c</w:t>
            </w:r>
            <w:proofErr w:type="gramEnd"/>
            <w:r w:rsidRPr="0049705B">
              <w:t> The NT does not have major cities and inner regional areas.</w:t>
            </w:r>
            <w:r w:rsidRPr="00A34487">
              <w:t xml:space="preserve"> </w:t>
            </w:r>
          </w:p>
        </w:tc>
      </w:tr>
      <w:tr w:rsidR="00BD53BA" w:rsidRPr="00A34487" w:rsidTr="00DD33DF">
        <w:tc>
          <w:tcPr>
            <w:tcW w:w="8771" w:type="dxa"/>
            <w:tcBorders>
              <w:top w:val="nil"/>
              <w:left w:val="nil"/>
              <w:bottom w:val="nil"/>
              <w:right w:val="nil"/>
            </w:tcBorders>
            <w:shd w:val="clear" w:color="auto" w:fill="auto"/>
          </w:tcPr>
          <w:p w:rsidR="00BD53BA" w:rsidRPr="00D221B0" w:rsidRDefault="00E17301" w:rsidP="006B51BC">
            <w:pPr>
              <w:pStyle w:val="Source"/>
            </w:pPr>
            <w:r w:rsidRPr="00D221B0">
              <w:rPr>
                <w:i/>
              </w:rPr>
              <w:t>Source</w:t>
            </w:r>
            <w:r w:rsidRPr="00D221B0">
              <w:t xml:space="preserve">: </w:t>
            </w:r>
            <w:r w:rsidR="00D221B0" w:rsidRPr="00D221B0">
              <w:t xml:space="preserve">AIHW (unpublished) </w:t>
            </w:r>
            <w:r w:rsidR="00D221B0" w:rsidRPr="00D221B0">
              <w:rPr>
                <w:i/>
              </w:rPr>
              <w:t>DS NMDS 2012</w:t>
            </w:r>
            <w:r w:rsidR="00B84AF2">
              <w:rPr>
                <w:i/>
              </w:rPr>
              <w:noBreakHyphen/>
            </w:r>
            <w:r w:rsidR="00D221B0" w:rsidRPr="00D221B0">
              <w:rPr>
                <w:i/>
              </w:rPr>
              <w:t>13</w:t>
            </w:r>
            <w:r w:rsidR="00D221B0" w:rsidRPr="00D221B0">
              <w:t xml:space="preserve">; AIHW (unpublished), AIHW analysis of the </w:t>
            </w:r>
            <w:r w:rsidR="00D221B0" w:rsidRPr="00D221B0">
              <w:rPr>
                <w:i/>
              </w:rPr>
              <w:t>ABS Estimated Resident Population June 2012</w:t>
            </w:r>
            <w:r w:rsidR="00D221B0">
              <w:t xml:space="preserve">, </w:t>
            </w:r>
            <w:r w:rsidR="00DF1129" w:rsidRPr="007E4549">
              <w:rPr>
                <w:i/>
              </w:rPr>
              <w:t xml:space="preserve">ABS Census of Population and Housing </w:t>
            </w:r>
            <w:r w:rsidR="00DF1129">
              <w:rPr>
                <w:i/>
              </w:rPr>
              <w:t>2011</w:t>
            </w:r>
            <w:r w:rsidR="00DF1129" w:rsidRPr="007E4549">
              <w:t xml:space="preserve"> and the </w:t>
            </w:r>
            <w:r w:rsidR="00DF1129" w:rsidRPr="00DF1129">
              <w:rPr>
                <w:i/>
              </w:rPr>
              <w:t>ABS</w:t>
            </w:r>
            <w:r w:rsidR="00DF1129" w:rsidRPr="007E4549">
              <w:t xml:space="preserve"> </w:t>
            </w:r>
            <w:r w:rsidR="00DF1129" w:rsidRPr="007E4549">
              <w:rPr>
                <w:i/>
              </w:rPr>
              <w:t xml:space="preserve">Survey of Disability, Ageing and Carers </w:t>
            </w:r>
            <w:r w:rsidR="00DF1129">
              <w:rPr>
                <w:i/>
              </w:rPr>
              <w:t xml:space="preserve">2012; </w:t>
            </w:r>
            <w:r w:rsidRPr="00D221B0">
              <w:t>table 14A.</w:t>
            </w:r>
            <w:r w:rsidR="00683393">
              <w:t>41</w:t>
            </w:r>
            <w:r w:rsidRPr="00D221B0">
              <w:t>.</w:t>
            </w:r>
          </w:p>
        </w:tc>
      </w:tr>
      <w:tr w:rsidR="00BD53BA" w:rsidRPr="00A34487" w:rsidTr="00DD33DF">
        <w:tc>
          <w:tcPr>
            <w:tcW w:w="8771" w:type="dxa"/>
            <w:tcBorders>
              <w:top w:val="nil"/>
              <w:left w:val="nil"/>
              <w:bottom w:val="single" w:sz="6" w:space="0" w:color="78A22F"/>
              <w:right w:val="nil"/>
            </w:tcBorders>
            <w:shd w:val="clear" w:color="auto" w:fill="auto"/>
          </w:tcPr>
          <w:p w:rsidR="00BD53BA" w:rsidRPr="00A34487" w:rsidRDefault="00BD53BA" w:rsidP="00DD33DF">
            <w:pPr>
              <w:pStyle w:val="Figurespace"/>
            </w:pPr>
          </w:p>
        </w:tc>
      </w:tr>
      <w:tr w:rsidR="00BD53BA" w:rsidRPr="00A34487" w:rsidTr="00DD33DF">
        <w:tc>
          <w:tcPr>
            <w:tcW w:w="8771" w:type="dxa"/>
            <w:tcBorders>
              <w:top w:val="single" w:sz="6" w:space="0" w:color="78A22F"/>
              <w:left w:val="nil"/>
              <w:bottom w:val="nil"/>
              <w:right w:val="nil"/>
            </w:tcBorders>
          </w:tcPr>
          <w:p w:rsidR="00BD53BA" w:rsidRPr="00A34487" w:rsidRDefault="00BD53BA" w:rsidP="00DD33DF">
            <w:pPr>
              <w:pStyle w:val="BoxSpaceBelow"/>
            </w:pPr>
          </w:p>
        </w:tc>
      </w:tr>
    </w:tbl>
    <w:p w:rsidR="001F39F2" w:rsidRPr="00F25B51" w:rsidRDefault="001F39F2" w:rsidP="00585E2C">
      <w:pPr>
        <w:pStyle w:val="Heading5"/>
      </w:pPr>
      <w:r w:rsidRPr="00A34487">
        <w:t xml:space="preserve">Service use by special needs groups — </w:t>
      </w:r>
      <w:r w:rsidR="00904E97" w:rsidRPr="00A34487">
        <w:t>Aboriginal</w:t>
      </w:r>
      <w:r w:rsidR="00904E97">
        <w:t xml:space="preserve"> and Torres Strait </w:t>
      </w:r>
      <w:r w:rsidR="00C21DBC">
        <w:t>Islander people</w:t>
      </w:r>
    </w:p>
    <w:p w:rsidR="008E3618" w:rsidRPr="00A45158" w:rsidRDefault="001F39F2" w:rsidP="00585E2C">
      <w:pPr>
        <w:pStyle w:val="BodyText"/>
        <w:keepNext/>
      </w:pPr>
      <w:r w:rsidRPr="00285EA8">
        <w:t xml:space="preserve">Nationally in </w:t>
      </w:r>
      <w:r w:rsidR="0056028E" w:rsidRPr="00285EA8">
        <w:t>2012</w:t>
      </w:r>
      <w:r w:rsidR="00B84AF2">
        <w:noBreakHyphen/>
      </w:r>
      <w:r w:rsidR="0056028E" w:rsidRPr="00285EA8">
        <w:t>13</w:t>
      </w:r>
      <w:r w:rsidRPr="00285EA8">
        <w:t xml:space="preserve">, the proportion of the </w:t>
      </w:r>
      <w:r w:rsidR="00904E97" w:rsidRPr="00285EA8">
        <w:t>Aboriginal and Torres Strait Islander</w:t>
      </w:r>
      <w:r w:rsidRPr="00A45158">
        <w:t xml:space="preserve"> population who used NDA</w:t>
      </w:r>
      <w:r w:rsidR="008E3618" w:rsidRPr="00A45158">
        <w:t>:</w:t>
      </w:r>
    </w:p>
    <w:p w:rsidR="001F39F2" w:rsidRPr="0057455E" w:rsidRDefault="001F39F2" w:rsidP="00585E2C">
      <w:pPr>
        <w:pStyle w:val="ListBullet"/>
      </w:pPr>
      <w:proofErr w:type="gramStart"/>
      <w:r w:rsidRPr="00DE0ECB">
        <w:t>accommodation</w:t>
      </w:r>
      <w:proofErr w:type="gramEnd"/>
      <w:r w:rsidRPr="00DE0ECB">
        <w:t xml:space="preserve"> support services was </w:t>
      </w:r>
      <w:r w:rsidR="006F38FE" w:rsidRPr="001D2A92">
        <w:t>3.0</w:t>
      </w:r>
      <w:r w:rsidRPr="0057455E">
        <w:t xml:space="preserve"> service users per 1000 </w:t>
      </w:r>
      <w:r w:rsidR="00B317C2" w:rsidRPr="0057455E">
        <w:t>people</w:t>
      </w:r>
      <w:r w:rsidRPr="0057455E">
        <w:t>, higher than the proportion of the non</w:t>
      </w:r>
      <w:r w:rsidR="00B84AF2">
        <w:noBreakHyphen/>
      </w:r>
      <w:r w:rsidRPr="0057455E">
        <w:t>Indigenous population who used these services (</w:t>
      </w:r>
      <w:r w:rsidR="0058072E" w:rsidRPr="0057455E">
        <w:t>1.8</w:t>
      </w:r>
      <w:r w:rsidR="0019455A">
        <w:t xml:space="preserve"> </w:t>
      </w:r>
      <w:r w:rsidRPr="0057455E">
        <w:t xml:space="preserve">service users per 1000 </w:t>
      </w:r>
      <w:r w:rsidR="00B317C2" w:rsidRPr="0057455E">
        <w:t>people</w:t>
      </w:r>
      <w:r w:rsidRPr="0057455E">
        <w:t>) (figure</w:t>
      </w:r>
      <w:r w:rsidR="00AE3578">
        <w:t> </w:t>
      </w:r>
      <w:r w:rsidRPr="0057455E">
        <w:t>14.</w:t>
      </w:r>
      <w:r w:rsidR="0056028E" w:rsidRPr="0057455E">
        <w:t>20</w:t>
      </w:r>
      <w:r w:rsidRPr="0057455E">
        <w:t xml:space="preserve">a). The proportion of the </w:t>
      </w:r>
      <w:r w:rsidR="00904E97" w:rsidRPr="0057455E">
        <w:t>Aboriginal and Torres Strait Islander</w:t>
      </w:r>
      <w:r w:rsidRPr="0057455E">
        <w:t xml:space="preserve"> potential population who used NDA accommodation support services (</w:t>
      </w:r>
      <w:r w:rsidR="0058072E" w:rsidRPr="0057455E">
        <w:t>51.3</w:t>
      </w:r>
      <w:r w:rsidR="00CF44B8">
        <w:t> </w:t>
      </w:r>
      <w:r w:rsidRPr="0057455E">
        <w:t xml:space="preserve">service users per 1000 potential population) was </w:t>
      </w:r>
      <w:r w:rsidR="00DA0DAF" w:rsidRPr="0057455E">
        <w:t xml:space="preserve">slightly </w:t>
      </w:r>
      <w:r w:rsidRPr="0057455E">
        <w:t xml:space="preserve">lower than the </w:t>
      </w:r>
      <w:r w:rsidR="0058072E" w:rsidRPr="0057455E">
        <w:br/>
      </w:r>
      <w:r w:rsidRPr="0057455E">
        <w:t>non</w:t>
      </w:r>
      <w:r w:rsidR="00B84AF2">
        <w:noBreakHyphen/>
      </w:r>
      <w:r w:rsidRPr="0057455E">
        <w:t>Indigenous potential population who used these services (</w:t>
      </w:r>
      <w:r w:rsidR="0058072E" w:rsidRPr="0057455E">
        <w:t>65.0</w:t>
      </w:r>
      <w:r w:rsidR="00DA0DAF" w:rsidRPr="0057455E">
        <w:t> </w:t>
      </w:r>
      <w:r w:rsidR="001B3857">
        <w:t>service users per </w:t>
      </w:r>
      <w:r w:rsidRPr="0057455E">
        <w:t>1000 potential population) (figure</w:t>
      </w:r>
      <w:r w:rsidR="00AE3578">
        <w:t> </w:t>
      </w:r>
      <w:r w:rsidRPr="0057455E">
        <w:t>14.</w:t>
      </w:r>
      <w:r w:rsidR="00717CE1" w:rsidRPr="0057455E">
        <w:t>2</w:t>
      </w:r>
      <w:r w:rsidR="0056028E" w:rsidRPr="0057455E">
        <w:t>1</w:t>
      </w:r>
      <w:r w:rsidR="00BD1C57">
        <w:t>a)</w:t>
      </w:r>
    </w:p>
    <w:p w:rsidR="001F39F2" w:rsidRPr="00285EA8" w:rsidRDefault="001F39F2" w:rsidP="00585E2C">
      <w:pPr>
        <w:pStyle w:val="ListBullet"/>
      </w:pPr>
      <w:proofErr w:type="gramStart"/>
      <w:r w:rsidRPr="0057455E">
        <w:t>community</w:t>
      </w:r>
      <w:proofErr w:type="gramEnd"/>
      <w:r w:rsidRPr="0057455E">
        <w:t xml:space="preserve"> support services was </w:t>
      </w:r>
      <w:r w:rsidR="0058072E" w:rsidRPr="0057455E">
        <w:t>14.3</w:t>
      </w:r>
      <w:r w:rsidRPr="0057455E">
        <w:t xml:space="preserve"> service users per 1000 </w:t>
      </w:r>
      <w:r w:rsidR="00B317C2" w:rsidRPr="0057455E">
        <w:t>people</w:t>
      </w:r>
      <w:r w:rsidRPr="0057455E">
        <w:t>, higher than the proportion of the non</w:t>
      </w:r>
      <w:r w:rsidR="00B84AF2">
        <w:noBreakHyphen/>
      </w:r>
      <w:r w:rsidRPr="0057455E">
        <w:t>Indigenous population who used these services (</w:t>
      </w:r>
      <w:r w:rsidR="00285EA8">
        <w:t>6.6</w:t>
      </w:r>
      <w:r w:rsidRPr="00285EA8">
        <w:t xml:space="preserve"> service users per 1000 </w:t>
      </w:r>
      <w:r w:rsidR="00B317C2" w:rsidRPr="00285EA8">
        <w:t>people</w:t>
      </w:r>
      <w:r w:rsidRPr="00285EA8">
        <w:t>) (figure</w:t>
      </w:r>
      <w:r w:rsidR="00AE3578">
        <w:t> </w:t>
      </w:r>
      <w:r w:rsidRPr="00285EA8">
        <w:t>14.</w:t>
      </w:r>
      <w:r w:rsidR="0056028E" w:rsidRPr="00285EA8">
        <w:t>20</w:t>
      </w:r>
      <w:r w:rsidRPr="00285EA8">
        <w:t xml:space="preserve">b). The proportion of the </w:t>
      </w:r>
      <w:r w:rsidR="00904E97" w:rsidRPr="00A45158">
        <w:t>Aboriginal and Torres Strait Islander</w:t>
      </w:r>
      <w:r w:rsidRPr="00DE0ECB">
        <w:t xml:space="preserve"> potential population who used NDA community support services (</w:t>
      </w:r>
      <w:r w:rsidR="00285EA8">
        <w:t>248.0</w:t>
      </w:r>
      <w:r w:rsidRPr="00285EA8">
        <w:t xml:space="preserve"> service users per 1000 potential population) was higher than the proportion of </w:t>
      </w:r>
      <w:r w:rsidRPr="00285EA8">
        <w:lastRenderedPageBreak/>
        <w:t>the non</w:t>
      </w:r>
      <w:r w:rsidR="00B84AF2">
        <w:noBreakHyphen/>
      </w:r>
      <w:r w:rsidR="002246E3" w:rsidRPr="00285EA8">
        <w:t>I</w:t>
      </w:r>
      <w:r w:rsidRPr="00285EA8">
        <w:t>ndigenous potential population who used these services (</w:t>
      </w:r>
      <w:r w:rsidR="00285EA8">
        <w:t>244.2</w:t>
      </w:r>
      <w:r w:rsidRPr="00285EA8">
        <w:t> service users per 1000 potential population) (figure</w:t>
      </w:r>
      <w:r w:rsidR="00AE3578">
        <w:t> </w:t>
      </w:r>
      <w:r w:rsidRPr="00285EA8">
        <w:t>14.</w:t>
      </w:r>
      <w:r w:rsidR="00717CE1" w:rsidRPr="00285EA8">
        <w:t>2</w:t>
      </w:r>
      <w:r w:rsidR="0056028E" w:rsidRPr="00285EA8">
        <w:t>1</w:t>
      </w:r>
      <w:r w:rsidR="00BD1C57">
        <w:t>b)</w:t>
      </w:r>
    </w:p>
    <w:p w:rsidR="001F39F2" w:rsidRPr="00285EA8" w:rsidRDefault="001F39F2" w:rsidP="00585E2C">
      <w:pPr>
        <w:pStyle w:val="ListBullet"/>
      </w:pPr>
      <w:proofErr w:type="gramStart"/>
      <w:r w:rsidRPr="00285EA8">
        <w:t>community</w:t>
      </w:r>
      <w:proofErr w:type="gramEnd"/>
      <w:r w:rsidRPr="00285EA8">
        <w:t xml:space="preserve"> access services was </w:t>
      </w:r>
      <w:r w:rsidR="00285EA8">
        <w:t>3.2</w:t>
      </w:r>
      <w:r w:rsidRPr="00285EA8">
        <w:t xml:space="preserve"> service users per 1000 </w:t>
      </w:r>
      <w:r w:rsidR="00B317C2" w:rsidRPr="00285EA8">
        <w:t>people</w:t>
      </w:r>
      <w:r w:rsidRPr="00285EA8">
        <w:t>, higher than the proportion of the non</w:t>
      </w:r>
      <w:r w:rsidR="00B84AF2">
        <w:noBreakHyphen/>
      </w:r>
      <w:r w:rsidRPr="00285EA8">
        <w:t>Indigenous population who used these services (</w:t>
      </w:r>
      <w:r w:rsidR="00285EA8">
        <w:t>2.3</w:t>
      </w:r>
      <w:r w:rsidRPr="00285EA8">
        <w:t xml:space="preserve"> service users per 1000 </w:t>
      </w:r>
      <w:r w:rsidR="00B317C2" w:rsidRPr="00A45158">
        <w:t>people</w:t>
      </w:r>
      <w:r w:rsidRPr="00A45158">
        <w:t>) (figure</w:t>
      </w:r>
      <w:r w:rsidR="00AE3578">
        <w:t> </w:t>
      </w:r>
      <w:r w:rsidRPr="00A45158">
        <w:t>14.</w:t>
      </w:r>
      <w:r w:rsidR="009323BA" w:rsidRPr="00DE0ECB">
        <w:t>20</w:t>
      </w:r>
      <w:r w:rsidRPr="00601595">
        <w:t xml:space="preserve">c). The proportion of the </w:t>
      </w:r>
      <w:r w:rsidR="00904E97" w:rsidRPr="00601595">
        <w:t>Aboriginal and Torres Strait Islander</w:t>
      </w:r>
      <w:r w:rsidRPr="00601595">
        <w:t xml:space="preserve"> potential population who used NDA community access services (</w:t>
      </w:r>
      <w:r w:rsidR="00285EA8">
        <w:t>54.8</w:t>
      </w:r>
      <w:r w:rsidRPr="00285EA8">
        <w:t xml:space="preserve"> service users per 1000 potential population) was lower than the proportion of the </w:t>
      </w:r>
      <w:r w:rsidR="00285EA8">
        <w:br/>
      </w:r>
      <w:r w:rsidRPr="00285EA8">
        <w:t>non</w:t>
      </w:r>
      <w:r w:rsidR="00B84AF2">
        <w:noBreakHyphen/>
      </w:r>
      <w:r w:rsidRPr="00285EA8">
        <w:t>Indigenous potential population who used these services (</w:t>
      </w:r>
      <w:r w:rsidR="00285EA8">
        <w:t>84.2</w:t>
      </w:r>
      <w:r w:rsidR="001B3857">
        <w:t xml:space="preserve"> service users per </w:t>
      </w:r>
      <w:r w:rsidRPr="00285EA8">
        <w:t>1000 potential population) (figure</w:t>
      </w:r>
      <w:r w:rsidR="00AE3578">
        <w:t> </w:t>
      </w:r>
      <w:r w:rsidRPr="00285EA8">
        <w:t>14.</w:t>
      </w:r>
      <w:r w:rsidR="00717CE1" w:rsidRPr="00285EA8">
        <w:t>2</w:t>
      </w:r>
      <w:r w:rsidR="009323BA" w:rsidRPr="00285EA8">
        <w:t>1</w:t>
      </w:r>
      <w:r w:rsidR="00BD1C57">
        <w:t>c)</w:t>
      </w:r>
    </w:p>
    <w:p w:rsidR="001F39F2" w:rsidRPr="00601595" w:rsidRDefault="001F39F2" w:rsidP="00585E2C">
      <w:pPr>
        <w:pStyle w:val="ListBullet"/>
      </w:pPr>
      <w:proofErr w:type="gramStart"/>
      <w:r w:rsidRPr="00285EA8">
        <w:t>respite</w:t>
      </w:r>
      <w:proofErr w:type="gramEnd"/>
      <w:r w:rsidRPr="00285EA8">
        <w:t xml:space="preserve"> service</w:t>
      </w:r>
      <w:r w:rsidR="00CC0FFD" w:rsidRPr="00285EA8">
        <w:t>s</w:t>
      </w:r>
      <w:r w:rsidRPr="00285EA8">
        <w:t xml:space="preserve"> was </w:t>
      </w:r>
      <w:r w:rsidR="00285EA8">
        <w:t>3.0</w:t>
      </w:r>
      <w:r w:rsidR="0019455A">
        <w:t xml:space="preserve"> </w:t>
      </w:r>
      <w:r w:rsidRPr="00285EA8">
        <w:t xml:space="preserve">users per 1000 </w:t>
      </w:r>
      <w:r w:rsidR="00B317C2" w:rsidRPr="00285EA8">
        <w:t>people</w:t>
      </w:r>
      <w:r w:rsidRPr="00285EA8">
        <w:t xml:space="preserve">, higher than the proportion of the </w:t>
      </w:r>
      <w:r w:rsidR="0074679E" w:rsidRPr="00285EA8">
        <w:br/>
      </w:r>
      <w:r w:rsidRPr="00285EA8">
        <w:t>non</w:t>
      </w:r>
      <w:r w:rsidR="00B84AF2">
        <w:noBreakHyphen/>
      </w:r>
      <w:r w:rsidR="0074679E" w:rsidRPr="00285EA8">
        <w:t>Indigenous</w:t>
      </w:r>
      <w:r w:rsidRPr="00E938E2">
        <w:t xml:space="preserve"> population who used these services (</w:t>
      </w:r>
      <w:r w:rsidR="00285EA8">
        <w:t>1.7</w:t>
      </w:r>
      <w:r w:rsidRPr="00285EA8">
        <w:t> service users per 1000</w:t>
      </w:r>
      <w:r w:rsidR="00326F45" w:rsidRPr="00A45158">
        <w:t> </w:t>
      </w:r>
      <w:r w:rsidR="00B317C2" w:rsidRPr="00A45158">
        <w:t>people</w:t>
      </w:r>
      <w:r w:rsidRPr="00DE0ECB">
        <w:t>) (figure</w:t>
      </w:r>
      <w:r w:rsidR="00AE3578">
        <w:t> </w:t>
      </w:r>
      <w:r w:rsidRPr="00DE0ECB">
        <w:t>14.</w:t>
      </w:r>
      <w:r w:rsidR="009323BA" w:rsidRPr="00601595">
        <w:t>20</w:t>
      </w:r>
      <w:r w:rsidRPr="00601595">
        <w:t xml:space="preserve">d). Access to respite as a proportion of the potential population is not reported. Potential population data for respite services is not calculated at these levels because of conceptual, definitional and quality issues with carer data </w:t>
      </w:r>
      <w:r w:rsidR="00DA0DAF" w:rsidRPr="00601595">
        <w:t xml:space="preserve">for the special needs groups </w:t>
      </w:r>
      <w:r w:rsidRPr="00601595">
        <w:t xml:space="preserve">from the </w:t>
      </w:r>
      <w:r w:rsidR="0027537F" w:rsidRPr="00601595">
        <w:t xml:space="preserve">2011 </w:t>
      </w:r>
      <w:r w:rsidR="00BD1C57">
        <w:t>Census.</w:t>
      </w:r>
    </w:p>
    <w:p w:rsidR="001F39F2" w:rsidRPr="009323BA" w:rsidRDefault="001F39F2" w:rsidP="00585E2C">
      <w:pPr>
        <w:pStyle w:val="BodyText"/>
      </w:pPr>
      <w:r w:rsidRPr="009323BA">
        <w:t xml:space="preserve">Data on users of NDA </w:t>
      </w:r>
      <w:r w:rsidR="00CC0FFD" w:rsidRPr="009323BA">
        <w:t xml:space="preserve">specialist </w:t>
      </w:r>
      <w:r w:rsidRPr="009323BA">
        <w:t xml:space="preserve">disability support services as a proportion of the </w:t>
      </w:r>
      <w:r w:rsidR="00904E97" w:rsidRPr="009323BA">
        <w:t>Aboriginal and Torres Strait Islander</w:t>
      </w:r>
      <w:r w:rsidRPr="009323BA">
        <w:t xml:space="preserve"> estimated potential population </w:t>
      </w:r>
      <w:r w:rsidR="00CC0FFD" w:rsidRPr="009323BA">
        <w:t>for 200</w:t>
      </w:r>
      <w:r w:rsidR="009F5385" w:rsidRPr="009323BA">
        <w:t>8</w:t>
      </w:r>
      <w:r w:rsidR="00B84AF2">
        <w:noBreakHyphen/>
      </w:r>
      <w:r w:rsidR="009F5385" w:rsidRPr="009323BA">
        <w:t>09</w:t>
      </w:r>
      <w:r w:rsidR="00CC0FFD" w:rsidRPr="009323BA">
        <w:t xml:space="preserve"> to </w:t>
      </w:r>
      <w:r w:rsidR="00722004">
        <w:br/>
      </w:r>
      <w:r w:rsidR="009323BA" w:rsidRPr="009323BA">
        <w:t>2012</w:t>
      </w:r>
      <w:r w:rsidR="00B84AF2">
        <w:noBreakHyphen/>
      </w:r>
      <w:r w:rsidR="009323BA" w:rsidRPr="009323BA">
        <w:t>13</w:t>
      </w:r>
      <w:r w:rsidR="00CC0FFD" w:rsidRPr="009323BA">
        <w:t xml:space="preserve"> </w:t>
      </w:r>
      <w:r w:rsidRPr="009323BA">
        <w:t>are also available (table</w:t>
      </w:r>
      <w:r w:rsidR="00556562">
        <w:t>s</w:t>
      </w:r>
      <w:r w:rsidR="00DA0DAF" w:rsidRPr="009323BA">
        <w:t> </w:t>
      </w:r>
      <w:r w:rsidRPr="009323BA">
        <w:t>14A.</w:t>
      </w:r>
      <w:r w:rsidR="00F844D6" w:rsidRPr="009323BA">
        <w:t>4</w:t>
      </w:r>
      <w:r w:rsidR="00F844D6">
        <w:t>2</w:t>
      </w:r>
      <w:r w:rsidR="00556562">
        <w:t>–</w:t>
      </w:r>
      <w:r w:rsidR="00661A7A">
        <w:t>46</w:t>
      </w:r>
      <w:r w:rsidRPr="009323BA">
        <w:t>).</w:t>
      </w:r>
      <w:r w:rsidR="00911A66" w:rsidRPr="009323BA">
        <w:t xml:space="preserve"> </w:t>
      </w:r>
    </w:p>
    <w:p w:rsidR="00E17301" w:rsidRDefault="00E17301"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301" w:rsidRPr="00A45158" w:rsidTr="00DD33DF">
        <w:tc>
          <w:tcPr>
            <w:tcW w:w="8771" w:type="dxa"/>
            <w:tcBorders>
              <w:top w:val="single" w:sz="6" w:space="0" w:color="78A22F"/>
              <w:left w:val="nil"/>
              <w:bottom w:val="nil"/>
              <w:right w:val="nil"/>
            </w:tcBorders>
            <w:shd w:val="clear" w:color="auto" w:fill="auto"/>
          </w:tcPr>
          <w:p w:rsidR="00E17301" w:rsidRPr="00A45158" w:rsidRDefault="00E17301" w:rsidP="00A75363">
            <w:pPr>
              <w:pStyle w:val="FigureTitle"/>
            </w:pPr>
            <w:r w:rsidRPr="00A45158">
              <w:rPr>
                <w:b w:val="0"/>
              </w:rPr>
              <w:t xml:space="preserve">Figure </w:t>
            </w:r>
            <w:r w:rsidR="00321568">
              <w:rPr>
                <w:b w:val="0"/>
              </w:rPr>
              <w:t>14.</w:t>
            </w:r>
            <w:r w:rsidR="0085284B">
              <w:rPr>
                <w:b w:val="0"/>
                <w:noProof/>
              </w:rPr>
              <w:t>20</w:t>
            </w:r>
            <w:r w:rsidRPr="00A45158">
              <w:tab/>
              <w:t>Users of State and Territory administered NDA specialist disability services per 1000 people, by Indigenous status, 201</w:t>
            </w:r>
            <w:r w:rsidR="009323BA" w:rsidRPr="00A45158">
              <w:t>2</w:t>
            </w:r>
            <w:r w:rsidR="00B84AF2">
              <w:noBreakHyphen/>
            </w:r>
            <w:r w:rsidRPr="00A45158">
              <w:t>1</w:t>
            </w:r>
            <w:r w:rsidR="009323BA" w:rsidRPr="00A45158">
              <w:t>3</w:t>
            </w:r>
            <w:r w:rsidRPr="00A45158">
              <w:rPr>
                <w:rStyle w:val="NoteLabel"/>
                <w:b/>
              </w:rPr>
              <w:t>a, b</w:t>
            </w:r>
          </w:p>
        </w:tc>
      </w:tr>
      <w:tr w:rsidR="00E17301" w:rsidRPr="00A45158"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E17301" w:rsidRPr="00A45158" w:rsidTr="00DD33DF">
              <w:trPr>
                <w:jc w:val="center"/>
              </w:trPr>
              <w:tc>
                <w:tcPr>
                  <w:tcW w:w="5000" w:type="pct"/>
                  <w:tcBorders>
                    <w:top w:val="nil"/>
                    <w:bottom w:val="nil"/>
                  </w:tcBorders>
                </w:tcPr>
                <w:p w:rsidR="00E17301" w:rsidRPr="00A45158" w:rsidRDefault="0072265E" w:rsidP="00FE382F">
                  <w:pPr>
                    <w:pStyle w:val="Figure"/>
                    <w:spacing w:before="60" w:after="60"/>
                  </w:pPr>
                  <w:r>
                    <w:rPr>
                      <w:noProof/>
                    </w:rPr>
                    <w:drawing>
                      <wp:inline distT="0" distB="0" distL="0" distR="0">
                        <wp:extent cx="2505075" cy="2314575"/>
                        <wp:effectExtent l="0" t="0" r="9525" b="9525"/>
                        <wp:docPr id="34" name="Picture 34" descr="Figure 14.20 Users of State and Territory administered NDA specialist disability services per 1000 people, by Indigenous status,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35" name="Picture 35" descr="Figure 14.20 Users of State and Territory administered NDA specialist disability services per 1000 people, by Indigenous status,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B55305" w:rsidRPr="00A45158" w:rsidTr="00DD33DF">
              <w:trPr>
                <w:jc w:val="center"/>
              </w:trPr>
              <w:tc>
                <w:tcPr>
                  <w:tcW w:w="5000" w:type="pct"/>
                  <w:tcBorders>
                    <w:top w:val="nil"/>
                    <w:bottom w:val="nil"/>
                  </w:tcBorders>
                </w:tcPr>
                <w:p w:rsidR="00B55305" w:rsidRPr="00A45158" w:rsidDel="00877E4C" w:rsidRDefault="0072265E" w:rsidP="00FE382F">
                  <w:pPr>
                    <w:pStyle w:val="Figure"/>
                    <w:spacing w:before="60" w:after="60"/>
                  </w:pPr>
                  <w:r>
                    <w:rPr>
                      <w:noProof/>
                    </w:rPr>
                    <w:drawing>
                      <wp:inline distT="0" distB="0" distL="0" distR="0">
                        <wp:extent cx="2505075" cy="2314575"/>
                        <wp:effectExtent l="0" t="0" r="9525" b="9525"/>
                        <wp:docPr id="36" name="Picture 36" descr="Figure 14.20 Users of State and Territory administered NDA specialist disability services per 1000 people, by Indigenous status,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38" name="Picture 38" descr="Figure 14.20 Users of State and Territory administered NDA specialist disability services per 1000 people, by Indigenous status, 2012-13&#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A75363" w:rsidRPr="00A45158" w:rsidTr="00DD33DF">
              <w:trPr>
                <w:jc w:val="center"/>
              </w:trPr>
              <w:tc>
                <w:tcPr>
                  <w:tcW w:w="5000" w:type="pct"/>
                  <w:tcBorders>
                    <w:top w:val="nil"/>
                    <w:bottom w:val="nil"/>
                  </w:tcBorders>
                </w:tcPr>
                <w:p w:rsidR="00A75363" w:rsidRDefault="0072265E" w:rsidP="008A0D83">
                  <w:pPr>
                    <w:pStyle w:val="Figure"/>
                    <w:spacing w:before="60" w:after="60"/>
                  </w:pPr>
                  <w:r>
                    <w:rPr>
                      <w:noProof/>
                    </w:rPr>
                    <w:drawing>
                      <wp:inline distT="0" distB="0" distL="0" distR="0">
                        <wp:extent cx="5219700" cy="352425"/>
                        <wp:effectExtent l="0" t="0" r="0" b="9525"/>
                        <wp:docPr id="39" name="Picture 39" descr="Figure 14.20 Users of State and Territory administered NDA specialist disability services per 1000 people, by Indigenous status,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219700" cy="352425"/>
                                </a:xfrm>
                                <a:prstGeom prst="rect">
                                  <a:avLst/>
                                </a:prstGeom>
                                <a:noFill/>
                                <a:ln>
                                  <a:noFill/>
                                </a:ln>
                              </pic:spPr>
                            </pic:pic>
                          </a:graphicData>
                        </a:graphic>
                      </wp:inline>
                    </w:drawing>
                  </w:r>
                </w:p>
              </w:tc>
            </w:tr>
          </w:tbl>
          <w:p w:rsidR="00E17301" w:rsidRPr="00A45158" w:rsidRDefault="00E17301" w:rsidP="00DD33DF">
            <w:pPr>
              <w:pStyle w:val="Figure"/>
            </w:pPr>
          </w:p>
        </w:tc>
      </w:tr>
      <w:tr w:rsidR="00E17301" w:rsidRPr="00A45158" w:rsidTr="00DD33DF">
        <w:tc>
          <w:tcPr>
            <w:tcW w:w="8771" w:type="dxa"/>
            <w:tcBorders>
              <w:top w:val="nil"/>
              <w:left w:val="nil"/>
              <w:bottom w:val="nil"/>
              <w:right w:val="nil"/>
            </w:tcBorders>
            <w:shd w:val="clear" w:color="auto" w:fill="auto"/>
          </w:tcPr>
          <w:p w:rsidR="00E17301" w:rsidRPr="00A45158" w:rsidRDefault="00947242" w:rsidP="00C73AAC">
            <w:pPr>
              <w:pStyle w:val="Note"/>
              <w:keepNext/>
            </w:pPr>
            <w:proofErr w:type="gramStart"/>
            <w:r w:rsidRPr="00A45158">
              <w:rPr>
                <w:rStyle w:val="NoteLabel"/>
              </w:rPr>
              <w:t>a</w:t>
            </w:r>
            <w:proofErr w:type="gramEnd"/>
            <w:r w:rsidRPr="00A45158">
              <w:t xml:space="preserve"> See tables </w:t>
            </w:r>
            <w:r w:rsidR="00A74BA3">
              <w:t>14A.43</w:t>
            </w:r>
            <w:r w:rsidR="00A74BA3" w:rsidRPr="00D221B0">
              <w:t>–4</w:t>
            </w:r>
            <w:r w:rsidR="00A74BA3">
              <w:t xml:space="preserve">6 </w:t>
            </w:r>
            <w:r w:rsidRPr="00A45158">
              <w:t xml:space="preserve">for detailed notes relating to these data. </w:t>
            </w:r>
            <w:proofErr w:type="gramStart"/>
            <w:r w:rsidRPr="00A45158">
              <w:rPr>
                <w:rStyle w:val="NoteLabel"/>
              </w:rPr>
              <w:t>b</w:t>
            </w:r>
            <w:proofErr w:type="gramEnd"/>
            <w:r w:rsidRPr="00A45158">
              <w:t xml:space="preserve"> Data need to be interpreted with care due to factors affecting data quality. Section 14.6 contains further information on data quality issues. </w:t>
            </w:r>
          </w:p>
        </w:tc>
      </w:tr>
      <w:tr w:rsidR="00E17301" w:rsidRPr="00A45158" w:rsidTr="00DD33DF">
        <w:tc>
          <w:tcPr>
            <w:tcW w:w="8771" w:type="dxa"/>
            <w:tcBorders>
              <w:top w:val="nil"/>
              <w:left w:val="nil"/>
              <w:bottom w:val="nil"/>
              <w:right w:val="nil"/>
            </w:tcBorders>
            <w:shd w:val="clear" w:color="auto" w:fill="auto"/>
          </w:tcPr>
          <w:p w:rsidR="00E17301" w:rsidRPr="00A45158" w:rsidRDefault="00947242" w:rsidP="00C73AAC">
            <w:pPr>
              <w:pStyle w:val="Source"/>
              <w:keepNext/>
            </w:pPr>
            <w:r w:rsidRPr="00D221B0">
              <w:rPr>
                <w:i/>
              </w:rPr>
              <w:t>Source</w:t>
            </w:r>
            <w:r w:rsidRPr="00D221B0">
              <w:t xml:space="preserve">: </w:t>
            </w:r>
            <w:r w:rsidR="00D221B0" w:rsidRPr="00D221B0">
              <w:t xml:space="preserve">AIHW (unpublished) </w:t>
            </w:r>
            <w:r w:rsidR="00D221B0" w:rsidRPr="00D221B0">
              <w:rPr>
                <w:i/>
              </w:rPr>
              <w:t>DS NMDS 2012</w:t>
            </w:r>
            <w:r w:rsidR="00B84AF2">
              <w:rPr>
                <w:i/>
              </w:rPr>
              <w:noBreakHyphen/>
            </w:r>
            <w:r w:rsidR="00D221B0" w:rsidRPr="00D221B0">
              <w:rPr>
                <w:i/>
              </w:rPr>
              <w:t>13</w:t>
            </w:r>
            <w:r w:rsidR="00D221B0" w:rsidRPr="00D221B0">
              <w:t xml:space="preserve">; AIHW (unpublished), </w:t>
            </w:r>
            <w:r w:rsidR="00DF1129" w:rsidRPr="00D221B0">
              <w:t xml:space="preserve">AIHW analysis of the </w:t>
            </w:r>
            <w:r w:rsidR="00DF1129" w:rsidRPr="00D221B0">
              <w:rPr>
                <w:i/>
              </w:rPr>
              <w:t>ABS Estimated Resident Population June 2012</w:t>
            </w:r>
            <w:r w:rsidR="00DF1129">
              <w:t xml:space="preserve">, </w:t>
            </w:r>
            <w:r w:rsidR="00DF1129" w:rsidRPr="007E4549">
              <w:rPr>
                <w:i/>
              </w:rPr>
              <w:t xml:space="preserve">ABS Census of Population and Housing </w:t>
            </w:r>
            <w:r w:rsidR="00DF1129">
              <w:rPr>
                <w:i/>
              </w:rPr>
              <w:t>2011</w:t>
            </w:r>
            <w:r w:rsidR="00DF1129" w:rsidRPr="007E4549">
              <w:t xml:space="preserve"> and the </w:t>
            </w:r>
            <w:r w:rsidR="00DF1129" w:rsidRPr="00DF1129">
              <w:rPr>
                <w:i/>
              </w:rPr>
              <w:t>ABS</w:t>
            </w:r>
            <w:r w:rsidR="00DF1129" w:rsidRPr="007E4549">
              <w:t xml:space="preserve"> </w:t>
            </w:r>
            <w:r w:rsidR="00DF1129" w:rsidRPr="007E4549">
              <w:rPr>
                <w:i/>
              </w:rPr>
              <w:t xml:space="preserve">Survey of Disability, Ageing and Carers </w:t>
            </w:r>
            <w:r w:rsidR="00DF1129">
              <w:rPr>
                <w:i/>
              </w:rPr>
              <w:t xml:space="preserve">2012; </w:t>
            </w:r>
            <w:r w:rsidR="000761F8">
              <w:t>tables 14A.</w:t>
            </w:r>
            <w:r w:rsidR="00402536">
              <w:t>43</w:t>
            </w:r>
            <w:r w:rsidR="0045593D" w:rsidRPr="00D221B0">
              <w:t>–</w:t>
            </w:r>
            <w:r w:rsidR="00402536" w:rsidRPr="00D221B0">
              <w:t>4</w:t>
            </w:r>
            <w:r w:rsidR="00402536">
              <w:t>6</w:t>
            </w:r>
            <w:r w:rsidRPr="00D221B0">
              <w:t>.</w:t>
            </w:r>
            <w:r w:rsidRPr="00A45158">
              <w:t xml:space="preserve"> </w:t>
            </w:r>
          </w:p>
        </w:tc>
      </w:tr>
      <w:tr w:rsidR="00E17301" w:rsidRPr="00A45158" w:rsidTr="00DD33DF">
        <w:tc>
          <w:tcPr>
            <w:tcW w:w="8771" w:type="dxa"/>
            <w:tcBorders>
              <w:top w:val="nil"/>
              <w:left w:val="nil"/>
              <w:bottom w:val="single" w:sz="6" w:space="0" w:color="78A22F"/>
              <w:right w:val="nil"/>
            </w:tcBorders>
            <w:shd w:val="clear" w:color="auto" w:fill="auto"/>
          </w:tcPr>
          <w:p w:rsidR="00E17301" w:rsidRPr="00A45158" w:rsidRDefault="00E17301" w:rsidP="00DD33DF">
            <w:pPr>
              <w:pStyle w:val="Figurespace"/>
            </w:pPr>
          </w:p>
        </w:tc>
      </w:tr>
      <w:tr w:rsidR="00E17301" w:rsidRPr="000863A5" w:rsidTr="00DD33DF">
        <w:tc>
          <w:tcPr>
            <w:tcW w:w="8771" w:type="dxa"/>
            <w:tcBorders>
              <w:top w:val="single" w:sz="6" w:space="0" w:color="78A22F"/>
              <w:left w:val="nil"/>
              <w:bottom w:val="nil"/>
              <w:right w:val="nil"/>
            </w:tcBorders>
          </w:tcPr>
          <w:p w:rsidR="00E17301" w:rsidRPr="00626D32" w:rsidRDefault="00E17301" w:rsidP="00DD33DF">
            <w:pPr>
              <w:pStyle w:val="BoxSpaceBelow"/>
            </w:pPr>
          </w:p>
        </w:tc>
      </w:tr>
    </w:tbl>
    <w:p w:rsidR="00947242" w:rsidRDefault="00947242"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7242" w:rsidRPr="00A45158" w:rsidTr="00DD33DF">
        <w:tc>
          <w:tcPr>
            <w:tcW w:w="8771" w:type="dxa"/>
            <w:tcBorders>
              <w:top w:val="single" w:sz="6" w:space="0" w:color="78A22F"/>
              <w:left w:val="nil"/>
              <w:bottom w:val="nil"/>
              <w:right w:val="nil"/>
            </w:tcBorders>
            <w:shd w:val="clear" w:color="auto" w:fill="auto"/>
          </w:tcPr>
          <w:p w:rsidR="00947242" w:rsidRPr="00A45158" w:rsidRDefault="00947242" w:rsidP="009323BA">
            <w:pPr>
              <w:pStyle w:val="FigureTitle"/>
            </w:pPr>
            <w:r w:rsidRPr="00A45158">
              <w:rPr>
                <w:b w:val="0"/>
              </w:rPr>
              <w:t xml:space="preserve">Figure </w:t>
            </w:r>
            <w:r w:rsidR="00321568">
              <w:rPr>
                <w:b w:val="0"/>
              </w:rPr>
              <w:t>14.</w:t>
            </w:r>
            <w:r w:rsidR="0085284B">
              <w:rPr>
                <w:b w:val="0"/>
                <w:noProof/>
              </w:rPr>
              <w:t>21</w:t>
            </w:r>
            <w:r w:rsidRPr="00A45158">
              <w:tab/>
              <w:t xml:space="preserve">Users of State and Territory administered NDA specialist disability services per 1000 potential population, by Indigenous status, </w:t>
            </w:r>
            <w:r w:rsidR="009323BA" w:rsidRPr="00A45158">
              <w:t>2012</w:t>
            </w:r>
            <w:r w:rsidR="00B84AF2">
              <w:noBreakHyphen/>
            </w:r>
            <w:r w:rsidR="009323BA" w:rsidRPr="00A45158">
              <w:t>13</w:t>
            </w:r>
            <w:r w:rsidRPr="00A45158">
              <w:rPr>
                <w:rStyle w:val="NoteLabel"/>
                <w:b/>
              </w:rPr>
              <w:t>a, b, c</w:t>
            </w:r>
          </w:p>
        </w:tc>
      </w:tr>
      <w:tr w:rsidR="00947242" w:rsidRPr="00A45158"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947242" w:rsidRPr="00A45158" w:rsidTr="00DD33DF">
              <w:trPr>
                <w:jc w:val="center"/>
              </w:trPr>
              <w:tc>
                <w:tcPr>
                  <w:tcW w:w="5000" w:type="pct"/>
                  <w:tcBorders>
                    <w:top w:val="nil"/>
                    <w:bottom w:val="nil"/>
                  </w:tcBorders>
                </w:tcPr>
                <w:p w:rsidR="00947242" w:rsidRPr="00A45158" w:rsidRDefault="0072265E" w:rsidP="00FE382F">
                  <w:pPr>
                    <w:pStyle w:val="Figure"/>
                    <w:spacing w:before="60" w:after="60"/>
                  </w:pPr>
                  <w:r>
                    <w:rPr>
                      <w:noProof/>
                    </w:rPr>
                    <w:drawing>
                      <wp:inline distT="0" distB="0" distL="0" distR="0">
                        <wp:extent cx="2505075" cy="2314575"/>
                        <wp:effectExtent l="0" t="0" r="9525" b="9525"/>
                        <wp:docPr id="40" name="Picture 40" descr="Figure 14.21 Users of State and Territory administered NDA specialist disability services per 1000 potential population, by Indigenous status,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41" name="Picture 41" descr="Figure 14.21 Users of State and Territory administered NDA specialist disability services per 1000 potential population, by Indigenous status,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B55305" w:rsidRPr="00A45158" w:rsidTr="00DD33DF">
              <w:trPr>
                <w:jc w:val="center"/>
              </w:trPr>
              <w:tc>
                <w:tcPr>
                  <w:tcW w:w="5000" w:type="pct"/>
                  <w:tcBorders>
                    <w:top w:val="nil"/>
                    <w:bottom w:val="nil"/>
                  </w:tcBorders>
                </w:tcPr>
                <w:p w:rsidR="00B55305" w:rsidRPr="00A45158" w:rsidDel="00877E4C" w:rsidRDefault="0072265E" w:rsidP="00947242">
                  <w:pPr>
                    <w:pStyle w:val="Figure"/>
                    <w:spacing w:before="60" w:after="60"/>
                  </w:pPr>
                  <w:r>
                    <w:rPr>
                      <w:noProof/>
                    </w:rPr>
                    <w:drawing>
                      <wp:inline distT="0" distB="0" distL="0" distR="0">
                        <wp:extent cx="2505075" cy="2314575"/>
                        <wp:effectExtent l="0" t="0" r="9525" b="9525"/>
                        <wp:docPr id="42" name="Picture 42" descr="Figure 14.21 Users of State and Territory administered NDA specialist disability services per 1000 potential population, by Indigenous status,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A75363" w:rsidRPr="00A45158" w:rsidTr="00DD33DF">
              <w:trPr>
                <w:jc w:val="center"/>
              </w:trPr>
              <w:tc>
                <w:tcPr>
                  <w:tcW w:w="5000" w:type="pct"/>
                  <w:tcBorders>
                    <w:top w:val="nil"/>
                    <w:bottom w:val="nil"/>
                  </w:tcBorders>
                </w:tcPr>
                <w:p w:rsidR="00A75363" w:rsidRDefault="0072265E" w:rsidP="00F46BB7">
                  <w:pPr>
                    <w:pStyle w:val="Figure"/>
                    <w:spacing w:before="60" w:after="60"/>
                  </w:pPr>
                  <w:r>
                    <w:rPr>
                      <w:noProof/>
                    </w:rPr>
                    <w:drawing>
                      <wp:inline distT="0" distB="0" distL="0" distR="0">
                        <wp:extent cx="5219700" cy="352425"/>
                        <wp:effectExtent l="0" t="0" r="0" b="9525"/>
                        <wp:docPr id="43" name="Picture 43" descr="Figure 14.21 Users of State and Territory administered NDA specialist disability services per 1000 potential population, by Indigenous status,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219700" cy="352425"/>
                                </a:xfrm>
                                <a:prstGeom prst="rect">
                                  <a:avLst/>
                                </a:prstGeom>
                                <a:noFill/>
                                <a:ln>
                                  <a:noFill/>
                                </a:ln>
                              </pic:spPr>
                            </pic:pic>
                          </a:graphicData>
                        </a:graphic>
                      </wp:inline>
                    </w:drawing>
                  </w:r>
                </w:p>
              </w:tc>
            </w:tr>
          </w:tbl>
          <w:p w:rsidR="00947242" w:rsidRPr="00A45158" w:rsidRDefault="00947242" w:rsidP="00DD33DF">
            <w:pPr>
              <w:pStyle w:val="Figure"/>
            </w:pPr>
          </w:p>
        </w:tc>
      </w:tr>
      <w:tr w:rsidR="00947242" w:rsidRPr="00A45158" w:rsidTr="00DD33DF">
        <w:tc>
          <w:tcPr>
            <w:tcW w:w="8771" w:type="dxa"/>
            <w:tcBorders>
              <w:top w:val="nil"/>
              <w:left w:val="nil"/>
              <w:bottom w:val="nil"/>
              <w:right w:val="nil"/>
            </w:tcBorders>
            <w:shd w:val="clear" w:color="auto" w:fill="auto"/>
          </w:tcPr>
          <w:p w:rsidR="00947242" w:rsidRPr="00A45158" w:rsidRDefault="00200978" w:rsidP="00C73AAC">
            <w:pPr>
              <w:pStyle w:val="Note"/>
              <w:keepNext/>
            </w:pPr>
            <w:proofErr w:type="gramStart"/>
            <w:r w:rsidRPr="00A45158">
              <w:rPr>
                <w:rStyle w:val="NoteLabel"/>
              </w:rPr>
              <w:t>a</w:t>
            </w:r>
            <w:proofErr w:type="gramEnd"/>
            <w:r w:rsidRPr="00A45158">
              <w:t xml:space="preserve"> See tables 14A.</w:t>
            </w:r>
            <w:r w:rsidR="00402536" w:rsidRPr="00A45158">
              <w:t>4</w:t>
            </w:r>
            <w:r w:rsidR="00402536">
              <w:t>3</w:t>
            </w:r>
            <w:r w:rsidR="00C73AAC">
              <w:t>–</w:t>
            </w:r>
            <w:r w:rsidR="00402536" w:rsidRPr="00A45158">
              <w:t>4</w:t>
            </w:r>
            <w:r w:rsidR="00402536">
              <w:t>5</w:t>
            </w:r>
            <w:r w:rsidR="00402536" w:rsidRPr="00A45158">
              <w:t xml:space="preserve"> </w:t>
            </w:r>
            <w:r w:rsidRPr="00A45158">
              <w:t xml:space="preserve">for detailed notes relating to these data. </w:t>
            </w:r>
            <w:proofErr w:type="gramStart"/>
            <w:r w:rsidRPr="00A45158">
              <w:rPr>
                <w:rStyle w:val="NoteLabel"/>
              </w:rPr>
              <w:t>b</w:t>
            </w:r>
            <w:proofErr w:type="gramEnd"/>
            <w:r w:rsidRPr="00A45158">
              <w:t xml:space="preserve"> See </w:t>
            </w:r>
            <w:r w:rsidR="009D29CA">
              <w:t>sections 14.6 and 14.7</w:t>
            </w:r>
            <w:r w:rsidRPr="00A45158">
              <w:t xml:space="preserve"> for information on how the potential population is defined. </w:t>
            </w:r>
            <w:proofErr w:type="gramStart"/>
            <w:r w:rsidRPr="00A45158">
              <w:rPr>
                <w:rStyle w:val="NoteLabel"/>
              </w:rPr>
              <w:t>c</w:t>
            </w:r>
            <w:proofErr w:type="gramEnd"/>
            <w:r w:rsidRPr="00A45158">
              <w:t xml:space="preserve"> Data need to be interpreted with care due to factors affecting data quality. Section 14.6 contains further information on data quality issues. </w:t>
            </w:r>
          </w:p>
        </w:tc>
      </w:tr>
      <w:tr w:rsidR="00A45158" w:rsidRPr="00A45158" w:rsidTr="00DD33DF">
        <w:tc>
          <w:tcPr>
            <w:tcW w:w="8771" w:type="dxa"/>
            <w:tcBorders>
              <w:top w:val="nil"/>
              <w:left w:val="nil"/>
              <w:bottom w:val="nil"/>
              <w:right w:val="nil"/>
            </w:tcBorders>
            <w:shd w:val="clear" w:color="auto" w:fill="auto"/>
          </w:tcPr>
          <w:p w:rsidR="00947242" w:rsidRPr="00A45158" w:rsidRDefault="00200978" w:rsidP="00C73AAC">
            <w:pPr>
              <w:pStyle w:val="Source"/>
              <w:keepNext/>
            </w:pPr>
            <w:r w:rsidRPr="00D221B0">
              <w:rPr>
                <w:i/>
              </w:rPr>
              <w:t>Source</w:t>
            </w:r>
            <w:r w:rsidRPr="00D221B0">
              <w:t xml:space="preserve">: AIHW (unpublished) </w:t>
            </w:r>
            <w:r w:rsidRPr="00D221B0">
              <w:rPr>
                <w:i/>
              </w:rPr>
              <w:t>DS NMDS</w:t>
            </w:r>
            <w:r w:rsidR="00D221B0" w:rsidRPr="00D221B0">
              <w:rPr>
                <w:i/>
              </w:rPr>
              <w:t xml:space="preserve"> 2012</w:t>
            </w:r>
            <w:r w:rsidR="00B84AF2">
              <w:rPr>
                <w:i/>
              </w:rPr>
              <w:noBreakHyphen/>
            </w:r>
            <w:r w:rsidR="00D221B0" w:rsidRPr="00D221B0">
              <w:rPr>
                <w:i/>
              </w:rPr>
              <w:t>13</w:t>
            </w:r>
            <w:r w:rsidRPr="00D221B0">
              <w:t xml:space="preserve">; AIHW (unpublished), </w:t>
            </w:r>
            <w:r w:rsidR="00DF1129" w:rsidRPr="00D221B0">
              <w:t xml:space="preserve">AIHW analysis of the </w:t>
            </w:r>
            <w:r w:rsidR="00DF1129" w:rsidRPr="00D221B0">
              <w:rPr>
                <w:i/>
              </w:rPr>
              <w:t>ABS Estimated Resident Population June 2012</w:t>
            </w:r>
            <w:r w:rsidR="00DF1129">
              <w:t xml:space="preserve">, </w:t>
            </w:r>
            <w:r w:rsidR="00DF1129" w:rsidRPr="007E4549">
              <w:rPr>
                <w:i/>
              </w:rPr>
              <w:t xml:space="preserve">ABS Census of Population and Housing </w:t>
            </w:r>
            <w:r w:rsidR="00DF1129">
              <w:rPr>
                <w:i/>
              </w:rPr>
              <w:t>2011</w:t>
            </w:r>
            <w:r w:rsidR="00DF1129" w:rsidRPr="007E4549">
              <w:t xml:space="preserve"> and the </w:t>
            </w:r>
            <w:r w:rsidR="00DF1129" w:rsidRPr="00DF1129">
              <w:rPr>
                <w:i/>
              </w:rPr>
              <w:t>ABS</w:t>
            </w:r>
            <w:r w:rsidR="00DF1129" w:rsidRPr="007E4549">
              <w:t xml:space="preserve"> </w:t>
            </w:r>
            <w:r w:rsidR="00DF1129" w:rsidRPr="007E4549">
              <w:rPr>
                <w:i/>
              </w:rPr>
              <w:t xml:space="preserve">Survey of Disability, Ageing and Carers </w:t>
            </w:r>
            <w:r w:rsidR="00DF1129">
              <w:rPr>
                <w:i/>
              </w:rPr>
              <w:t xml:space="preserve">2012; </w:t>
            </w:r>
            <w:r w:rsidR="00DF1129" w:rsidRPr="00DF1129">
              <w:t>tables</w:t>
            </w:r>
            <w:r w:rsidR="00AE3578">
              <w:rPr>
                <w:i/>
              </w:rPr>
              <w:t> </w:t>
            </w:r>
            <w:r w:rsidRPr="00D221B0">
              <w:t>14A.</w:t>
            </w:r>
            <w:r w:rsidR="00402536" w:rsidRPr="00D221B0">
              <w:t>4</w:t>
            </w:r>
            <w:r w:rsidR="00402536">
              <w:t>3</w:t>
            </w:r>
            <w:r w:rsidR="00D221B0">
              <w:t>–</w:t>
            </w:r>
            <w:r w:rsidR="00402536" w:rsidRPr="00D221B0">
              <w:t>4</w:t>
            </w:r>
            <w:r w:rsidR="00402536">
              <w:t>5</w:t>
            </w:r>
            <w:r w:rsidRPr="00D221B0">
              <w:t>.</w:t>
            </w:r>
          </w:p>
        </w:tc>
      </w:tr>
      <w:tr w:rsidR="00947242" w:rsidRPr="00A45158" w:rsidTr="00DD33DF">
        <w:tc>
          <w:tcPr>
            <w:tcW w:w="8771" w:type="dxa"/>
            <w:tcBorders>
              <w:top w:val="nil"/>
              <w:left w:val="nil"/>
              <w:bottom w:val="single" w:sz="6" w:space="0" w:color="78A22F"/>
              <w:right w:val="nil"/>
            </w:tcBorders>
            <w:shd w:val="clear" w:color="auto" w:fill="auto"/>
          </w:tcPr>
          <w:p w:rsidR="00947242" w:rsidRPr="00A45158" w:rsidRDefault="00947242" w:rsidP="00DD33DF">
            <w:pPr>
              <w:pStyle w:val="Figurespace"/>
            </w:pPr>
          </w:p>
        </w:tc>
      </w:tr>
      <w:tr w:rsidR="00947242" w:rsidRPr="000863A5" w:rsidTr="00DD33DF">
        <w:tc>
          <w:tcPr>
            <w:tcW w:w="8771" w:type="dxa"/>
            <w:tcBorders>
              <w:top w:val="single" w:sz="6" w:space="0" w:color="78A22F"/>
              <w:left w:val="nil"/>
              <w:bottom w:val="nil"/>
              <w:right w:val="nil"/>
            </w:tcBorders>
          </w:tcPr>
          <w:p w:rsidR="00947242" w:rsidRPr="00626D32" w:rsidRDefault="00947242" w:rsidP="00DD33DF">
            <w:pPr>
              <w:pStyle w:val="BoxSpaceBelow"/>
            </w:pPr>
          </w:p>
        </w:tc>
      </w:tr>
    </w:tbl>
    <w:p w:rsidR="001F39F2" w:rsidRPr="000E7D8A" w:rsidRDefault="001F39F2" w:rsidP="00585E2C">
      <w:pPr>
        <w:pStyle w:val="BodyText"/>
      </w:pPr>
      <w:r w:rsidRPr="00E938E2">
        <w:t xml:space="preserve">Nationally in </w:t>
      </w:r>
      <w:r w:rsidR="009323BA" w:rsidRPr="00E938E2">
        <w:t>2012</w:t>
      </w:r>
      <w:r w:rsidR="00B84AF2">
        <w:noBreakHyphen/>
      </w:r>
      <w:r w:rsidR="009323BA" w:rsidRPr="00E938E2">
        <w:t>13</w:t>
      </w:r>
      <w:r w:rsidRPr="00E938E2">
        <w:t xml:space="preserve">, the proportion of the </w:t>
      </w:r>
      <w:r w:rsidR="00904E97" w:rsidRPr="00E938E2">
        <w:t>Aboriginal and Torres Strait Islander</w:t>
      </w:r>
      <w:r w:rsidRPr="00E938E2">
        <w:t xml:space="preserve"> population who used NDA employment services (</w:t>
      </w:r>
      <w:r w:rsidR="00E938E2">
        <w:t>14.4</w:t>
      </w:r>
      <w:r w:rsidR="0019455A">
        <w:t xml:space="preserve"> </w:t>
      </w:r>
      <w:r w:rsidRPr="00E938E2">
        <w:t>service users per 1000 population) was higher than that of the non</w:t>
      </w:r>
      <w:r w:rsidR="00B84AF2">
        <w:noBreakHyphen/>
      </w:r>
      <w:r w:rsidRPr="00E938E2">
        <w:t>Indigenous population (</w:t>
      </w:r>
      <w:r w:rsidR="00E938E2">
        <w:t>8.4</w:t>
      </w:r>
      <w:r w:rsidR="0019455A">
        <w:t xml:space="preserve"> </w:t>
      </w:r>
      <w:r w:rsidR="001B3857">
        <w:t>service users per </w:t>
      </w:r>
      <w:r w:rsidR="000761F8">
        <w:t>1000 </w:t>
      </w:r>
      <w:r w:rsidRPr="00E938E2">
        <w:t>population) (figure</w:t>
      </w:r>
      <w:r w:rsidR="00DA0DAF" w:rsidRPr="00A45158">
        <w:t> </w:t>
      </w:r>
      <w:r w:rsidRPr="00A45158">
        <w:t>14.2</w:t>
      </w:r>
      <w:r w:rsidR="000E7D8A">
        <w:t>2</w:t>
      </w:r>
      <w:r w:rsidRPr="00A45158">
        <w:t xml:space="preserve">). The proportion of the </w:t>
      </w:r>
      <w:r w:rsidR="00904E97" w:rsidRPr="00A45158">
        <w:t>Aboriginal and Torres Strait Islander</w:t>
      </w:r>
      <w:r w:rsidRPr="00A45158">
        <w:t xml:space="preserve"> potential population who used NDA employment services (</w:t>
      </w:r>
      <w:r w:rsidR="00D40573">
        <w:t>328.0</w:t>
      </w:r>
      <w:r w:rsidR="000761F8">
        <w:t xml:space="preserve"> service users </w:t>
      </w:r>
      <w:r w:rsidR="000761F8">
        <w:lastRenderedPageBreak/>
        <w:t>per </w:t>
      </w:r>
      <w:r w:rsidRPr="00E938E2">
        <w:t>1000 potential population) was lower than that of the non</w:t>
      </w:r>
      <w:r w:rsidR="00B84AF2">
        <w:noBreakHyphen/>
      </w:r>
      <w:r w:rsidRPr="00E938E2">
        <w:t>Indigenous potential population (</w:t>
      </w:r>
      <w:r w:rsidR="00E938E2">
        <w:t>444.4</w:t>
      </w:r>
      <w:r w:rsidR="0019455A">
        <w:t xml:space="preserve"> </w:t>
      </w:r>
      <w:r w:rsidRPr="00E938E2">
        <w:t>service users per 1000 potential population) (figure 14.2</w:t>
      </w:r>
      <w:r w:rsidR="009323BA" w:rsidRPr="00A45158">
        <w:t>2</w:t>
      </w:r>
      <w:r w:rsidRPr="00A45158">
        <w:t>).</w:t>
      </w:r>
    </w:p>
    <w:p w:rsidR="001F39F2" w:rsidRPr="00A45158" w:rsidRDefault="001F39F2" w:rsidP="00585E2C">
      <w:pPr>
        <w:pStyle w:val="BodyText"/>
      </w:pPr>
      <w:r w:rsidRPr="00E938E2">
        <w:t xml:space="preserve">Data on users of NDA open </w:t>
      </w:r>
      <w:r w:rsidR="00DA0DAF" w:rsidRPr="00E938E2">
        <w:t xml:space="preserve">and supported </w:t>
      </w:r>
      <w:r w:rsidRPr="00E938E2">
        <w:t xml:space="preserve">employment services as a proportion of the </w:t>
      </w:r>
      <w:r w:rsidR="00904E97" w:rsidRPr="00E938E2">
        <w:t>Aboriginal and Torres Strait Islander</w:t>
      </w:r>
      <w:r w:rsidRPr="00E938E2">
        <w:t xml:space="preserve"> estimated potential population are also available disaggregated by age (table</w:t>
      </w:r>
      <w:r w:rsidR="0067540D" w:rsidRPr="00E938E2">
        <w:t>s</w:t>
      </w:r>
      <w:r w:rsidR="00AE3578">
        <w:t> </w:t>
      </w:r>
      <w:r w:rsidRPr="00E938E2">
        <w:t>14A.</w:t>
      </w:r>
      <w:r w:rsidR="00402536" w:rsidRPr="00E938E2">
        <w:t>4</w:t>
      </w:r>
      <w:r w:rsidR="00402536">
        <w:t>8</w:t>
      </w:r>
      <w:r w:rsidR="00BF453C" w:rsidRPr="00E938E2">
        <w:t>−</w:t>
      </w:r>
      <w:r w:rsidR="00402536">
        <w:t>50</w:t>
      </w:r>
      <w:r w:rsidRPr="00E938E2">
        <w:t>)</w:t>
      </w:r>
      <w:r w:rsidR="00F50665" w:rsidRPr="00E938E2">
        <w:t>, from 200</w:t>
      </w:r>
      <w:r w:rsidR="00331E22" w:rsidRPr="00E938E2">
        <w:t>8</w:t>
      </w:r>
      <w:r w:rsidR="00B84AF2">
        <w:noBreakHyphen/>
      </w:r>
      <w:r w:rsidR="00331E22" w:rsidRPr="00E938E2">
        <w:t>09</w:t>
      </w:r>
      <w:r w:rsidR="00F50665" w:rsidRPr="00E938E2">
        <w:t xml:space="preserve"> to </w:t>
      </w:r>
      <w:r w:rsidR="009323BA" w:rsidRPr="00E938E2">
        <w:t>2012</w:t>
      </w:r>
      <w:r w:rsidR="00B84AF2">
        <w:noBreakHyphen/>
      </w:r>
      <w:r w:rsidR="009323BA" w:rsidRPr="00E938E2">
        <w:t>13</w:t>
      </w:r>
      <w:r w:rsidR="00F50665" w:rsidRPr="00E938E2">
        <w:t xml:space="preserve"> for open (ESS) and supported (SES) services and </w:t>
      </w:r>
      <w:r w:rsidR="00331E22" w:rsidRPr="00E938E2">
        <w:t>from</w:t>
      </w:r>
      <w:r w:rsidR="00F50665" w:rsidRPr="00E938E2">
        <w:t xml:space="preserve"> </w:t>
      </w:r>
      <w:r w:rsidR="00331E22" w:rsidRPr="00A45158">
        <w:t>2010</w:t>
      </w:r>
      <w:r w:rsidR="00B84AF2">
        <w:noBreakHyphen/>
      </w:r>
      <w:r w:rsidR="00331E22" w:rsidRPr="00A45158">
        <w:t xml:space="preserve">11 to </w:t>
      </w:r>
      <w:r w:rsidR="009323BA" w:rsidRPr="00A45158">
        <w:t>2012</w:t>
      </w:r>
      <w:r w:rsidR="00B84AF2">
        <w:noBreakHyphen/>
      </w:r>
      <w:r w:rsidR="009323BA" w:rsidRPr="00A45158">
        <w:t>13</w:t>
      </w:r>
      <w:r w:rsidR="00F50665" w:rsidRPr="00A45158">
        <w:t xml:space="preserve"> for open (DMS) employment services</w:t>
      </w:r>
      <w:r w:rsidRPr="00A45158">
        <w:t>.</w:t>
      </w:r>
      <w:r w:rsidR="00911A66" w:rsidRPr="00A45158">
        <w:t xml:space="preserve"> </w:t>
      </w:r>
    </w:p>
    <w:p w:rsidR="003E73FF" w:rsidRPr="003649E8" w:rsidRDefault="003E73FF"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73FF" w:rsidRPr="00A45158" w:rsidTr="00DD33DF">
        <w:tc>
          <w:tcPr>
            <w:tcW w:w="8771" w:type="dxa"/>
            <w:tcBorders>
              <w:top w:val="single" w:sz="6" w:space="0" w:color="78A22F"/>
              <w:left w:val="nil"/>
              <w:bottom w:val="nil"/>
              <w:right w:val="nil"/>
            </w:tcBorders>
            <w:shd w:val="clear" w:color="auto" w:fill="auto"/>
          </w:tcPr>
          <w:p w:rsidR="003E73FF" w:rsidRPr="00A45158" w:rsidRDefault="003E73FF" w:rsidP="003E73FF">
            <w:pPr>
              <w:pStyle w:val="FigureTitle"/>
            </w:pPr>
            <w:r w:rsidRPr="00A45158">
              <w:rPr>
                <w:b w:val="0"/>
              </w:rPr>
              <w:t xml:space="preserve">Figure </w:t>
            </w:r>
            <w:r w:rsidR="00321568">
              <w:rPr>
                <w:b w:val="0"/>
              </w:rPr>
              <w:t>14.</w:t>
            </w:r>
            <w:r w:rsidR="0085284B">
              <w:rPr>
                <w:b w:val="0"/>
                <w:noProof/>
              </w:rPr>
              <w:t>22</w:t>
            </w:r>
            <w:r w:rsidRPr="00A45158">
              <w:tab/>
              <w:t xml:space="preserve">Users of NDA employment services, by Indigenous status, </w:t>
            </w:r>
            <w:r w:rsidR="009323BA" w:rsidRPr="00A45158">
              <w:t>2012</w:t>
            </w:r>
            <w:r w:rsidR="00B84AF2">
              <w:noBreakHyphen/>
            </w:r>
            <w:r w:rsidR="009323BA" w:rsidRPr="00A45158">
              <w:t>13</w:t>
            </w:r>
            <w:r w:rsidRPr="00A45158">
              <w:rPr>
                <w:rStyle w:val="NoteLabel"/>
                <w:b/>
              </w:rPr>
              <w:t>a, b, c</w:t>
            </w:r>
          </w:p>
        </w:tc>
      </w:tr>
      <w:tr w:rsidR="003E73FF" w:rsidRPr="00F46BB7" w:rsidTr="00DD33DF">
        <w:tc>
          <w:tcPr>
            <w:tcW w:w="8771" w:type="dxa"/>
            <w:tcBorders>
              <w:top w:val="nil"/>
              <w:left w:val="nil"/>
              <w:bottom w:val="nil"/>
              <w:right w:val="nil"/>
            </w:tcBorders>
            <w:shd w:val="clear" w:color="auto" w:fill="auto"/>
            <w:tcMar>
              <w:top w:w="28" w:type="dxa"/>
              <w:bottom w:w="28" w:type="dxa"/>
            </w:tcMar>
          </w:tcPr>
          <w:p w:rsidR="00A75363" w:rsidRPr="00F46BB7" w:rsidRDefault="00986756" w:rsidP="00613B98">
            <w:pPr>
              <w:pStyle w:val="Figure"/>
              <w:spacing w:before="60" w:after="60"/>
            </w:pPr>
            <w:r>
              <w:rPr>
                <w:noProof/>
              </w:rPr>
              <w:drawing>
                <wp:inline distT="0" distB="0" distL="0" distR="0">
                  <wp:extent cx="2505075" cy="2314575"/>
                  <wp:effectExtent l="0" t="0" r="9525" b="9525"/>
                  <wp:docPr id="44" name="Picture 44" descr="Figure 14.22 Users of NDA employment services, by Indigenous status, 2012-13&#10;&#10;Users/1000 peop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45" name="Picture 45" descr="Figure 14.22 Users of NDA employment services, by Indigenous status, 2012-13&#10;&#10;Users/1000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5219700" cy="352425"/>
                  <wp:effectExtent l="0" t="0" r="0" b="9525"/>
                  <wp:docPr id="46" name="Picture 46" descr="Figure 14.22 Users of NDA employment services, by Indigenous status,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219700" cy="352425"/>
                          </a:xfrm>
                          <a:prstGeom prst="rect">
                            <a:avLst/>
                          </a:prstGeom>
                          <a:noFill/>
                          <a:ln>
                            <a:noFill/>
                          </a:ln>
                        </pic:spPr>
                      </pic:pic>
                    </a:graphicData>
                  </a:graphic>
                </wp:inline>
              </w:drawing>
            </w:r>
          </w:p>
        </w:tc>
      </w:tr>
      <w:tr w:rsidR="003E73FF" w:rsidRPr="00A45158" w:rsidTr="00DD33DF">
        <w:tc>
          <w:tcPr>
            <w:tcW w:w="8771" w:type="dxa"/>
            <w:tcBorders>
              <w:top w:val="nil"/>
              <w:left w:val="nil"/>
              <w:bottom w:val="nil"/>
              <w:right w:val="nil"/>
            </w:tcBorders>
            <w:shd w:val="clear" w:color="auto" w:fill="auto"/>
          </w:tcPr>
          <w:p w:rsidR="003E73FF" w:rsidRPr="00A45158" w:rsidRDefault="003E73FF" w:rsidP="00402536">
            <w:pPr>
              <w:pStyle w:val="Note"/>
            </w:pPr>
            <w:proofErr w:type="gramStart"/>
            <w:r w:rsidRPr="00A45158">
              <w:rPr>
                <w:rStyle w:val="NoteLabel"/>
              </w:rPr>
              <w:t>a</w:t>
            </w:r>
            <w:proofErr w:type="gramEnd"/>
            <w:r w:rsidRPr="00A45158">
              <w:t xml:space="preserve"> See table 14A.</w:t>
            </w:r>
            <w:r w:rsidR="00402536" w:rsidRPr="00A45158">
              <w:t>4</w:t>
            </w:r>
            <w:r w:rsidR="00402536">
              <w:t>7</w:t>
            </w:r>
            <w:r w:rsidR="00402536" w:rsidRPr="00A45158">
              <w:t xml:space="preserve"> </w:t>
            </w:r>
            <w:r w:rsidRPr="00A45158">
              <w:t xml:space="preserve">or detailed notes relating to these data. </w:t>
            </w:r>
            <w:proofErr w:type="gramStart"/>
            <w:r w:rsidRPr="00A45158">
              <w:rPr>
                <w:rStyle w:val="NoteLabel"/>
              </w:rPr>
              <w:t>b</w:t>
            </w:r>
            <w:proofErr w:type="gramEnd"/>
            <w:r w:rsidRPr="00A45158">
              <w:t xml:space="preserve"> See </w:t>
            </w:r>
            <w:r w:rsidR="009D29CA">
              <w:t>sections 14.6 and 14.7</w:t>
            </w:r>
            <w:r w:rsidRPr="00A45158">
              <w:t xml:space="preserve"> for information on how the potential population is defined. </w:t>
            </w:r>
            <w:proofErr w:type="gramStart"/>
            <w:r w:rsidRPr="00A45158">
              <w:rPr>
                <w:rStyle w:val="NoteLabel"/>
              </w:rPr>
              <w:t>c</w:t>
            </w:r>
            <w:proofErr w:type="gramEnd"/>
            <w:r w:rsidRPr="00A45158">
              <w:rPr>
                <w:rStyle w:val="NoteLabel"/>
              </w:rPr>
              <w:t xml:space="preserve"> </w:t>
            </w:r>
            <w:r w:rsidRPr="00A45158">
              <w:t>Data need to be interpreted with care due to factors affecting data quality. Section 14.6 contains further information on data quality issues.</w:t>
            </w:r>
          </w:p>
        </w:tc>
      </w:tr>
      <w:tr w:rsidR="00A45158" w:rsidRPr="00A45158" w:rsidTr="00DD33DF">
        <w:tc>
          <w:tcPr>
            <w:tcW w:w="8771" w:type="dxa"/>
            <w:tcBorders>
              <w:top w:val="nil"/>
              <w:left w:val="nil"/>
              <w:bottom w:val="nil"/>
              <w:right w:val="nil"/>
            </w:tcBorders>
            <w:shd w:val="clear" w:color="auto" w:fill="auto"/>
          </w:tcPr>
          <w:p w:rsidR="003E73FF" w:rsidRPr="00F46BB7" w:rsidRDefault="003E73FF" w:rsidP="006B51BC">
            <w:pPr>
              <w:pStyle w:val="Source"/>
            </w:pPr>
            <w:r w:rsidRPr="00D221B0">
              <w:rPr>
                <w:i/>
              </w:rPr>
              <w:t>Source</w:t>
            </w:r>
            <w:r w:rsidRPr="00D221B0">
              <w:t xml:space="preserve">: </w:t>
            </w:r>
            <w:r w:rsidR="00D221B0" w:rsidRPr="00D221B0">
              <w:t xml:space="preserve">AIHW (unpublished) </w:t>
            </w:r>
            <w:r w:rsidR="00D221B0" w:rsidRPr="00D221B0">
              <w:rPr>
                <w:i/>
              </w:rPr>
              <w:t>DS NMDS 2012</w:t>
            </w:r>
            <w:r w:rsidR="00B84AF2">
              <w:rPr>
                <w:i/>
              </w:rPr>
              <w:noBreakHyphen/>
            </w:r>
            <w:r w:rsidR="00D221B0" w:rsidRPr="00D221B0">
              <w:rPr>
                <w:i/>
              </w:rPr>
              <w:t>13</w:t>
            </w:r>
            <w:r w:rsidR="00D221B0" w:rsidRPr="00D221B0">
              <w:t xml:space="preserve">; </w:t>
            </w:r>
            <w:r w:rsidR="00DF1129" w:rsidRPr="00D221B0">
              <w:t xml:space="preserve">AIHW (unpublished), AIHW analysis of the </w:t>
            </w:r>
            <w:r w:rsidR="00DF1129" w:rsidRPr="00D221B0">
              <w:rPr>
                <w:i/>
              </w:rPr>
              <w:t>ABS Estimated Resident Population June 2012</w:t>
            </w:r>
            <w:r w:rsidR="00DF1129">
              <w:t xml:space="preserve">, </w:t>
            </w:r>
            <w:r w:rsidR="00DF1129" w:rsidRPr="007E4549">
              <w:rPr>
                <w:i/>
              </w:rPr>
              <w:t xml:space="preserve">ABS Census of Population and Housing </w:t>
            </w:r>
            <w:r w:rsidR="00DF1129">
              <w:rPr>
                <w:i/>
              </w:rPr>
              <w:t>2011</w:t>
            </w:r>
            <w:r w:rsidR="00DF1129" w:rsidRPr="007E4549">
              <w:t xml:space="preserve"> and the </w:t>
            </w:r>
            <w:r w:rsidR="00DF1129" w:rsidRPr="00DF1129">
              <w:rPr>
                <w:i/>
              </w:rPr>
              <w:t>ABS</w:t>
            </w:r>
            <w:r w:rsidR="00DF1129" w:rsidRPr="007E4549">
              <w:t xml:space="preserve"> </w:t>
            </w:r>
            <w:r w:rsidR="00DF1129" w:rsidRPr="007E4549">
              <w:rPr>
                <w:i/>
              </w:rPr>
              <w:t xml:space="preserve">Survey of Disability, Ageing and Carers </w:t>
            </w:r>
            <w:r w:rsidR="00DF1129">
              <w:rPr>
                <w:i/>
              </w:rPr>
              <w:t>2012</w:t>
            </w:r>
            <w:r w:rsidR="00D221B0" w:rsidRPr="00D221B0">
              <w:t xml:space="preserve">; </w:t>
            </w:r>
            <w:r w:rsidRPr="00D221B0">
              <w:t>table 14A.</w:t>
            </w:r>
            <w:r w:rsidR="00402536" w:rsidRPr="00D221B0">
              <w:t>4</w:t>
            </w:r>
            <w:r w:rsidR="00402536">
              <w:t>7</w:t>
            </w:r>
            <w:r w:rsidRPr="00D221B0">
              <w:t>.</w:t>
            </w:r>
            <w:r w:rsidRPr="00F46BB7">
              <w:rPr>
                <w:b/>
              </w:rPr>
              <w:t xml:space="preserve"> </w:t>
            </w:r>
          </w:p>
        </w:tc>
      </w:tr>
      <w:tr w:rsidR="003E73FF" w:rsidRPr="00A45158" w:rsidTr="00DD33DF">
        <w:tc>
          <w:tcPr>
            <w:tcW w:w="8771" w:type="dxa"/>
            <w:tcBorders>
              <w:top w:val="nil"/>
              <w:left w:val="nil"/>
              <w:bottom w:val="single" w:sz="6" w:space="0" w:color="78A22F"/>
              <w:right w:val="nil"/>
            </w:tcBorders>
            <w:shd w:val="clear" w:color="auto" w:fill="auto"/>
          </w:tcPr>
          <w:p w:rsidR="003E73FF" w:rsidRPr="00A45158" w:rsidRDefault="003E73FF" w:rsidP="00DD33DF">
            <w:pPr>
              <w:pStyle w:val="Figurespace"/>
            </w:pPr>
          </w:p>
        </w:tc>
      </w:tr>
      <w:tr w:rsidR="003E73FF" w:rsidRPr="000863A5" w:rsidTr="00DD33DF">
        <w:tc>
          <w:tcPr>
            <w:tcW w:w="8771" w:type="dxa"/>
            <w:tcBorders>
              <w:top w:val="single" w:sz="6" w:space="0" w:color="78A22F"/>
              <w:left w:val="nil"/>
              <w:bottom w:val="nil"/>
              <w:right w:val="nil"/>
            </w:tcBorders>
          </w:tcPr>
          <w:p w:rsidR="003E73FF" w:rsidRPr="00626D32" w:rsidRDefault="003E73FF" w:rsidP="00DD33DF">
            <w:pPr>
              <w:pStyle w:val="BoxSpaceBelow"/>
            </w:pPr>
          </w:p>
        </w:tc>
      </w:tr>
    </w:tbl>
    <w:p w:rsidR="001F39F2" w:rsidRPr="008F5F24" w:rsidRDefault="001F39F2" w:rsidP="00585E2C">
      <w:pPr>
        <w:pStyle w:val="Heading5"/>
        <w:rPr>
          <w:color w:val="A6A6A6" w:themeColor="background1" w:themeShade="A6"/>
        </w:rPr>
      </w:pPr>
      <w:r w:rsidRPr="009323BA">
        <w:t>Service use by special needs groups — people born in a non</w:t>
      </w:r>
      <w:r w:rsidR="00B84AF2">
        <w:noBreakHyphen/>
      </w:r>
      <w:r w:rsidRPr="009323BA">
        <w:t xml:space="preserve">English speaking country </w:t>
      </w:r>
    </w:p>
    <w:p w:rsidR="001F39F2" w:rsidRPr="009323BA" w:rsidRDefault="001F39F2" w:rsidP="00585E2C">
      <w:pPr>
        <w:pStyle w:val="BodyText"/>
        <w:keepNext/>
      </w:pPr>
      <w:r w:rsidRPr="009323BA">
        <w:t xml:space="preserve">Nationally in </w:t>
      </w:r>
      <w:r w:rsidR="009323BA" w:rsidRPr="009323BA">
        <w:t>2012</w:t>
      </w:r>
      <w:r w:rsidR="00B84AF2">
        <w:noBreakHyphen/>
      </w:r>
      <w:r w:rsidR="009323BA" w:rsidRPr="009323BA">
        <w:t>13</w:t>
      </w:r>
      <w:r w:rsidRPr="009323BA">
        <w:t>, the proportion of people born in a non</w:t>
      </w:r>
      <w:r w:rsidR="00B84AF2">
        <w:noBreakHyphen/>
      </w:r>
      <w:r w:rsidRPr="009323BA">
        <w:t>English speaking country who used NDA:</w:t>
      </w:r>
    </w:p>
    <w:p w:rsidR="001F39F2" w:rsidRPr="009C1D00" w:rsidRDefault="001F39F2" w:rsidP="00585E2C">
      <w:pPr>
        <w:pStyle w:val="ListBullet"/>
      </w:pPr>
      <w:r w:rsidRPr="009C1D00">
        <w:t xml:space="preserve">accommodation support services was </w:t>
      </w:r>
      <w:r w:rsidR="00CA500C">
        <w:t>0.4</w:t>
      </w:r>
      <w:r w:rsidRPr="009C1D00">
        <w:t xml:space="preserve"> users per 1000 </w:t>
      </w:r>
      <w:r w:rsidR="000F777A" w:rsidRPr="009C1D00">
        <w:t>people</w:t>
      </w:r>
      <w:r w:rsidRPr="009C1D00">
        <w:t>, lower than the proportion of people born in an English speaking country (</w:t>
      </w:r>
      <w:r w:rsidR="00CA500C">
        <w:t>2.1</w:t>
      </w:r>
      <w:r w:rsidR="001B3857">
        <w:t xml:space="preserve"> service users per </w:t>
      </w:r>
      <w:r w:rsidR="000761F8">
        <w:t>1000 </w:t>
      </w:r>
      <w:r w:rsidR="000F777A" w:rsidRPr="009C1D00">
        <w:t>people</w:t>
      </w:r>
      <w:r w:rsidRPr="009C1D00">
        <w:t>) (figure</w:t>
      </w:r>
      <w:r w:rsidR="00AE3578">
        <w:t> </w:t>
      </w:r>
      <w:r w:rsidRPr="009C1D00">
        <w:t>14.2</w:t>
      </w:r>
      <w:r w:rsidR="009323BA" w:rsidRPr="009C1D00">
        <w:t>3</w:t>
      </w:r>
      <w:r w:rsidRPr="009C1D00">
        <w:t xml:space="preserve">a). The proportion of the potential population born in a </w:t>
      </w:r>
      <w:r w:rsidR="0074679E" w:rsidRPr="009C1D00">
        <w:br/>
      </w:r>
      <w:r w:rsidRPr="009C1D00">
        <w:t>non</w:t>
      </w:r>
      <w:r w:rsidR="00B84AF2">
        <w:noBreakHyphen/>
      </w:r>
      <w:r w:rsidRPr="009C1D00">
        <w:t>English speaking country who used NDA accommodation support services (</w:t>
      </w:r>
      <w:r w:rsidR="00CA500C">
        <w:t>24.3</w:t>
      </w:r>
      <w:r w:rsidR="0045593D">
        <w:t> </w:t>
      </w:r>
      <w:r w:rsidRPr="009C1D00">
        <w:t xml:space="preserve">users per 1000 potential population) was lower than the proportion of people born </w:t>
      </w:r>
      <w:r w:rsidRPr="009C1D00">
        <w:lastRenderedPageBreak/>
        <w:t>in an English speaking country who used these services (</w:t>
      </w:r>
      <w:r w:rsidR="00CA500C">
        <w:t>68.6</w:t>
      </w:r>
      <w:r w:rsidR="00DA0DAF" w:rsidRPr="009C1D00">
        <w:t> </w:t>
      </w:r>
      <w:r w:rsidR="00E654B2">
        <w:t>service users per </w:t>
      </w:r>
      <w:r w:rsidRPr="009C1D00">
        <w:t>1000 potential population) (figure</w:t>
      </w:r>
      <w:r w:rsidR="00AE3578">
        <w:t> </w:t>
      </w:r>
      <w:r w:rsidRPr="009C1D00">
        <w:t>14.2</w:t>
      </w:r>
      <w:r w:rsidR="009323BA" w:rsidRPr="009C1D00">
        <w:t>4</w:t>
      </w:r>
      <w:r w:rsidRPr="009C1D00">
        <w:t xml:space="preserve">a) </w:t>
      </w:r>
    </w:p>
    <w:p w:rsidR="001F39F2" w:rsidRPr="009C1D00" w:rsidRDefault="001F39F2" w:rsidP="00585E2C">
      <w:pPr>
        <w:pStyle w:val="ListBullet"/>
      </w:pPr>
      <w:r w:rsidRPr="009C1D00">
        <w:t xml:space="preserve">community support services was </w:t>
      </w:r>
      <w:r w:rsidR="00473EF8">
        <w:t>2.0</w:t>
      </w:r>
      <w:r w:rsidRPr="009C1D00">
        <w:t xml:space="preserve"> service users per 1000 </w:t>
      </w:r>
      <w:r w:rsidR="000F777A" w:rsidRPr="009C1D00">
        <w:t>people</w:t>
      </w:r>
      <w:r w:rsidRPr="009C1D00">
        <w:t>, lower than the proportion of people born in an English speaking country who used these services (</w:t>
      </w:r>
      <w:r w:rsidR="00473EF8">
        <w:t>7.7</w:t>
      </w:r>
      <w:r w:rsidR="0045593D">
        <w:t> </w:t>
      </w:r>
      <w:r w:rsidRPr="009C1D00">
        <w:t>service users per 1000 </w:t>
      </w:r>
      <w:r w:rsidR="000F777A" w:rsidRPr="009C1D00">
        <w:t>people</w:t>
      </w:r>
      <w:r w:rsidRPr="009C1D00">
        <w:t>) (figure</w:t>
      </w:r>
      <w:r w:rsidR="00AE3578">
        <w:t> </w:t>
      </w:r>
      <w:r w:rsidRPr="009C1D00">
        <w:t>14.2</w:t>
      </w:r>
      <w:r w:rsidR="009C1D00">
        <w:t>3</w:t>
      </w:r>
      <w:r w:rsidRPr="009C1D00">
        <w:t>b). The proportion of the potential population born in a non</w:t>
      </w:r>
      <w:r w:rsidR="00B84AF2">
        <w:noBreakHyphen/>
      </w:r>
      <w:r w:rsidRPr="009C1D00">
        <w:t>English speaking country who used community support services (</w:t>
      </w:r>
      <w:r w:rsidR="00473EF8">
        <w:t>111.2</w:t>
      </w:r>
      <w:r w:rsidR="0019455A">
        <w:t xml:space="preserve"> </w:t>
      </w:r>
      <w:r w:rsidRPr="009C1D00">
        <w:t>service users per 1000 potential population) was lower than the proportion of people born in an English speaking country who used these services (</w:t>
      </w:r>
      <w:r w:rsidR="00473EF8">
        <w:t>257.8</w:t>
      </w:r>
      <w:r w:rsidRPr="009C1D00">
        <w:t xml:space="preserve"> service users per 1000 potential population) (figure 14.2</w:t>
      </w:r>
      <w:r w:rsidR="009C1D00">
        <w:t>4</w:t>
      </w:r>
      <w:r w:rsidRPr="009C1D00">
        <w:t xml:space="preserve">b) </w:t>
      </w:r>
    </w:p>
    <w:p w:rsidR="001F39F2" w:rsidRPr="009C1D00" w:rsidRDefault="001F39F2" w:rsidP="00585E2C">
      <w:pPr>
        <w:pStyle w:val="ListBullet"/>
      </w:pPr>
      <w:r w:rsidRPr="009C1D00">
        <w:t xml:space="preserve">community access services was </w:t>
      </w:r>
      <w:r w:rsidR="00473EF8">
        <w:t>0.9</w:t>
      </w:r>
      <w:r w:rsidRPr="009C1D00">
        <w:t xml:space="preserve"> users per 1000 </w:t>
      </w:r>
      <w:r w:rsidR="000F777A" w:rsidRPr="009C1D00">
        <w:t>people</w:t>
      </w:r>
      <w:r w:rsidRPr="009C1D00">
        <w:t>, lower than the proportion of people born in an English speaking country who used these services (</w:t>
      </w:r>
      <w:r w:rsidR="00473EF8">
        <w:t>2.5</w:t>
      </w:r>
      <w:r w:rsidR="0019455A">
        <w:t xml:space="preserve"> </w:t>
      </w:r>
      <w:r w:rsidRPr="009C1D00">
        <w:t xml:space="preserve">service users per 1000 </w:t>
      </w:r>
      <w:r w:rsidR="000F777A" w:rsidRPr="009C1D00">
        <w:t>people</w:t>
      </w:r>
      <w:r w:rsidRPr="009C1D00">
        <w:t>) (figure 14.2</w:t>
      </w:r>
      <w:r w:rsidR="009C1D00">
        <w:t>3</w:t>
      </w:r>
      <w:r w:rsidRPr="009C1D00">
        <w:t>c). The proportion of the potential population born in a non</w:t>
      </w:r>
      <w:r w:rsidR="00B84AF2">
        <w:noBreakHyphen/>
      </w:r>
      <w:r w:rsidRPr="009C1D00">
        <w:t>English speaking country who used community access services (</w:t>
      </w:r>
      <w:r w:rsidR="00473EF8">
        <w:t>48.7</w:t>
      </w:r>
      <w:r w:rsidRPr="009C1D00">
        <w:t> service users per 1000 potential population) was lower than the proportion of people born in an English speaking country who used these services (</w:t>
      </w:r>
      <w:r w:rsidR="00473EF8">
        <w:t>84.6</w:t>
      </w:r>
      <w:r w:rsidR="00E654B2">
        <w:t xml:space="preserve"> service users per </w:t>
      </w:r>
      <w:r w:rsidRPr="009C1D00">
        <w:t>1000 population) (figure</w:t>
      </w:r>
      <w:r w:rsidR="00DA0DAF" w:rsidRPr="009C1D00">
        <w:t> </w:t>
      </w:r>
      <w:r w:rsidRPr="009C1D00">
        <w:t>14.2</w:t>
      </w:r>
      <w:r w:rsidR="009C1D00" w:rsidRPr="009C1D00">
        <w:t>4</w:t>
      </w:r>
      <w:r w:rsidRPr="009C1D00">
        <w:t>c)</w:t>
      </w:r>
    </w:p>
    <w:p w:rsidR="001F39F2" w:rsidRPr="009C1D00" w:rsidRDefault="001F39F2" w:rsidP="00585E2C">
      <w:pPr>
        <w:pStyle w:val="ListBullet"/>
      </w:pPr>
      <w:r w:rsidRPr="009C1D00">
        <w:t xml:space="preserve">respite services was </w:t>
      </w:r>
      <w:r w:rsidR="00473EF8">
        <w:t>0.5</w:t>
      </w:r>
      <w:r w:rsidRPr="009C1D00">
        <w:t xml:space="preserve"> service users per 1000 </w:t>
      </w:r>
      <w:r w:rsidR="000F777A" w:rsidRPr="009C1D00">
        <w:t>people</w:t>
      </w:r>
      <w:r w:rsidRPr="009C1D00">
        <w:t>, lower than the proportion of people born in an English speaking country who used these services (</w:t>
      </w:r>
      <w:r w:rsidR="00473EF8">
        <w:t>2.0</w:t>
      </w:r>
      <w:r w:rsidR="008A77C9" w:rsidRPr="009C1D00">
        <w:t> </w:t>
      </w:r>
      <w:r w:rsidRPr="009C1D00">
        <w:t xml:space="preserve">service users per 1000 </w:t>
      </w:r>
      <w:r w:rsidR="000F777A" w:rsidRPr="009C1D00">
        <w:t>people</w:t>
      </w:r>
      <w:r w:rsidRPr="009C1D00">
        <w:t>) (figure 14.2</w:t>
      </w:r>
      <w:r w:rsidR="009C1D00">
        <w:t>3</w:t>
      </w:r>
      <w:r w:rsidRPr="009C1D00">
        <w:t xml:space="preserve">d). Access to respite as a proportion of the potential population is not reported. Potential population data for respite services is not calculated at these levels because of conceptual, definitional and quality issues with carer data </w:t>
      </w:r>
      <w:r w:rsidR="00DA0DAF" w:rsidRPr="009C1D00">
        <w:t xml:space="preserve">for the special needs groups </w:t>
      </w:r>
      <w:r w:rsidRPr="009C1D00">
        <w:t xml:space="preserve">from the </w:t>
      </w:r>
      <w:r w:rsidR="00306720" w:rsidRPr="009C1D00">
        <w:t xml:space="preserve">2011 </w:t>
      </w:r>
      <w:r w:rsidRPr="009C1D00">
        <w:t>Census.</w:t>
      </w:r>
    </w:p>
    <w:p w:rsidR="00AC6C42" w:rsidRDefault="00AC6C42"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C6C42" w:rsidTr="00DD33DF">
        <w:tc>
          <w:tcPr>
            <w:tcW w:w="8771" w:type="dxa"/>
            <w:tcBorders>
              <w:top w:val="single" w:sz="6" w:space="0" w:color="78A22F"/>
              <w:left w:val="nil"/>
              <w:bottom w:val="nil"/>
              <w:right w:val="nil"/>
            </w:tcBorders>
            <w:shd w:val="clear" w:color="auto" w:fill="auto"/>
          </w:tcPr>
          <w:p w:rsidR="00AC6C42" w:rsidRPr="00176D3F" w:rsidRDefault="00AC6C42" w:rsidP="00AC6C42">
            <w:pPr>
              <w:pStyle w:val="FigureTitle"/>
            </w:pPr>
            <w:r w:rsidRPr="00784A05">
              <w:rPr>
                <w:b w:val="0"/>
              </w:rPr>
              <w:t xml:space="preserve">Figure </w:t>
            </w:r>
            <w:r w:rsidR="00321568">
              <w:rPr>
                <w:b w:val="0"/>
              </w:rPr>
              <w:t>14.</w:t>
            </w:r>
            <w:r w:rsidR="0085284B">
              <w:rPr>
                <w:b w:val="0"/>
                <w:noProof/>
              </w:rPr>
              <w:t>23</w:t>
            </w:r>
            <w:r>
              <w:tab/>
            </w:r>
            <w:r w:rsidRPr="00127366">
              <w:t xml:space="preserve">Users of State and Territory administered NDA specialist disability services per 1000 people (aged 0–64 years), by country of birth, </w:t>
            </w:r>
            <w:r w:rsidR="009C1D00">
              <w:t>2012</w:t>
            </w:r>
            <w:r w:rsidR="00B84AF2">
              <w:noBreakHyphen/>
            </w:r>
            <w:r w:rsidR="009C1D00">
              <w:t>13</w:t>
            </w:r>
            <w:r w:rsidR="00556562">
              <w:rPr>
                <w:rStyle w:val="NoteLabel"/>
                <w:b/>
              </w:rPr>
              <w:t>a, b</w:t>
            </w:r>
          </w:p>
        </w:tc>
      </w:tr>
      <w:tr w:rsidR="00AC6C42"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AC6C42" w:rsidTr="00DD33DF">
              <w:trPr>
                <w:jc w:val="center"/>
              </w:trPr>
              <w:tc>
                <w:tcPr>
                  <w:tcW w:w="5000" w:type="pct"/>
                  <w:tcBorders>
                    <w:top w:val="nil"/>
                    <w:bottom w:val="nil"/>
                  </w:tcBorders>
                </w:tcPr>
                <w:p w:rsidR="00AC6C42" w:rsidRDefault="00986756" w:rsidP="001E4978">
                  <w:pPr>
                    <w:pStyle w:val="Figure"/>
                    <w:spacing w:before="60" w:after="60"/>
                  </w:pPr>
                  <w:r>
                    <w:rPr>
                      <w:noProof/>
                    </w:rPr>
                    <w:drawing>
                      <wp:inline distT="0" distB="0" distL="0" distR="0">
                        <wp:extent cx="2505075" cy="2314575"/>
                        <wp:effectExtent l="0" t="0" r="9525" b="9525"/>
                        <wp:docPr id="47" name="Picture 47" descr="Figure 14.23 Users of State and Territory administered NDA specialist disability services per 1000 people (aged 0–64 years), by country of birth,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48" name="Picture 48" descr="Figure 14.23 Users of State and Territory administered NDA specialist disability services per 1000 people (aged 0–64 years), by country of birth,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E15ABB" w:rsidTr="00DD33DF">
              <w:trPr>
                <w:jc w:val="center"/>
              </w:trPr>
              <w:tc>
                <w:tcPr>
                  <w:tcW w:w="5000" w:type="pct"/>
                  <w:tcBorders>
                    <w:top w:val="nil"/>
                    <w:bottom w:val="nil"/>
                  </w:tcBorders>
                </w:tcPr>
                <w:p w:rsidR="00E15ABB" w:rsidRDefault="00986756" w:rsidP="003910DC">
                  <w:pPr>
                    <w:pStyle w:val="Figure"/>
                    <w:spacing w:before="60" w:after="60"/>
                  </w:pPr>
                  <w:r>
                    <w:rPr>
                      <w:noProof/>
                    </w:rPr>
                    <w:drawing>
                      <wp:inline distT="0" distB="0" distL="0" distR="0">
                        <wp:extent cx="2505075" cy="2314575"/>
                        <wp:effectExtent l="0" t="0" r="9525" b="9525"/>
                        <wp:docPr id="49" name="Picture 49" descr="Figure 14.23 Users of State and Territory administered NDA specialist disability services per 1000 people (aged 0–64 years), by country of birth,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50" name="Picture 50" descr="Figure 14.23 Users of State and Territory administered NDA specialist disability services per 1000 people (aged 0–64 years), by country of birth, 2012-13&#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bl>
          <w:p w:rsidR="00AC6C42" w:rsidRDefault="00986756" w:rsidP="00F61E05">
            <w:pPr>
              <w:pStyle w:val="Figure"/>
            </w:pPr>
            <w:r>
              <w:rPr>
                <w:noProof/>
              </w:rPr>
              <w:drawing>
                <wp:inline distT="0" distB="0" distL="0" distR="0">
                  <wp:extent cx="5238750" cy="561975"/>
                  <wp:effectExtent l="0" t="0" r="0" b="9525"/>
                  <wp:docPr id="51" name="Picture 51" descr="Figure 14.23 Users of State and Territory administered NDA specialist disability services per 1000 people (aged 0–64 years), by country of birth,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238750" cy="561975"/>
                          </a:xfrm>
                          <a:prstGeom prst="rect">
                            <a:avLst/>
                          </a:prstGeom>
                          <a:noFill/>
                          <a:ln>
                            <a:noFill/>
                          </a:ln>
                        </pic:spPr>
                      </pic:pic>
                    </a:graphicData>
                  </a:graphic>
                </wp:inline>
              </w:drawing>
            </w:r>
          </w:p>
        </w:tc>
      </w:tr>
      <w:tr w:rsidR="00AC6C42" w:rsidRPr="00127366" w:rsidTr="00DD33DF">
        <w:tc>
          <w:tcPr>
            <w:tcW w:w="8771" w:type="dxa"/>
            <w:tcBorders>
              <w:top w:val="nil"/>
              <w:left w:val="nil"/>
              <w:bottom w:val="nil"/>
              <w:right w:val="nil"/>
            </w:tcBorders>
            <w:shd w:val="clear" w:color="auto" w:fill="auto"/>
          </w:tcPr>
          <w:p w:rsidR="00AC6C42" w:rsidRPr="00127366" w:rsidRDefault="00AC6C42" w:rsidP="00C73AAC">
            <w:pPr>
              <w:pStyle w:val="Note"/>
            </w:pPr>
            <w:proofErr w:type="gramStart"/>
            <w:r w:rsidRPr="00127366">
              <w:rPr>
                <w:rStyle w:val="NoteLabel"/>
              </w:rPr>
              <w:t>a</w:t>
            </w:r>
            <w:proofErr w:type="gramEnd"/>
            <w:r w:rsidRPr="00127366">
              <w:t xml:space="preserve"> See tables 14A.</w:t>
            </w:r>
            <w:r w:rsidR="00402536">
              <w:t>5</w:t>
            </w:r>
            <w:r w:rsidR="00604140">
              <w:t>1</w:t>
            </w:r>
            <w:r w:rsidR="00F46BB7">
              <w:t>–</w:t>
            </w:r>
            <w:r w:rsidRPr="00127366">
              <w:t>5</w:t>
            </w:r>
            <w:r w:rsidR="00402536">
              <w:t>4</w:t>
            </w:r>
            <w:r w:rsidRPr="00127366">
              <w:t xml:space="preserve"> for detailed notes relating to these data. </w:t>
            </w:r>
            <w:proofErr w:type="gramStart"/>
            <w:r w:rsidRPr="00127366">
              <w:rPr>
                <w:rStyle w:val="NoteLabel"/>
              </w:rPr>
              <w:t>b</w:t>
            </w:r>
            <w:proofErr w:type="gramEnd"/>
            <w:r w:rsidRPr="00127366">
              <w:t xml:space="preserve"> Data need to be interpreted with care due to factors affecting data quality. Section 14.6 contains further information on data quality issues. </w:t>
            </w:r>
          </w:p>
        </w:tc>
      </w:tr>
      <w:tr w:rsidR="00AC6C42" w:rsidRPr="00127366" w:rsidTr="00DD33DF">
        <w:tc>
          <w:tcPr>
            <w:tcW w:w="8771" w:type="dxa"/>
            <w:tcBorders>
              <w:top w:val="nil"/>
              <w:left w:val="nil"/>
              <w:bottom w:val="nil"/>
              <w:right w:val="nil"/>
            </w:tcBorders>
            <w:shd w:val="clear" w:color="auto" w:fill="auto"/>
          </w:tcPr>
          <w:p w:rsidR="00AC6C42" w:rsidRPr="00127366" w:rsidRDefault="00AC6C42" w:rsidP="00C73AAC">
            <w:pPr>
              <w:pStyle w:val="Source"/>
              <w:rPr>
                <w:i/>
              </w:rPr>
            </w:pPr>
            <w:r w:rsidRPr="00DF1129">
              <w:rPr>
                <w:i/>
              </w:rPr>
              <w:t>Source</w:t>
            </w:r>
            <w:r w:rsidRPr="00AE3578">
              <w:t>:</w:t>
            </w:r>
            <w:r w:rsidRPr="00DF1129">
              <w:t xml:space="preserve"> </w:t>
            </w:r>
            <w:r w:rsidR="00E15ABB" w:rsidRPr="00DF1129">
              <w:t xml:space="preserve">AIHW (unpublished), </w:t>
            </w:r>
            <w:r w:rsidR="00E15ABB" w:rsidRPr="00DF1129">
              <w:rPr>
                <w:i/>
              </w:rPr>
              <w:t>DS NMDS 2012</w:t>
            </w:r>
            <w:r w:rsidR="00B84AF2">
              <w:rPr>
                <w:i/>
              </w:rPr>
              <w:noBreakHyphen/>
            </w:r>
            <w:r w:rsidR="00E15ABB" w:rsidRPr="00DF1129">
              <w:rPr>
                <w:i/>
              </w:rPr>
              <w:t>13</w:t>
            </w:r>
            <w:r w:rsidR="00E15ABB" w:rsidRPr="00DF1129">
              <w:t xml:space="preserve">, </w:t>
            </w:r>
            <w:r w:rsidR="00DF1129" w:rsidRPr="00DF1129">
              <w:t xml:space="preserve">AIHW (unpublished), AIHW analysis of the </w:t>
            </w:r>
            <w:r w:rsidR="00DF1129" w:rsidRPr="00DF1129">
              <w:rPr>
                <w:i/>
              </w:rPr>
              <w:t>ABS Estimated Resident Population June 2012</w:t>
            </w:r>
            <w:r w:rsidR="00DF1129" w:rsidRPr="00DF1129">
              <w:t xml:space="preserve">, </w:t>
            </w:r>
            <w:r w:rsidR="00DF1129" w:rsidRPr="00DF1129">
              <w:rPr>
                <w:i/>
              </w:rPr>
              <w:t>ABS Census of Population and Housing 2011</w:t>
            </w:r>
            <w:r w:rsidR="00DF1129" w:rsidRPr="00DF1129">
              <w:t xml:space="preserve"> and the </w:t>
            </w:r>
            <w:r w:rsidR="00DF1129" w:rsidRPr="00DF1129">
              <w:rPr>
                <w:i/>
              </w:rPr>
              <w:t>ABS</w:t>
            </w:r>
            <w:r w:rsidR="00DF1129" w:rsidRPr="00DF1129">
              <w:t xml:space="preserve"> </w:t>
            </w:r>
            <w:r w:rsidR="00DF1129" w:rsidRPr="00DF1129">
              <w:rPr>
                <w:i/>
              </w:rPr>
              <w:t>Survey of Disability, Ageing and Carers 2012</w:t>
            </w:r>
            <w:r w:rsidRPr="00DF1129">
              <w:t>; tables 14A.</w:t>
            </w:r>
            <w:r w:rsidR="00402536">
              <w:t>51</w:t>
            </w:r>
            <w:r w:rsidR="00DF1129" w:rsidRPr="00DF1129">
              <w:t>–</w:t>
            </w:r>
            <w:r w:rsidR="00402536" w:rsidRPr="00DF1129">
              <w:t>5</w:t>
            </w:r>
            <w:r w:rsidR="00402536">
              <w:t>4</w:t>
            </w:r>
            <w:r w:rsidRPr="00DF1129">
              <w:t>.</w:t>
            </w:r>
          </w:p>
        </w:tc>
      </w:tr>
      <w:tr w:rsidR="00AC6C42" w:rsidTr="00DD33DF">
        <w:tc>
          <w:tcPr>
            <w:tcW w:w="8771" w:type="dxa"/>
            <w:tcBorders>
              <w:top w:val="nil"/>
              <w:left w:val="nil"/>
              <w:bottom w:val="single" w:sz="6" w:space="0" w:color="78A22F"/>
              <w:right w:val="nil"/>
            </w:tcBorders>
            <w:shd w:val="clear" w:color="auto" w:fill="auto"/>
          </w:tcPr>
          <w:p w:rsidR="00AC6C42" w:rsidRDefault="00AC6C42" w:rsidP="00DD33DF">
            <w:pPr>
              <w:pStyle w:val="Figurespace"/>
            </w:pPr>
          </w:p>
        </w:tc>
      </w:tr>
      <w:tr w:rsidR="00AC6C42" w:rsidRPr="000863A5" w:rsidTr="00DD33DF">
        <w:tc>
          <w:tcPr>
            <w:tcW w:w="8771" w:type="dxa"/>
            <w:tcBorders>
              <w:top w:val="single" w:sz="6" w:space="0" w:color="78A22F"/>
              <w:left w:val="nil"/>
              <w:bottom w:val="nil"/>
              <w:right w:val="nil"/>
            </w:tcBorders>
          </w:tcPr>
          <w:p w:rsidR="00AC6C42" w:rsidRPr="00626D32" w:rsidRDefault="00AC6C42" w:rsidP="00DD33DF">
            <w:pPr>
              <w:pStyle w:val="BoxSpaceBelow"/>
            </w:pPr>
          </w:p>
        </w:tc>
      </w:tr>
    </w:tbl>
    <w:p w:rsidR="00F0465F" w:rsidRDefault="00F0465F"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0465F" w:rsidTr="00DD33DF">
        <w:tc>
          <w:tcPr>
            <w:tcW w:w="8771" w:type="dxa"/>
            <w:tcBorders>
              <w:top w:val="single" w:sz="6" w:space="0" w:color="78A22F"/>
              <w:left w:val="nil"/>
              <w:bottom w:val="nil"/>
              <w:right w:val="nil"/>
            </w:tcBorders>
            <w:shd w:val="clear" w:color="auto" w:fill="auto"/>
          </w:tcPr>
          <w:p w:rsidR="00F0465F" w:rsidRPr="00176D3F" w:rsidRDefault="00F0465F" w:rsidP="00F46BB7">
            <w:pPr>
              <w:pStyle w:val="FigureTitle"/>
            </w:pPr>
            <w:r w:rsidRPr="00784A05">
              <w:rPr>
                <w:b w:val="0"/>
              </w:rPr>
              <w:t xml:space="preserve">Figure </w:t>
            </w:r>
            <w:r w:rsidR="00321568">
              <w:rPr>
                <w:b w:val="0"/>
              </w:rPr>
              <w:t>14.</w:t>
            </w:r>
            <w:r w:rsidR="0085284B">
              <w:rPr>
                <w:b w:val="0"/>
                <w:noProof/>
              </w:rPr>
              <w:t>24</w:t>
            </w:r>
            <w:r>
              <w:tab/>
            </w:r>
            <w:r w:rsidRPr="009C1D00">
              <w:t>Users of State and Territory administered NDA specialist disability services per 1000 potential population, by country of birth, 201</w:t>
            </w:r>
            <w:r w:rsidR="00F46BB7">
              <w:t>2</w:t>
            </w:r>
            <w:r w:rsidR="00B84AF2">
              <w:noBreakHyphen/>
            </w:r>
            <w:r w:rsidR="00F46BB7">
              <w:t>13</w:t>
            </w:r>
            <w:r w:rsidRPr="009C1D00">
              <w:rPr>
                <w:rStyle w:val="NoteLabel"/>
                <w:b/>
              </w:rPr>
              <w:t>a, b, c</w:t>
            </w:r>
          </w:p>
        </w:tc>
      </w:tr>
      <w:tr w:rsidR="00F0465F"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F0465F" w:rsidTr="00DD33DF">
              <w:trPr>
                <w:jc w:val="center"/>
              </w:trPr>
              <w:tc>
                <w:tcPr>
                  <w:tcW w:w="5000" w:type="pct"/>
                  <w:tcBorders>
                    <w:top w:val="nil"/>
                    <w:bottom w:val="nil"/>
                  </w:tcBorders>
                </w:tcPr>
                <w:p w:rsidR="00F0465F" w:rsidRDefault="00986756" w:rsidP="001E4978">
                  <w:pPr>
                    <w:pStyle w:val="Figure"/>
                  </w:pPr>
                  <w:r>
                    <w:rPr>
                      <w:noProof/>
                    </w:rPr>
                    <w:drawing>
                      <wp:inline distT="0" distB="0" distL="0" distR="0">
                        <wp:extent cx="2505075" cy="2314575"/>
                        <wp:effectExtent l="0" t="0" r="9525" b="9525"/>
                        <wp:docPr id="52" name="Picture 52" descr="Figure 14.24 Users of State and Territory administered NDA specialist disability services per 1000 potential population, by country of birth,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53" name="Picture 53" descr="Figure 14.24 Users of State and Territory administered NDA specialist disability services per 1000 potential population, by country of birth,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E15ABB" w:rsidTr="00DD33DF">
              <w:trPr>
                <w:jc w:val="center"/>
              </w:trPr>
              <w:tc>
                <w:tcPr>
                  <w:tcW w:w="5000" w:type="pct"/>
                  <w:tcBorders>
                    <w:top w:val="nil"/>
                    <w:bottom w:val="nil"/>
                  </w:tcBorders>
                </w:tcPr>
                <w:p w:rsidR="00E15ABB" w:rsidRDefault="00986756" w:rsidP="00127366">
                  <w:pPr>
                    <w:pStyle w:val="Figure"/>
                  </w:pPr>
                  <w:r>
                    <w:rPr>
                      <w:noProof/>
                    </w:rPr>
                    <w:drawing>
                      <wp:inline distT="0" distB="0" distL="0" distR="0">
                        <wp:extent cx="2514600" cy="2400300"/>
                        <wp:effectExtent l="0" t="0" r="0" b="0"/>
                        <wp:docPr id="55" name="Picture 55" descr="Figure 14.24 Users of State and Territory administered NDA specialist disability services per 1000 potential population, by country of birth,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igure 14.24 Users of State and Territory administered NDA specialist disability services per 1000 potential population, by country of birth, 2012-13&#10;&#10;(c) Community access&#10;&#10;More details can be found within the text surrounding this image.&#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14600" cy="2400300"/>
                                </a:xfrm>
                                <a:prstGeom prst="rect">
                                  <a:avLst/>
                                </a:prstGeom>
                                <a:noFill/>
                                <a:ln>
                                  <a:noFill/>
                                </a:ln>
                              </pic:spPr>
                            </pic:pic>
                          </a:graphicData>
                        </a:graphic>
                      </wp:inline>
                    </w:drawing>
                  </w:r>
                </w:p>
              </w:tc>
            </w:tr>
            <w:tr w:rsidR="00C60675" w:rsidTr="00DD33DF">
              <w:trPr>
                <w:jc w:val="center"/>
              </w:trPr>
              <w:tc>
                <w:tcPr>
                  <w:tcW w:w="5000" w:type="pct"/>
                  <w:tcBorders>
                    <w:top w:val="nil"/>
                    <w:bottom w:val="nil"/>
                  </w:tcBorders>
                </w:tcPr>
                <w:p w:rsidR="00C60675" w:rsidRDefault="00986756" w:rsidP="00127366">
                  <w:pPr>
                    <w:pStyle w:val="Figure"/>
                  </w:pPr>
                  <w:r>
                    <w:rPr>
                      <w:noProof/>
                    </w:rPr>
                    <w:drawing>
                      <wp:inline distT="0" distB="0" distL="0" distR="0">
                        <wp:extent cx="5238750" cy="561975"/>
                        <wp:effectExtent l="0" t="0" r="0" b="9525"/>
                        <wp:docPr id="56" name="Picture 56" descr="Figure 14.24 Users of State and Territory administered NDA specialist disability services per 1000 potential population, by country of birth, 2012-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238750" cy="561975"/>
                                </a:xfrm>
                                <a:prstGeom prst="rect">
                                  <a:avLst/>
                                </a:prstGeom>
                                <a:noFill/>
                                <a:ln>
                                  <a:noFill/>
                                </a:ln>
                              </pic:spPr>
                            </pic:pic>
                          </a:graphicData>
                        </a:graphic>
                      </wp:inline>
                    </w:drawing>
                  </w:r>
                </w:p>
              </w:tc>
            </w:tr>
          </w:tbl>
          <w:p w:rsidR="00F0465F" w:rsidRDefault="00F0465F" w:rsidP="00DD33DF">
            <w:pPr>
              <w:pStyle w:val="Figure"/>
            </w:pPr>
          </w:p>
        </w:tc>
      </w:tr>
      <w:tr w:rsidR="00F0465F" w:rsidRPr="00E15ABB" w:rsidTr="00DD33DF">
        <w:tc>
          <w:tcPr>
            <w:tcW w:w="8771" w:type="dxa"/>
            <w:tcBorders>
              <w:top w:val="nil"/>
              <w:left w:val="nil"/>
              <w:bottom w:val="nil"/>
              <w:right w:val="nil"/>
            </w:tcBorders>
            <w:shd w:val="clear" w:color="auto" w:fill="auto"/>
          </w:tcPr>
          <w:p w:rsidR="00F0465F" w:rsidRPr="00E15ABB" w:rsidRDefault="00FB6B6C" w:rsidP="00C73AAC">
            <w:pPr>
              <w:pStyle w:val="Note"/>
            </w:pPr>
            <w:proofErr w:type="gramStart"/>
            <w:r w:rsidRPr="00E15ABB">
              <w:rPr>
                <w:rStyle w:val="NoteLabel"/>
              </w:rPr>
              <w:t>a</w:t>
            </w:r>
            <w:proofErr w:type="gramEnd"/>
            <w:r w:rsidRPr="00E15ABB">
              <w:t xml:space="preserve"> See tables 14A.</w:t>
            </w:r>
            <w:r w:rsidR="00402536">
              <w:t>51</w:t>
            </w:r>
            <w:r w:rsidR="000761F8">
              <w:t>–</w:t>
            </w:r>
            <w:r w:rsidR="00402536" w:rsidRPr="00E15ABB">
              <w:t>5</w:t>
            </w:r>
            <w:r w:rsidR="00402536">
              <w:t>3</w:t>
            </w:r>
            <w:r w:rsidR="00402536" w:rsidRPr="00E15ABB">
              <w:t xml:space="preserve"> </w:t>
            </w:r>
            <w:r w:rsidRPr="00E15ABB">
              <w:t xml:space="preserve">for detailed notes relating to these data. </w:t>
            </w:r>
            <w:proofErr w:type="gramStart"/>
            <w:r w:rsidRPr="00E15ABB">
              <w:rPr>
                <w:rStyle w:val="NoteLabel"/>
              </w:rPr>
              <w:t>b</w:t>
            </w:r>
            <w:proofErr w:type="gramEnd"/>
            <w:r w:rsidRPr="00E15ABB">
              <w:t xml:space="preserve"> See </w:t>
            </w:r>
            <w:r w:rsidR="009D29CA">
              <w:t>sections 14.6 and 14.7</w:t>
            </w:r>
            <w:r w:rsidRPr="00E15ABB">
              <w:t xml:space="preserve"> for information on how the potential population is defined. </w:t>
            </w:r>
            <w:proofErr w:type="gramStart"/>
            <w:r w:rsidRPr="00E15ABB">
              <w:rPr>
                <w:rStyle w:val="NoteLabel"/>
              </w:rPr>
              <w:t>c</w:t>
            </w:r>
            <w:proofErr w:type="gramEnd"/>
            <w:r w:rsidRPr="00E15ABB">
              <w:t xml:space="preserve"> Data need to be interpreted with care due to factors affecting data quality. Section 14.6 contains further information on data quality issues. </w:t>
            </w:r>
          </w:p>
        </w:tc>
      </w:tr>
      <w:tr w:rsidR="00F0465F" w:rsidRPr="00E15ABB" w:rsidTr="00DD33DF">
        <w:tc>
          <w:tcPr>
            <w:tcW w:w="8771" w:type="dxa"/>
            <w:tcBorders>
              <w:top w:val="nil"/>
              <w:left w:val="nil"/>
              <w:bottom w:val="nil"/>
              <w:right w:val="nil"/>
            </w:tcBorders>
            <w:shd w:val="clear" w:color="auto" w:fill="auto"/>
          </w:tcPr>
          <w:p w:rsidR="00F0465F" w:rsidRPr="00E15ABB" w:rsidRDefault="00FB6B6C" w:rsidP="00C73AAC">
            <w:pPr>
              <w:pStyle w:val="Source"/>
            </w:pPr>
            <w:r w:rsidRPr="00DF1129">
              <w:rPr>
                <w:i/>
              </w:rPr>
              <w:t>Source</w:t>
            </w:r>
            <w:r w:rsidRPr="00DF1129">
              <w:t xml:space="preserve">: AIHW (unpublished) </w:t>
            </w:r>
            <w:r w:rsidRPr="00DF1129">
              <w:rPr>
                <w:i/>
              </w:rPr>
              <w:t>DS NMDS</w:t>
            </w:r>
            <w:r w:rsidR="00DF1129">
              <w:rPr>
                <w:i/>
              </w:rPr>
              <w:t xml:space="preserve"> 2012</w:t>
            </w:r>
            <w:r w:rsidR="00B84AF2">
              <w:rPr>
                <w:i/>
              </w:rPr>
              <w:noBreakHyphen/>
            </w:r>
            <w:r w:rsidR="00DF1129">
              <w:rPr>
                <w:i/>
              </w:rPr>
              <w:t>13</w:t>
            </w:r>
            <w:r w:rsidRPr="00DF1129">
              <w:t xml:space="preserve">; </w:t>
            </w:r>
            <w:r w:rsidR="00DF1129" w:rsidRPr="00DF1129">
              <w:t xml:space="preserve">AIHW (unpublished), AIHW analysis of the </w:t>
            </w:r>
            <w:r w:rsidR="00DF1129" w:rsidRPr="00DF1129">
              <w:rPr>
                <w:i/>
              </w:rPr>
              <w:t>ABS Estimated Resident Population June 2012</w:t>
            </w:r>
            <w:r w:rsidR="00DF1129" w:rsidRPr="00DF1129">
              <w:t xml:space="preserve">, </w:t>
            </w:r>
            <w:r w:rsidR="00DF1129" w:rsidRPr="00DF1129">
              <w:rPr>
                <w:i/>
              </w:rPr>
              <w:t>ABS Census of Population and Housing 2011</w:t>
            </w:r>
            <w:r w:rsidR="00DF1129" w:rsidRPr="00DF1129">
              <w:t xml:space="preserve"> and the </w:t>
            </w:r>
            <w:r w:rsidR="00DF1129" w:rsidRPr="00DF1129">
              <w:rPr>
                <w:i/>
              </w:rPr>
              <w:t>ABS</w:t>
            </w:r>
            <w:r w:rsidR="00DF1129" w:rsidRPr="00DF1129">
              <w:t xml:space="preserve"> </w:t>
            </w:r>
            <w:r w:rsidR="00DF1129" w:rsidRPr="00DF1129">
              <w:rPr>
                <w:i/>
              </w:rPr>
              <w:t>Survey of Disability, Ageing and Carers 2012</w:t>
            </w:r>
            <w:r w:rsidR="00DF1129" w:rsidRPr="00DF1129">
              <w:t>;</w:t>
            </w:r>
            <w:r w:rsidRPr="00DF1129">
              <w:t xml:space="preserve"> tables 14A.</w:t>
            </w:r>
            <w:r w:rsidR="00402536">
              <w:t>51</w:t>
            </w:r>
            <w:r w:rsidR="00F46BB7" w:rsidRPr="00DF1129">
              <w:t>–</w:t>
            </w:r>
            <w:r w:rsidR="00402536" w:rsidRPr="00DF1129">
              <w:t>5</w:t>
            </w:r>
            <w:r w:rsidR="00402536">
              <w:t>3</w:t>
            </w:r>
            <w:r w:rsidRPr="00DF1129">
              <w:t>.</w:t>
            </w:r>
            <w:r w:rsidRPr="00E15ABB">
              <w:rPr>
                <w:b/>
              </w:rPr>
              <w:t xml:space="preserve"> </w:t>
            </w:r>
          </w:p>
        </w:tc>
      </w:tr>
      <w:tr w:rsidR="00F0465F" w:rsidTr="00DD33DF">
        <w:tc>
          <w:tcPr>
            <w:tcW w:w="8771" w:type="dxa"/>
            <w:tcBorders>
              <w:top w:val="nil"/>
              <w:left w:val="nil"/>
              <w:bottom w:val="single" w:sz="6" w:space="0" w:color="78A22F"/>
              <w:right w:val="nil"/>
            </w:tcBorders>
            <w:shd w:val="clear" w:color="auto" w:fill="auto"/>
          </w:tcPr>
          <w:p w:rsidR="00F0465F" w:rsidRDefault="00F0465F" w:rsidP="00DD33DF">
            <w:pPr>
              <w:pStyle w:val="Figurespace"/>
            </w:pPr>
          </w:p>
        </w:tc>
      </w:tr>
      <w:tr w:rsidR="00F0465F" w:rsidRPr="000863A5" w:rsidTr="00DD33DF">
        <w:tc>
          <w:tcPr>
            <w:tcW w:w="8771" w:type="dxa"/>
            <w:tcBorders>
              <w:top w:val="single" w:sz="6" w:space="0" w:color="78A22F"/>
              <w:left w:val="nil"/>
              <w:bottom w:val="nil"/>
              <w:right w:val="nil"/>
            </w:tcBorders>
          </w:tcPr>
          <w:p w:rsidR="00F0465F" w:rsidRPr="00626D32" w:rsidRDefault="00F0465F" w:rsidP="00DD33DF">
            <w:pPr>
              <w:pStyle w:val="BoxSpaceBelow"/>
            </w:pPr>
          </w:p>
        </w:tc>
      </w:tr>
    </w:tbl>
    <w:p w:rsidR="001F39F2" w:rsidRPr="00025A38" w:rsidRDefault="001F39F2" w:rsidP="00585E2C">
      <w:pPr>
        <w:pStyle w:val="BodyText"/>
      </w:pPr>
      <w:r w:rsidRPr="00025A38">
        <w:t xml:space="preserve">Nationally in </w:t>
      </w:r>
      <w:r w:rsidR="00025A38" w:rsidRPr="00025A38">
        <w:t>2012</w:t>
      </w:r>
      <w:r w:rsidR="00B84AF2">
        <w:noBreakHyphen/>
      </w:r>
      <w:r w:rsidR="00025A38" w:rsidRPr="00025A38">
        <w:t>13</w:t>
      </w:r>
      <w:r w:rsidRPr="00025A38">
        <w:t>, the proportion of people born in a non</w:t>
      </w:r>
      <w:r w:rsidR="00B84AF2">
        <w:noBreakHyphen/>
      </w:r>
      <w:r w:rsidRPr="00025A38">
        <w:t>English speaking country who used NDA employment services (</w:t>
      </w:r>
      <w:r w:rsidR="00DE0ECB">
        <w:t>6.0</w:t>
      </w:r>
      <w:r w:rsidRPr="00025A38">
        <w:t xml:space="preserve"> service users per 1000 population) was lower than that of people born in an English speaking country (</w:t>
      </w:r>
      <w:r w:rsidR="00DE0ECB">
        <w:t>9.1</w:t>
      </w:r>
      <w:r w:rsidRPr="00025A38">
        <w:t xml:space="preserve"> service users </w:t>
      </w:r>
      <w:r w:rsidR="005B7885">
        <w:lastRenderedPageBreak/>
        <w:t>per </w:t>
      </w:r>
      <w:r w:rsidRPr="00025A38">
        <w:t>1000</w:t>
      </w:r>
      <w:r w:rsidR="005B7885">
        <w:t> </w:t>
      </w:r>
      <w:r w:rsidRPr="00025A38">
        <w:t>population) (figure</w:t>
      </w:r>
      <w:r w:rsidR="00AE3578">
        <w:t> </w:t>
      </w:r>
      <w:r w:rsidRPr="00025A38">
        <w:t>14.2</w:t>
      </w:r>
      <w:r w:rsidR="00025A38" w:rsidRPr="00025A38">
        <w:t>5</w:t>
      </w:r>
      <w:r w:rsidRPr="00025A38">
        <w:t>). The proportion of the potential population of people born in a non</w:t>
      </w:r>
      <w:r w:rsidR="00B84AF2">
        <w:noBreakHyphen/>
      </w:r>
      <w:r w:rsidRPr="00025A38">
        <w:t>English speaking country who used NDA employment services (</w:t>
      </w:r>
      <w:r w:rsidR="00DE0ECB">
        <w:t>440.2</w:t>
      </w:r>
      <w:r w:rsidRPr="00025A38">
        <w:t xml:space="preserve"> service </w:t>
      </w:r>
      <w:r w:rsidRPr="006A73EF">
        <w:t>users per 1000 potential population) was lower than that of the potential population of people born in an English speaking country (</w:t>
      </w:r>
      <w:r w:rsidR="00DE0ECB" w:rsidRPr="006A73EF">
        <w:t>453.5</w:t>
      </w:r>
      <w:r w:rsidR="0040202F" w:rsidRPr="006A73EF">
        <w:t xml:space="preserve"> </w:t>
      </w:r>
      <w:r w:rsidR="005B7885">
        <w:t>service users per 1000 </w:t>
      </w:r>
      <w:r w:rsidRPr="006A73EF">
        <w:t>potential population) (figure</w:t>
      </w:r>
      <w:r w:rsidR="00AE3578">
        <w:t> </w:t>
      </w:r>
      <w:r w:rsidRPr="006A73EF">
        <w:t>14.2</w:t>
      </w:r>
      <w:r w:rsidR="00025A38" w:rsidRPr="006A73EF">
        <w:t>5</w:t>
      </w:r>
      <w:r w:rsidRPr="006A73EF">
        <w:t>).</w:t>
      </w:r>
    </w:p>
    <w:p w:rsidR="00706F92" w:rsidRDefault="00706F92"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6F92" w:rsidTr="00DD33DF">
        <w:tc>
          <w:tcPr>
            <w:tcW w:w="8771" w:type="dxa"/>
            <w:tcBorders>
              <w:top w:val="single" w:sz="6" w:space="0" w:color="78A22F"/>
              <w:left w:val="nil"/>
              <w:bottom w:val="nil"/>
              <w:right w:val="nil"/>
            </w:tcBorders>
            <w:shd w:val="clear" w:color="auto" w:fill="auto"/>
          </w:tcPr>
          <w:p w:rsidR="00706F92" w:rsidRPr="00176D3F" w:rsidRDefault="00706F92" w:rsidP="00706F92">
            <w:pPr>
              <w:pStyle w:val="FigureTitle"/>
            </w:pPr>
            <w:r w:rsidRPr="00784A05">
              <w:rPr>
                <w:b w:val="0"/>
              </w:rPr>
              <w:t xml:space="preserve">Figure </w:t>
            </w:r>
            <w:r w:rsidR="00321568">
              <w:rPr>
                <w:b w:val="0"/>
              </w:rPr>
              <w:t>14.</w:t>
            </w:r>
            <w:r w:rsidR="0085284B">
              <w:rPr>
                <w:b w:val="0"/>
                <w:noProof/>
              </w:rPr>
              <w:t>25</w:t>
            </w:r>
            <w:r w:rsidRPr="00C96342">
              <w:tab/>
              <w:t>Users of NDA employment service</w:t>
            </w:r>
            <w:r w:rsidR="0040202F">
              <w:t xml:space="preserve">s, by country of birth, </w:t>
            </w:r>
            <w:r w:rsidR="0040202F">
              <w:br/>
              <w:t>2012</w:t>
            </w:r>
            <w:r w:rsidR="00B84AF2">
              <w:noBreakHyphen/>
            </w:r>
            <w:r w:rsidR="0040202F">
              <w:t>13</w:t>
            </w:r>
            <w:r w:rsidRPr="00C96342">
              <w:rPr>
                <w:rStyle w:val="NoteLabel"/>
                <w:b/>
              </w:rPr>
              <w:t>a, b, c</w:t>
            </w:r>
          </w:p>
        </w:tc>
      </w:tr>
      <w:tr w:rsidR="00706F92" w:rsidTr="00DD33DF">
        <w:tc>
          <w:tcPr>
            <w:tcW w:w="8771" w:type="dxa"/>
            <w:tcBorders>
              <w:top w:val="nil"/>
              <w:left w:val="nil"/>
              <w:bottom w:val="nil"/>
              <w:right w:val="nil"/>
            </w:tcBorders>
            <w:shd w:val="clear" w:color="auto" w:fill="auto"/>
            <w:tcMar>
              <w:top w:w="28" w:type="dxa"/>
              <w:bottom w:w="28" w:type="dxa"/>
            </w:tcMar>
          </w:tcPr>
          <w:p w:rsidR="00706F92" w:rsidRDefault="00986756" w:rsidP="00DD33DF">
            <w:pPr>
              <w:pStyle w:val="Figure"/>
            </w:pPr>
            <w:r>
              <w:rPr>
                <w:noProof/>
              </w:rPr>
              <w:drawing>
                <wp:inline distT="0" distB="0" distL="0" distR="0">
                  <wp:extent cx="2505075" cy="2314575"/>
                  <wp:effectExtent l="0" t="0" r="9525" b="9525"/>
                  <wp:docPr id="57" name="Picture 57" descr="Figure 14.25 Users of NDA employment services, by country of birth, 2012-13&#10;&#10;Users/1000 peop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Pr>
                <w:noProof/>
              </w:rPr>
              <w:drawing>
                <wp:inline distT="0" distB="0" distL="0" distR="0">
                  <wp:extent cx="2505075" cy="2314575"/>
                  <wp:effectExtent l="0" t="0" r="9525" b="9525"/>
                  <wp:docPr id="58" name="Picture 58" descr="Figure 14.25 Users of NDA employment services, by country of birth, 2012-13&#10;&#10;Users/1000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p w:rsidR="00DE0ECB" w:rsidRDefault="00986756" w:rsidP="00DD33DF">
            <w:pPr>
              <w:pStyle w:val="Figure"/>
            </w:pPr>
            <w:r>
              <w:rPr>
                <w:noProof/>
              </w:rPr>
              <w:drawing>
                <wp:inline distT="0" distB="0" distL="0" distR="0">
                  <wp:extent cx="5238750" cy="561975"/>
                  <wp:effectExtent l="0" t="0" r="0" b="9525"/>
                  <wp:docPr id="59" name="Picture 59" descr="Figure 14.25 Users of NDA employment services, by country of birth, 2012-13&#10;&#10;Legend to figur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238750" cy="561975"/>
                          </a:xfrm>
                          <a:prstGeom prst="rect">
                            <a:avLst/>
                          </a:prstGeom>
                          <a:noFill/>
                          <a:ln>
                            <a:noFill/>
                          </a:ln>
                        </pic:spPr>
                      </pic:pic>
                    </a:graphicData>
                  </a:graphic>
                </wp:inline>
              </w:drawing>
            </w:r>
          </w:p>
        </w:tc>
      </w:tr>
      <w:tr w:rsidR="00706F92" w:rsidRPr="00DE0ECB" w:rsidTr="00DD33DF">
        <w:tc>
          <w:tcPr>
            <w:tcW w:w="8771" w:type="dxa"/>
            <w:tcBorders>
              <w:top w:val="nil"/>
              <w:left w:val="nil"/>
              <w:bottom w:val="nil"/>
              <w:right w:val="nil"/>
            </w:tcBorders>
            <w:shd w:val="clear" w:color="auto" w:fill="auto"/>
          </w:tcPr>
          <w:p w:rsidR="00706F92" w:rsidRPr="00DE0ECB" w:rsidRDefault="00706F92" w:rsidP="00402536">
            <w:pPr>
              <w:pStyle w:val="Note"/>
              <w:keepNext/>
            </w:pPr>
            <w:proofErr w:type="gramStart"/>
            <w:r w:rsidRPr="00DE0ECB">
              <w:rPr>
                <w:rStyle w:val="NoteLabel"/>
              </w:rPr>
              <w:t>a</w:t>
            </w:r>
            <w:proofErr w:type="gramEnd"/>
            <w:r w:rsidRPr="00DE0ECB">
              <w:t xml:space="preserve"> See table 14A.</w:t>
            </w:r>
            <w:r w:rsidR="00402536" w:rsidRPr="00DE0ECB">
              <w:t>5</w:t>
            </w:r>
            <w:r w:rsidR="00402536">
              <w:t>5</w:t>
            </w:r>
            <w:r w:rsidR="00604140">
              <w:t xml:space="preserve"> </w:t>
            </w:r>
            <w:r w:rsidRPr="00DE0ECB">
              <w:t xml:space="preserve">for detailed notes relating to these data. </w:t>
            </w:r>
            <w:proofErr w:type="gramStart"/>
            <w:r w:rsidRPr="00DE0ECB">
              <w:rPr>
                <w:rStyle w:val="NoteLabel"/>
              </w:rPr>
              <w:t>b</w:t>
            </w:r>
            <w:proofErr w:type="gramEnd"/>
            <w:r w:rsidRPr="00DE0ECB">
              <w:t xml:space="preserve"> See </w:t>
            </w:r>
            <w:r w:rsidR="009D29CA">
              <w:t>sections 14.6 and 14.7</w:t>
            </w:r>
            <w:r w:rsidRPr="00DE0ECB">
              <w:t xml:space="preserve"> for information on how the potential population is defined. </w:t>
            </w:r>
            <w:proofErr w:type="gramStart"/>
            <w:r w:rsidRPr="00DE0ECB">
              <w:rPr>
                <w:rStyle w:val="NoteLabel"/>
              </w:rPr>
              <w:t>c</w:t>
            </w:r>
            <w:proofErr w:type="gramEnd"/>
            <w:r w:rsidRPr="00DE0ECB">
              <w:t xml:space="preserve"> Data need to be interpreted with care due to factors affecting data quality. Section 14.6 contains further information on data quality issues. </w:t>
            </w:r>
          </w:p>
        </w:tc>
      </w:tr>
      <w:tr w:rsidR="00706F92" w:rsidRPr="00DE0ECB" w:rsidTr="00DD33DF">
        <w:tc>
          <w:tcPr>
            <w:tcW w:w="8771" w:type="dxa"/>
            <w:tcBorders>
              <w:top w:val="nil"/>
              <w:left w:val="nil"/>
              <w:bottom w:val="nil"/>
              <w:right w:val="nil"/>
            </w:tcBorders>
            <w:shd w:val="clear" w:color="auto" w:fill="auto"/>
          </w:tcPr>
          <w:p w:rsidR="00706F92" w:rsidRPr="00DE0ECB" w:rsidRDefault="00706F92" w:rsidP="006B51BC">
            <w:pPr>
              <w:pStyle w:val="Source"/>
              <w:keepNext/>
            </w:pPr>
            <w:r w:rsidRPr="00DF1129">
              <w:rPr>
                <w:i/>
              </w:rPr>
              <w:t>Source</w:t>
            </w:r>
            <w:r w:rsidRPr="00DF1129">
              <w:t xml:space="preserve">: AIHW (unpublished) </w:t>
            </w:r>
            <w:r w:rsidRPr="00DF1129">
              <w:rPr>
                <w:i/>
              </w:rPr>
              <w:t>DS NMDS</w:t>
            </w:r>
            <w:r w:rsidRPr="00DF1129">
              <w:t xml:space="preserve">; </w:t>
            </w:r>
            <w:r w:rsidR="00DF1129" w:rsidRPr="00DF1129">
              <w:t xml:space="preserve">AIHW (unpublished), AIHW analysis of the </w:t>
            </w:r>
            <w:r w:rsidR="00DF1129" w:rsidRPr="00DF1129">
              <w:rPr>
                <w:i/>
              </w:rPr>
              <w:t>ABS Estimated Resident Population June 2012</w:t>
            </w:r>
            <w:r w:rsidR="00DF1129" w:rsidRPr="00DF1129">
              <w:t xml:space="preserve">, </w:t>
            </w:r>
            <w:r w:rsidR="00DF1129" w:rsidRPr="00DF1129">
              <w:rPr>
                <w:i/>
              </w:rPr>
              <w:t>ABS Census of Population and Housing 2011</w:t>
            </w:r>
            <w:r w:rsidR="00DF1129" w:rsidRPr="00DF1129">
              <w:t xml:space="preserve"> and the </w:t>
            </w:r>
            <w:r w:rsidR="00DF1129" w:rsidRPr="00DF1129">
              <w:rPr>
                <w:i/>
              </w:rPr>
              <w:t>ABS</w:t>
            </w:r>
            <w:r w:rsidR="00DF1129" w:rsidRPr="00DF1129">
              <w:t xml:space="preserve"> </w:t>
            </w:r>
            <w:r w:rsidR="00DF1129" w:rsidRPr="00DF1129">
              <w:rPr>
                <w:i/>
              </w:rPr>
              <w:t>Survey of Disability, Ageing and Carers 2012</w:t>
            </w:r>
            <w:r w:rsidR="00DF1129" w:rsidRPr="00DF1129">
              <w:t>;</w:t>
            </w:r>
            <w:r w:rsidRPr="00DF1129">
              <w:t xml:space="preserve"> table 14A.</w:t>
            </w:r>
            <w:r w:rsidR="00402536" w:rsidRPr="00DF1129">
              <w:t>5</w:t>
            </w:r>
            <w:r w:rsidR="00402536">
              <w:t>5</w:t>
            </w:r>
            <w:r w:rsidRPr="00DF1129">
              <w:t>.</w:t>
            </w:r>
            <w:r w:rsidRPr="00DE0ECB">
              <w:t xml:space="preserve"> </w:t>
            </w:r>
          </w:p>
        </w:tc>
      </w:tr>
      <w:tr w:rsidR="00706F92" w:rsidRPr="00DE0ECB" w:rsidTr="00DD33DF">
        <w:tc>
          <w:tcPr>
            <w:tcW w:w="8771" w:type="dxa"/>
            <w:tcBorders>
              <w:top w:val="nil"/>
              <w:left w:val="nil"/>
              <w:bottom w:val="single" w:sz="6" w:space="0" w:color="78A22F"/>
              <w:right w:val="nil"/>
            </w:tcBorders>
            <w:shd w:val="clear" w:color="auto" w:fill="auto"/>
          </w:tcPr>
          <w:p w:rsidR="00706F92" w:rsidRPr="00DE0ECB" w:rsidRDefault="00706F92" w:rsidP="00DD33DF">
            <w:pPr>
              <w:pStyle w:val="Figurespace"/>
            </w:pPr>
          </w:p>
        </w:tc>
      </w:tr>
      <w:tr w:rsidR="00706F92" w:rsidRPr="000863A5" w:rsidTr="00DD33DF">
        <w:tc>
          <w:tcPr>
            <w:tcW w:w="8771" w:type="dxa"/>
            <w:tcBorders>
              <w:top w:val="single" w:sz="6" w:space="0" w:color="78A22F"/>
              <w:left w:val="nil"/>
              <w:bottom w:val="nil"/>
              <w:right w:val="nil"/>
            </w:tcBorders>
          </w:tcPr>
          <w:p w:rsidR="00706F92" w:rsidRPr="00626D32" w:rsidRDefault="00706F92" w:rsidP="00DD33DF">
            <w:pPr>
              <w:pStyle w:val="BoxSpaceBelow"/>
            </w:pPr>
          </w:p>
        </w:tc>
      </w:tr>
    </w:tbl>
    <w:p w:rsidR="001F39F2" w:rsidRPr="00025A38" w:rsidRDefault="001F39F2" w:rsidP="00585E2C">
      <w:pPr>
        <w:pStyle w:val="Heading5"/>
      </w:pPr>
      <w:r w:rsidRPr="00025A38">
        <w:t>Access to community accommodation and care services</w:t>
      </w:r>
    </w:p>
    <w:p w:rsidR="001F39F2" w:rsidRPr="00025A38" w:rsidRDefault="001F39F2" w:rsidP="00585E2C">
      <w:pPr>
        <w:pStyle w:val="BodyText"/>
      </w:pPr>
      <w:r w:rsidRPr="00025A38">
        <w:t>‘Access to community accommodation and care services’ is an indicator of governments’ objective to assist people with disability to live as valued and participating members of the community (box</w:t>
      </w:r>
      <w:r w:rsidR="00AE3578">
        <w:t> </w:t>
      </w:r>
      <w:r w:rsidRPr="00025A38">
        <w:t>14.</w:t>
      </w:r>
      <w:r w:rsidR="00927930" w:rsidRPr="00025A38">
        <w:t>1</w:t>
      </w:r>
      <w:r w:rsidR="00121636">
        <w:t>0</w:t>
      </w:r>
      <w:r w:rsidRPr="00025A38">
        <w:t>). Governments provide or fund accommodation support services to people with disability in institutional/residential settings and through community accommodation and care services. Institutional or residential accommodation support services are provided in both institutions and hostels. Community accommodation and care services are provided in group homes and other community settings. The services provided in other community settings are attendant care/personal care, in home accommodation support, alternative family placement and other accommodation support.</w:t>
      </w:r>
    </w:p>
    <w:p w:rsidR="001F39F2" w:rsidRPr="00025A38" w:rsidRDefault="001F39F2" w:rsidP="00585E2C">
      <w:pPr>
        <w:pStyle w:val="BodyText"/>
      </w:pPr>
      <w:r w:rsidRPr="00025A38">
        <w:lastRenderedPageBreak/>
        <w:t>State and Territory governments generally seek</w:t>
      </w:r>
      <w:r w:rsidR="00EB5B8F" w:rsidRPr="00025A38">
        <w:t xml:space="preserve"> </w:t>
      </w:r>
      <w:r w:rsidRPr="00025A38">
        <w:t xml:space="preserve">to provide accommodation support services to people with disability to </w:t>
      </w:r>
      <w:r w:rsidR="00715317" w:rsidRPr="00025A38">
        <w:t>enhance</w:t>
      </w:r>
      <w:r w:rsidRPr="00025A38">
        <w:t xml:space="preserve"> opportunities for people with disability to be involved in their community.</w:t>
      </w:r>
    </w:p>
    <w:p w:rsidR="00F4787F" w:rsidRDefault="00F478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787F" w:rsidRPr="00F4787F" w:rsidTr="00C827D5">
        <w:tc>
          <w:tcPr>
            <w:tcW w:w="8771" w:type="dxa"/>
            <w:tcBorders>
              <w:top w:val="single" w:sz="6" w:space="0" w:color="78A22F"/>
              <w:left w:val="nil"/>
              <w:bottom w:val="nil"/>
              <w:right w:val="nil"/>
            </w:tcBorders>
            <w:shd w:val="clear" w:color="auto" w:fill="F2F2F2"/>
          </w:tcPr>
          <w:p w:rsidR="00F4787F" w:rsidRPr="00F4787F" w:rsidRDefault="00F4787F" w:rsidP="00F4787F">
            <w:pPr>
              <w:pStyle w:val="BoxTitle"/>
            </w:pPr>
            <w:r w:rsidRPr="00F4787F">
              <w:rPr>
                <w:b w:val="0"/>
              </w:rPr>
              <w:t xml:space="preserve">Box </w:t>
            </w:r>
            <w:r w:rsidR="00321568">
              <w:rPr>
                <w:b w:val="0"/>
              </w:rPr>
              <w:t>14.</w:t>
            </w:r>
            <w:r w:rsidR="0085284B">
              <w:rPr>
                <w:b w:val="0"/>
                <w:noProof/>
              </w:rPr>
              <w:t>10</w:t>
            </w:r>
            <w:r w:rsidRPr="00F4787F">
              <w:tab/>
              <w:t>Access to community accommodation and care services</w:t>
            </w:r>
          </w:p>
        </w:tc>
      </w:tr>
      <w:tr w:rsidR="00F4787F" w:rsidTr="00C827D5">
        <w:trPr>
          <w:cantSplit/>
        </w:trPr>
        <w:tc>
          <w:tcPr>
            <w:tcW w:w="8771" w:type="dxa"/>
            <w:tcBorders>
              <w:top w:val="nil"/>
              <w:left w:val="nil"/>
              <w:bottom w:val="nil"/>
              <w:right w:val="nil"/>
            </w:tcBorders>
            <w:shd w:val="clear" w:color="auto" w:fill="F2F2F2"/>
          </w:tcPr>
          <w:p w:rsidR="00F4787F" w:rsidRPr="00025A38" w:rsidRDefault="00F4787F" w:rsidP="00F4787F">
            <w:pPr>
              <w:pStyle w:val="Box"/>
            </w:pPr>
            <w:r w:rsidRPr="00025A38">
              <w:t xml:space="preserve">‘Access to community accommodation and care services’ is defined as the number of people using a NDA community accommodation and care service divided by the total number of people using NDA accommodation support services (excluding people who use specialist psychiatric disability services only). </w:t>
            </w:r>
          </w:p>
          <w:p w:rsidR="00F4787F" w:rsidRPr="00025A38" w:rsidRDefault="00F4787F" w:rsidP="00F4787F">
            <w:pPr>
              <w:pStyle w:val="Box"/>
            </w:pPr>
            <w:r w:rsidRPr="00025A38">
              <w:t xml:space="preserve">A higher or increasing proportion of people accessing NDA community accommodation and care services might provide better opportunities for people with disability (who need accommodation support) to be involved in their community. </w:t>
            </w:r>
          </w:p>
          <w:p w:rsidR="00F4787F" w:rsidRPr="00025A38" w:rsidRDefault="00F4787F" w:rsidP="00F4787F">
            <w:pPr>
              <w:pStyle w:val="Box"/>
            </w:pPr>
            <w:r w:rsidRPr="00025A38">
              <w:t xml:space="preserve">NDA specialist disability services are provided on the basis of need and available resources. This indicator does not provide information on whether the services are appropriate for the needs of the people receiving them or correctly targeted </w:t>
            </w:r>
            <w:r w:rsidRPr="00025A38">
              <w:rPr>
                <w:rFonts w:cs="Arial"/>
                <w:szCs w:val="22"/>
              </w:rPr>
              <w:t>on the basis of relative need</w:t>
            </w:r>
            <w:r w:rsidRPr="00025A38">
              <w:t>.</w:t>
            </w:r>
          </w:p>
          <w:p w:rsidR="00F4787F" w:rsidRPr="00025A38" w:rsidRDefault="00F4787F" w:rsidP="00F4787F">
            <w:pPr>
              <w:pStyle w:val="Box"/>
            </w:pPr>
            <w:r w:rsidRPr="00025A38">
              <w:t>Data reported for this measure are:</w:t>
            </w:r>
          </w:p>
          <w:p w:rsidR="00F4787F" w:rsidRPr="00025A38" w:rsidRDefault="00F4787F" w:rsidP="00F4787F">
            <w:pPr>
              <w:pStyle w:val="BoxListBullet"/>
              <w:keepLines/>
            </w:pPr>
            <w:r w:rsidRPr="00025A38">
              <w:t xml:space="preserve">comparable (subject to caveats) across jurisdictions and over time </w:t>
            </w:r>
          </w:p>
          <w:p w:rsidR="00F4787F" w:rsidRPr="002D5288" w:rsidRDefault="00F4787F" w:rsidP="00F4787F">
            <w:pPr>
              <w:pStyle w:val="BoxListBullet"/>
              <w:keepLines/>
            </w:pPr>
            <w:proofErr w:type="gramStart"/>
            <w:r w:rsidRPr="002D5288">
              <w:t>complete</w:t>
            </w:r>
            <w:proofErr w:type="gramEnd"/>
            <w:r w:rsidRPr="002D5288">
              <w:t xml:space="preserve"> (subject to caveats) for the current reporting period. All required </w:t>
            </w:r>
            <w:r w:rsidR="00025A38" w:rsidRPr="002D5288">
              <w:t>2012</w:t>
            </w:r>
            <w:r w:rsidR="00B84AF2">
              <w:noBreakHyphen/>
            </w:r>
            <w:r w:rsidR="00025A38" w:rsidRPr="002D5288">
              <w:t>13</w:t>
            </w:r>
            <w:r w:rsidRPr="002D5288">
              <w:t xml:space="preserve"> data are available for all jurisdictions.</w:t>
            </w:r>
          </w:p>
          <w:p w:rsidR="00F4787F" w:rsidRDefault="00802A7D" w:rsidP="00025A38">
            <w:pPr>
              <w:pStyle w:val="Box"/>
            </w:pPr>
            <w:r w:rsidRPr="00802A7D">
              <w:t>Data quality information for this indicator</w:t>
            </w:r>
            <w:r w:rsidR="0028432F">
              <w:t xml:space="preserve"> is at www.pc.gov.au</w:t>
            </w:r>
            <w:r w:rsidRPr="00802A7D">
              <w:t>/rogs/2015.</w:t>
            </w:r>
          </w:p>
        </w:tc>
      </w:tr>
      <w:tr w:rsidR="00F4787F" w:rsidTr="00C827D5">
        <w:trPr>
          <w:cantSplit/>
        </w:trPr>
        <w:tc>
          <w:tcPr>
            <w:tcW w:w="8771" w:type="dxa"/>
            <w:tcBorders>
              <w:top w:val="nil"/>
              <w:left w:val="nil"/>
              <w:bottom w:val="single" w:sz="6" w:space="0" w:color="78A22F"/>
              <w:right w:val="nil"/>
            </w:tcBorders>
            <w:shd w:val="clear" w:color="auto" w:fill="F2F2F2"/>
          </w:tcPr>
          <w:p w:rsidR="00F4787F" w:rsidRDefault="00F4787F">
            <w:pPr>
              <w:pStyle w:val="Box"/>
              <w:spacing w:before="0" w:line="120" w:lineRule="exact"/>
            </w:pPr>
          </w:p>
        </w:tc>
      </w:tr>
      <w:tr w:rsidR="00F4787F" w:rsidRPr="000863A5" w:rsidTr="00C827D5">
        <w:tc>
          <w:tcPr>
            <w:tcW w:w="8771" w:type="dxa"/>
            <w:tcBorders>
              <w:top w:val="single" w:sz="6" w:space="0" w:color="78A22F"/>
              <w:left w:val="nil"/>
              <w:bottom w:val="nil"/>
              <w:right w:val="nil"/>
            </w:tcBorders>
          </w:tcPr>
          <w:p w:rsidR="00F4787F" w:rsidRPr="00626D32" w:rsidRDefault="00F4787F" w:rsidP="00C827D5">
            <w:pPr>
              <w:pStyle w:val="BoxSpaceBelow"/>
            </w:pPr>
          </w:p>
        </w:tc>
      </w:tr>
    </w:tbl>
    <w:p w:rsidR="001F39F2" w:rsidRPr="00025A38" w:rsidRDefault="001F39F2" w:rsidP="00585E2C">
      <w:pPr>
        <w:pStyle w:val="BodyText"/>
        <w:rPr>
          <w:szCs w:val="26"/>
        </w:rPr>
      </w:pPr>
      <w:r w:rsidRPr="00025A38">
        <w:rPr>
          <w:szCs w:val="26"/>
        </w:rPr>
        <w:t xml:space="preserve">Nationally, </w:t>
      </w:r>
      <w:r w:rsidR="002D5288">
        <w:rPr>
          <w:szCs w:val="26"/>
        </w:rPr>
        <w:t>91.0</w:t>
      </w:r>
      <w:r w:rsidR="0019455A">
        <w:rPr>
          <w:szCs w:val="26"/>
        </w:rPr>
        <w:t xml:space="preserve"> </w:t>
      </w:r>
      <w:r w:rsidRPr="00025A38">
        <w:rPr>
          <w:szCs w:val="26"/>
        </w:rPr>
        <w:t xml:space="preserve">per cent of users of NDA accommodation support services received community accommodation and care services in </w:t>
      </w:r>
      <w:r w:rsidR="00025A38" w:rsidRPr="00025A38">
        <w:rPr>
          <w:szCs w:val="26"/>
        </w:rPr>
        <w:t>2012</w:t>
      </w:r>
      <w:r w:rsidR="00B84AF2">
        <w:rPr>
          <w:szCs w:val="26"/>
        </w:rPr>
        <w:noBreakHyphen/>
      </w:r>
      <w:r w:rsidR="00025A38" w:rsidRPr="00025A38">
        <w:rPr>
          <w:szCs w:val="26"/>
        </w:rPr>
        <w:t>13</w:t>
      </w:r>
      <w:r w:rsidR="00911A66" w:rsidRPr="00025A38">
        <w:rPr>
          <w:szCs w:val="26"/>
        </w:rPr>
        <w:t xml:space="preserve"> </w:t>
      </w:r>
      <w:r w:rsidRPr="00025A38">
        <w:rPr>
          <w:szCs w:val="26"/>
        </w:rPr>
        <w:t>(figure</w:t>
      </w:r>
      <w:r w:rsidR="00AE3578">
        <w:rPr>
          <w:szCs w:val="26"/>
        </w:rPr>
        <w:t> </w:t>
      </w:r>
      <w:r w:rsidRPr="00025A38">
        <w:rPr>
          <w:szCs w:val="26"/>
        </w:rPr>
        <w:t>14.2</w:t>
      </w:r>
      <w:r w:rsidR="00025A38" w:rsidRPr="00025A38">
        <w:rPr>
          <w:szCs w:val="26"/>
        </w:rPr>
        <w:t>6</w:t>
      </w:r>
      <w:r w:rsidRPr="00025A38">
        <w:rPr>
          <w:szCs w:val="26"/>
        </w:rPr>
        <w:t>).</w:t>
      </w:r>
    </w:p>
    <w:p w:rsidR="005538E6" w:rsidRDefault="005538E6"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38E6" w:rsidTr="00DD33DF">
        <w:tc>
          <w:tcPr>
            <w:tcW w:w="8771" w:type="dxa"/>
            <w:tcBorders>
              <w:top w:val="single" w:sz="6" w:space="0" w:color="78A22F"/>
              <w:left w:val="nil"/>
              <w:bottom w:val="nil"/>
              <w:right w:val="nil"/>
            </w:tcBorders>
            <w:shd w:val="clear" w:color="auto" w:fill="auto"/>
          </w:tcPr>
          <w:p w:rsidR="005538E6" w:rsidRPr="00176D3F" w:rsidRDefault="005538E6" w:rsidP="005538E6">
            <w:pPr>
              <w:pStyle w:val="FigureTitle"/>
            </w:pPr>
            <w:r w:rsidRPr="00784A05">
              <w:rPr>
                <w:b w:val="0"/>
              </w:rPr>
              <w:t xml:space="preserve">Figure </w:t>
            </w:r>
            <w:r w:rsidR="00321568">
              <w:rPr>
                <w:b w:val="0"/>
              </w:rPr>
              <w:t>14.</w:t>
            </w:r>
            <w:r w:rsidR="0085284B">
              <w:rPr>
                <w:b w:val="0"/>
                <w:noProof/>
              </w:rPr>
              <w:t>26</w:t>
            </w:r>
            <w:r>
              <w:tab/>
            </w:r>
            <w:r w:rsidRPr="00025A38">
              <w:t>Users of community accommodation and care services as a proportion of all NDA accommodation support service users</w:t>
            </w:r>
            <w:r w:rsidRPr="00025A38">
              <w:rPr>
                <w:rStyle w:val="NoteLabel"/>
                <w:b/>
              </w:rPr>
              <w:t>a, b</w:t>
            </w:r>
          </w:p>
        </w:tc>
      </w:tr>
      <w:tr w:rsidR="005538E6"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5538E6" w:rsidTr="00DD33DF">
              <w:trPr>
                <w:jc w:val="center"/>
              </w:trPr>
              <w:tc>
                <w:tcPr>
                  <w:tcW w:w="5000" w:type="pct"/>
                  <w:tcBorders>
                    <w:top w:val="nil"/>
                    <w:bottom w:val="nil"/>
                  </w:tcBorders>
                </w:tcPr>
                <w:p w:rsidR="005538E6" w:rsidRDefault="00986756" w:rsidP="00DD33DF">
                  <w:pPr>
                    <w:pStyle w:val="Figure"/>
                    <w:spacing w:before="60" w:after="60"/>
                  </w:pPr>
                  <w:r>
                    <w:rPr>
                      <w:noProof/>
                    </w:rPr>
                    <w:drawing>
                      <wp:inline distT="0" distB="0" distL="0" distR="0">
                        <wp:extent cx="5238750" cy="2705100"/>
                        <wp:effectExtent l="0" t="0" r="0" b="0"/>
                        <wp:docPr id="60" name="Picture 60" descr="Figure 14.26 Users of community accommodation and care services as a proportion of all NDA accommodation support service use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238750" cy="2705100"/>
                                </a:xfrm>
                                <a:prstGeom prst="rect">
                                  <a:avLst/>
                                </a:prstGeom>
                                <a:noFill/>
                                <a:ln>
                                  <a:noFill/>
                                </a:ln>
                              </pic:spPr>
                            </pic:pic>
                          </a:graphicData>
                        </a:graphic>
                      </wp:inline>
                    </w:drawing>
                  </w:r>
                </w:p>
              </w:tc>
            </w:tr>
          </w:tbl>
          <w:p w:rsidR="005538E6" w:rsidRDefault="005538E6" w:rsidP="00DD33DF">
            <w:pPr>
              <w:pStyle w:val="Figure"/>
            </w:pPr>
          </w:p>
        </w:tc>
      </w:tr>
      <w:tr w:rsidR="005538E6" w:rsidRPr="0045593D" w:rsidTr="00DD33DF">
        <w:tc>
          <w:tcPr>
            <w:tcW w:w="8771" w:type="dxa"/>
            <w:tcBorders>
              <w:top w:val="nil"/>
              <w:left w:val="nil"/>
              <w:bottom w:val="nil"/>
              <w:right w:val="nil"/>
            </w:tcBorders>
            <w:shd w:val="clear" w:color="auto" w:fill="auto"/>
          </w:tcPr>
          <w:p w:rsidR="005538E6" w:rsidRPr="0045593D" w:rsidRDefault="005538E6" w:rsidP="00402536">
            <w:pPr>
              <w:pStyle w:val="Note"/>
            </w:pPr>
            <w:proofErr w:type="gramStart"/>
            <w:r w:rsidRPr="0045593D">
              <w:rPr>
                <w:rStyle w:val="NoteLabel"/>
              </w:rPr>
              <w:t>a</w:t>
            </w:r>
            <w:proofErr w:type="gramEnd"/>
            <w:r w:rsidRPr="0045593D">
              <w:t xml:space="preserve"> See table</w:t>
            </w:r>
            <w:r w:rsidR="00AE3578">
              <w:t> </w:t>
            </w:r>
            <w:r w:rsidRPr="0045593D">
              <w:t>14A.</w:t>
            </w:r>
            <w:r w:rsidR="00402536" w:rsidRPr="0045593D">
              <w:t>5</w:t>
            </w:r>
            <w:r w:rsidR="00402536">
              <w:t>9</w:t>
            </w:r>
            <w:r w:rsidR="00402536" w:rsidRPr="0045593D">
              <w:t xml:space="preserve"> </w:t>
            </w:r>
            <w:r w:rsidRPr="0045593D">
              <w:t xml:space="preserve">for detailed notes relating to these data. </w:t>
            </w:r>
            <w:proofErr w:type="gramStart"/>
            <w:r w:rsidRPr="0045593D">
              <w:rPr>
                <w:rStyle w:val="NoteLabel"/>
              </w:rPr>
              <w:t>b</w:t>
            </w:r>
            <w:proofErr w:type="gramEnd"/>
            <w:r w:rsidRPr="0045593D">
              <w:t xml:space="preserve"> Data need to be interpreted with care due to factors affecting data quality. Section 14.6 contains further information on data quality issues. </w:t>
            </w:r>
          </w:p>
        </w:tc>
      </w:tr>
      <w:tr w:rsidR="005538E6" w:rsidRPr="002D5288" w:rsidTr="00DD33DF">
        <w:tc>
          <w:tcPr>
            <w:tcW w:w="8771" w:type="dxa"/>
            <w:tcBorders>
              <w:top w:val="nil"/>
              <w:left w:val="nil"/>
              <w:bottom w:val="nil"/>
              <w:right w:val="nil"/>
            </w:tcBorders>
            <w:shd w:val="clear" w:color="auto" w:fill="auto"/>
          </w:tcPr>
          <w:p w:rsidR="005538E6" w:rsidRPr="002D5288" w:rsidRDefault="005538E6" w:rsidP="00402536">
            <w:pPr>
              <w:pStyle w:val="Source"/>
            </w:pPr>
            <w:r w:rsidRPr="00DF1129">
              <w:rPr>
                <w:i/>
              </w:rPr>
              <w:t>Source</w:t>
            </w:r>
            <w:r w:rsidRPr="00DF1129">
              <w:t xml:space="preserve">: AIHW (unpublished) </w:t>
            </w:r>
            <w:r w:rsidRPr="00DF1129">
              <w:rPr>
                <w:i/>
              </w:rPr>
              <w:t>DS NMDS</w:t>
            </w:r>
            <w:r w:rsidR="00DF1129" w:rsidRPr="00DF1129">
              <w:rPr>
                <w:i/>
              </w:rPr>
              <w:t xml:space="preserve"> 2012</w:t>
            </w:r>
            <w:r w:rsidR="00B84AF2">
              <w:rPr>
                <w:i/>
              </w:rPr>
              <w:noBreakHyphen/>
            </w:r>
            <w:r w:rsidR="00DF1129" w:rsidRPr="00DF1129">
              <w:rPr>
                <w:i/>
              </w:rPr>
              <w:t>13</w:t>
            </w:r>
            <w:r w:rsidRPr="00DF1129">
              <w:t>; table</w:t>
            </w:r>
            <w:r w:rsidR="00AE3578">
              <w:t> </w:t>
            </w:r>
            <w:r w:rsidRPr="00DF1129">
              <w:t>14A.</w:t>
            </w:r>
            <w:r w:rsidR="00402536" w:rsidRPr="00DF1129">
              <w:t>5</w:t>
            </w:r>
            <w:r w:rsidR="00402536">
              <w:t>9</w:t>
            </w:r>
            <w:r w:rsidRPr="00DF1129">
              <w:t>.</w:t>
            </w:r>
          </w:p>
        </w:tc>
      </w:tr>
      <w:tr w:rsidR="005538E6" w:rsidTr="00DD33DF">
        <w:tc>
          <w:tcPr>
            <w:tcW w:w="8771" w:type="dxa"/>
            <w:tcBorders>
              <w:top w:val="nil"/>
              <w:left w:val="nil"/>
              <w:bottom w:val="single" w:sz="6" w:space="0" w:color="78A22F"/>
              <w:right w:val="nil"/>
            </w:tcBorders>
            <w:shd w:val="clear" w:color="auto" w:fill="auto"/>
          </w:tcPr>
          <w:p w:rsidR="005538E6" w:rsidRDefault="005538E6" w:rsidP="00DD33DF">
            <w:pPr>
              <w:pStyle w:val="Figurespace"/>
            </w:pPr>
          </w:p>
        </w:tc>
      </w:tr>
      <w:tr w:rsidR="005538E6" w:rsidRPr="000863A5" w:rsidTr="00DD33DF">
        <w:tc>
          <w:tcPr>
            <w:tcW w:w="8771" w:type="dxa"/>
            <w:tcBorders>
              <w:top w:val="single" w:sz="6" w:space="0" w:color="78A22F"/>
              <w:left w:val="nil"/>
              <w:bottom w:val="nil"/>
              <w:right w:val="nil"/>
            </w:tcBorders>
          </w:tcPr>
          <w:p w:rsidR="005538E6" w:rsidRPr="00626D32" w:rsidRDefault="005538E6" w:rsidP="00DD33DF">
            <w:pPr>
              <w:pStyle w:val="BoxSpaceBelow"/>
            </w:pPr>
          </w:p>
        </w:tc>
      </w:tr>
    </w:tbl>
    <w:p w:rsidR="001F39F2" w:rsidRPr="00A84DD1" w:rsidRDefault="001F39F2" w:rsidP="00585E2C">
      <w:pPr>
        <w:pStyle w:val="Heading5"/>
      </w:pPr>
      <w:r w:rsidRPr="00A84DD1">
        <w:t>Assistance for younger people with disability in</w:t>
      </w:r>
      <w:r w:rsidR="00A3361B" w:rsidRPr="00A84DD1">
        <w:t>, or at risk of entering</w:t>
      </w:r>
      <w:r w:rsidR="00483F99" w:rsidRPr="00A84DD1">
        <w:t>,</w:t>
      </w:r>
      <w:r w:rsidRPr="00A84DD1">
        <w:t xml:space="preserve"> residential aged care</w:t>
      </w:r>
    </w:p>
    <w:p w:rsidR="001F39F2" w:rsidRPr="009741F5" w:rsidRDefault="001F39F2" w:rsidP="00585E2C">
      <w:pPr>
        <w:pStyle w:val="BodyText"/>
      </w:pPr>
      <w:r w:rsidRPr="009741F5">
        <w:t>‘Assistance for younger people with disability in</w:t>
      </w:r>
      <w:r w:rsidR="00A3361B" w:rsidRPr="009741F5">
        <w:t>, or at risk of entering</w:t>
      </w:r>
      <w:r w:rsidR="00483F99" w:rsidRPr="009741F5">
        <w:t>,</w:t>
      </w:r>
      <w:r w:rsidRPr="009741F5">
        <w:t xml:space="preserve"> residential aged care’ is an indicator of governments’ objective to provide access to services to people with disability that are appropriate to their needs (box 14.</w:t>
      </w:r>
      <w:r w:rsidR="00525A0A" w:rsidRPr="009741F5">
        <w:t>11</w:t>
      </w:r>
      <w:r w:rsidR="00F4787F" w:rsidRPr="009741F5">
        <w:t>).</w:t>
      </w:r>
    </w:p>
    <w:p w:rsidR="00F4787F" w:rsidRDefault="00F478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787F" w:rsidTr="00C827D5">
        <w:tc>
          <w:tcPr>
            <w:tcW w:w="8771" w:type="dxa"/>
            <w:tcBorders>
              <w:top w:val="single" w:sz="6" w:space="0" w:color="78A22F"/>
              <w:left w:val="nil"/>
              <w:bottom w:val="nil"/>
              <w:right w:val="nil"/>
            </w:tcBorders>
            <w:shd w:val="clear" w:color="auto" w:fill="F2F2F2"/>
          </w:tcPr>
          <w:p w:rsidR="00F4787F" w:rsidRDefault="00F4787F" w:rsidP="00F4787F">
            <w:pPr>
              <w:pStyle w:val="BoxTitle"/>
            </w:pPr>
            <w:r>
              <w:rPr>
                <w:b w:val="0"/>
              </w:rPr>
              <w:t xml:space="preserve">Box </w:t>
            </w:r>
            <w:r w:rsidR="00321568">
              <w:rPr>
                <w:b w:val="0"/>
              </w:rPr>
              <w:t>14.</w:t>
            </w:r>
            <w:r w:rsidR="0085284B">
              <w:rPr>
                <w:b w:val="0"/>
                <w:noProof/>
              </w:rPr>
              <w:t>11</w:t>
            </w:r>
            <w:r>
              <w:tab/>
            </w:r>
            <w:r w:rsidRPr="009741F5">
              <w:t>Assistance for younger people with disability in, or at risk of entering, residential aged care</w:t>
            </w:r>
          </w:p>
        </w:tc>
      </w:tr>
      <w:tr w:rsidR="00F4787F" w:rsidTr="00C827D5">
        <w:trPr>
          <w:cantSplit/>
        </w:trPr>
        <w:tc>
          <w:tcPr>
            <w:tcW w:w="8771" w:type="dxa"/>
            <w:tcBorders>
              <w:top w:val="nil"/>
              <w:left w:val="nil"/>
              <w:bottom w:val="nil"/>
              <w:right w:val="nil"/>
            </w:tcBorders>
            <w:shd w:val="clear" w:color="auto" w:fill="F2F2F2"/>
          </w:tcPr>
          <w:p w:rsidR="00F4787F" w:rsidRPr="009741F5" w:rsidRDefault="00F4787F" w:rsidP="00F4787F">
            <w:pPr>
              <w:pStyle w:val="Box"/>
            </w:pPr>
            <w:r w:rsidRPr="009741F5">
              <w:t>‘Assistance for younger people in, or at risk of entering, residential aged care’ is defined by two measures:</w:t>
            </w:r>
          </w:p>
          <w:p w:rsidR="00F4787F" w:rsidRPr="009741F5" w:rsidRDefault="00F4787F" w:rsidP="00F4787F">
            <w:pPr>
              <w:pStyle w:val="BoxListBullet"/>
            </w:pPr>
            <w:r w:rsidRPr="009741F5">
              <w:t>the percentage change in numbers of younger people in residential aged care</w:t>
            </w:r>
          </w:p>
          <w:p w:rsidR="00F4787F" w:rsidRPr="009741F5" w:rsidRDefault="00F4787F" w:rsidP="00F4787F">
            <w:pPr>
              <w:pStyle w:val="BoxListBullet"/>
            </w:pPr>
            <w:proofErr w:type="gramStart"/>
            <w:r w:rsidRPr="009741F5">
              <w:t>the</w:t>
            </w:r>
            <w:proofErr w:type="gramEnd"/>
            <w:r w:rsidRPr="009741F5">
              <w:t xml:space="preserve"> percentage change in numbers of younger people admitted to residential aged care.</w:t>
            </w:r>
          </w:p>
          <w:p w:rsidR="00F4787F" w:rsidRPr="009741F5" w:rsidRDefault="00F4787F" w:rsidP="00F4787F">
            <w:pPr>
              <w:pStyle w:val="Box"/>
            </w:pPr>
            <w:r w:rsidRPr="009741F5">
              <w:t>This indicator is considered relevant to disability service provision because, under the National Disability Agreement (NDA), all governments have agreed to maintain innovative and flexible support models for people with high and complex needs</w:t>
            </w:r>
            <w:r w:rsidR="000761F8">
              <w:t>,</w:t>
            </w:r>
            <w:r w:rsidRPr="009741F5">
              <w:t xml:space="preserve"> including options for younger people in, or at risk of entry to, residential aged care. </w:t>
            </w:r>
          </w:p>
          <w:p w:rsidR="009020DB" w:rsidRDefault="00F4787F" w:rsidP="00F4787F">
            <w:pPr>
              <w:pStyle w:val="Box"/>
            </w:pPr>
            <w:r w:rsidRPr="00B12613">
              <w:t>In 2006, all governments jointly funded a five</w:t>
            </w:r>
            <w:r w:rsidR="00B84AF2">
              <w:noBreakHyphen/>
            </w:r>
            <w:r w:rsidRPr="00B12613">
              <w:t xml:space="preserve">year Younger People in Residential Aged Care (YPIRAC) initiative to reduce the number of younger people with disability living in or at risk of entering residential aged care. The proportion of service users in the YPIRAC </w:t>
            </w:r>
            <w:r w:rsidR="009020DB" w:rsidRPr="00B12613">
              <w:t>initiative,</w:t>
            </w:r>
            <w:r w:rsidRPr="00B12613">
              <w:t xml:space="preserve"> who achieved program objective, was included in the 2013 Report and earlier editions. </w:t>
            </w:r>
          </w:p>
          <w:p w:rsidR="00E20851" w:rsidRPr="00677973" w:rsidRDefault="009020DB" w:rsidP="008C3F77">
            <w:pPr>
              <w:pStyle w:val="Box"/>
            </w:pPr>
            <w:r w:rsidRPr="00677973">
              <w:t xml:space="preserve">In 2011, the Australian Government funding for </w:t>
            </w:r>
            <w:r w:rsidR="000761F8" w:rsidRPr="00677973">
              <w:t>the YPIRAC</w:t>
            </w:r>
            <w:r w:rsidRPr="00677973">
              <w:t xml:space="preserve"> program was rolled into the base National Disability Specific Purpose Payment funding provided to the State and Territory governments for specialist disability services for the NDA. </w:t>
            </w:r>
            <w:r w:rsidR="008C3F77" w:rsidRPr="00677973">
              <w:t>The</w:t>
            </w:r>
            <w:r w:rsidR="000761F8" w:rsidRPr="00677973">
              <w:t xml:space="preserve"> YPIRAC initiative ended</w:t>
            </w:r>
            <w:r w:rsidR="008C3F77" w:rsidRPr="00677973">
              <w:t xml:space="preserve"> on 30</w:t>
            </w:r>
            <w:r w:rsidR="00B84AF2">
              <w:t> </w:t>
            </w:r>
            <w:r w:rsidR="008C3F77" w:rsidRPr="00677973">
              <w:t xml:space="preserve">June 2011 and </w:t>
            </w:r>
            <w:r w:rsidR="000761F8" w:rsidRPr="00677973">
              <w:t xml:space="preserve">data for the program are no longer collected. </w:t>
            </w:r>
            <w:r w:rsidRPr="00677973">
              <w:t>However, the</w:t>
            </w:r>
            <w:r w:rsidR="008C3F77" w:rsidRPr="00677973">
              <w:t>re are still</w:t>
            </w:r>
            <w:r w:rsidRPr="00677973">
              <w:t xml:space="preserve"> </w:t>
            </w:r>
            <w:r w:rsidR="008C3F77" w:rsidRPr="00677973">
              <w:t xml:space="preserve">younger people living in residential aged care and the </w:t>
            </w:r>
            <w:r w:rsidRPr="00677973">
              <w:t>YPIRAC initiative objectives remain as agreed in the previous bilateral agreements.</w:t>
            </w:r>
            <w:r w:rsidR="008C3F77" w:rsidRPr="00677973">
              <w:t xml:space="preserve"> D</w:t>
            </w:r>
            <w:r w:rsidR="00E532D6" w:rsidRPr="00677973">
              <w:t xml:space="preserve">ata on these </w:t>
            </w:r>
            <w:r w:rsidR="008C3F77" w:rsidRPr="00677973">
              <w:t>younger people</w:t>
            </w:r>
            <w:r w:rsidR="00E532D6" w:rsidRPr="00677973">
              <w:t xml:space="preserve"> are reported against this indicator. </w:t>
            </w:r>
          </w:p>
          <w:p w:rsidR="00F4787F" w:rsidRPr="00B12613" w:rsidRDefault="00F4787F" w:rsidP="00F4787F">
            <w:pPr>
              <w:pStyle w:val="Box"/>
            </w:pPr>
            <w:r w:rsidRPr="00677973">
              <w:t>Data reported for</w:t>
            </w:r>
            <w:r w:rsidRPr="00B12613">
              <w:t xml:space="preserve"> </w:t>
            </w:r>
            <w:r w:rsidR="00E532D6">
              <w:t>these</w:t>
            </w:r>
            <w:r w:rsidRPr="00B12613">
              <w:t xml:space="preserve"> measure</w:t>
            </w:r>
            <w:r w:rsidR="00E532D6">
              <w:t>s</w:t>
            </w:r>
            <w:r w:rsidRPr="00B12613">
              <w:t xml:space="preserve"> are:</w:t>
            </w:r>
          </w:p>
          <w:p w:rsidR="00F4787F" w:rsidRPr="00B12613" w:rsidRDefault="00F4787F" w:rsidP="00B12613">
            <w:pPr>
              <w:pStyle w:val="BoxListBullet"/>
            </w:pPr>
            <w:r w:rsidRPr="00B12613">
              <w:t xml:space="preserve">comparable (subject to caveats) across jurisdictions and over time </w:t>
            </w:r>
          </w:p>
          <w:p w:rsidR="00F4787F" w:rsidRPr="00B12613" w:rsidRDefault="00F4787F" w:rsidP="00B12613">
            <w:pPr>
              <w:pStyle w:val="BoxListBullet"/>
            </w:pPr>
            <w:proofErr w:type="gramStart"/>
            <w:r w:rsidRPr="00B12613">
              <w:t>complete</w:t>
            </w:r>
            <w:proofErr w:type="gramEnd"/>
            <w:r w:rsidRPr="00B12613">
              <w:t xml:space="preserve"> (subject to caveats) for the current reporting period. All required 201</w:t>
            </w:r>
            <w:r w:rsidR="00B12613">
              <w:t>3</w:t>
            </w:r>
            <w:r w:rsidR="00B84AF2">
              <w:noBreakHyphen/>
            </w:r>
            <w:r w:rsidRPr="00B12613">
              <w:t>1</w:t>
            </w:r>
            <w:r w:rsidR="00B12613">
              <w:t>4</w:t>
            </w:r>
            <w:r w:rsidRPr="00B12613">
              <w:t xml:space="preserve"> data are available for all jurisdictions.</w:t>
            </w:r>
          </w:p>
          <w:p w:rsidR="00F4787F" w:rsidRPr="0045593D" w:rsidRDefault="00802A7D" w:rsidP="0045593D">
            <w:pPr>
              <w:pStyle w:val="Box"/>
              <w:rPr>
                <w:rStyle w:val="DraftingNote"/>
                <w:b w:val="0"/>
                <w:color w:val="auto"/>
                <w:sz w:val="20"/>
                <w:u w:val="none"/>
              </w:rPr>
            </w:pPr>
            <w:r w:rsidRPr="00802A7D">
              <w:t>Data quality information for this indicator</w:t>
            </w:r>
            <w:r w:rsidR="0028432F">
              <w:t xml:space="preserve"> is at www.pc.gov.au</w:t>
            </w:r>
            <w:r w:rsidRPr="00802A7D">
              <w:t>/rogs/2015.</w:t>
            </w:r>
          </w:p>
        </w:tc>
      </w:tr>
      <w:tr w:rsidR="00F4787F" w:rsidTr="00C827D5">
        <w:trPr>
          <w:cantSplit/>
        </w:trPr>
        <w:tc>
          <w:tcPr>
            <w:tcW w:w="8771" w:type="dxa"/>
            <w:tcBorders>
              <w:top w:val="nil"/>
              <w:left w:val="nil"/>
              <w:bottom w:val="single" w:sz="6" w:space="0" w:color="78A22F"/>
              <w:right w:val="nil"/>
            </w:tcBorders>
            <w:shd w:val="clear" w:color="auto" w:fill="F2F2F2"/>
          </w:tcPr>
          <w:p w:rsidR="00F4787F" w:rsidRDefault="00F4787F">
            <w:pPr>
              <w:pStyle w:val="Box"/>
              <w:spacing w:before="0" w:line="120" w:lineRule="exact"/>
            </w:pPr>
          </w:p>
        </w:tc>
      </w:tr>
      <w:tr w:rsidR="00F4787F" w:rsidRPr="000863A5" w:rsidTr="00C827D5">
        <w:tc>
          <w:tcPr>
            <w:tcW w:w="8771" w:type="dxa"/>
            <w:tcBorders>
              <w:top w:val="single" w:sz="6" w:space="0" w:color="78A22F"/>
              <w:left w:val="nil"/>
              <w:bottom w:val="nil"/>
              <w:right w:val="nil"/>
            </w:tcBorders>
          </w:tcPr>
          <w:p w:rsidR="00F4787F" w:rsidRPr="00626D32" w:rsidRDefault="00F4787F" w:rsidP="00C827D5">
            <w:pPr>
              <w:pStyle w:val="BoxSpaceBelow"/>
            </w:pPr>
          </w:p>
        </w:tc>
      </w:tr>
    </w:tbl>
    <w:p w:rsidR="00AC43A4" w:rsidRPr="00B12613" w:rsidRDefault="0076678A" w:rsidP="0071133E">
      <w:pPr>
        <w:pStyle w:val="BodyText"/>
      </w:pPr>
      <w:r w:rsidRPr="00B12613">
        <w:t>Nationally o</w:t>
      </w:r>
      <w:r w:rsidR="001F39F2" w:rsidRPr="00B12613">
        <w:t>n 30</w:t>
      </w:r>
      <w:r w:rsidR="00B84AF2">
        <w:t> </w:t>
      </w:r>
      <w:r w:rsidR="001F39F2" w:rsidRPr="00B12613">
        <w:t xml:space="preserve">June </w:t>
      </w:r>
      <w:r w:rsidR="00140DE7" w:rsidRPr="00B12613">
        <w:t>201</w:t>
      </w:r>
      <w:r w:rsidR="007B05C6" w:rsidRPr="00B12613">
        <w:t>4</w:t>
      </w:r>
      <w:r w:rsidR="001F39F2" w:rsidRPr="00B12613">
        <w:t xml:space="preserve">, there were </w:t>
      </w:r>
      <w:r w:rsidR="00B12613">
        <w:t>587</w:t>
      </w:r>
      <w:r w:rsidR="007B05C6" w:rsidRPr="00B12613">
        <w:t xml:space="preserve"> </w:t>
      </w:r>
      <w:r w:rsidR="001F39F2" w:rsidRPr="00B12613">
        <w:t xml:space="preserve">people </w:t>
      </w:r>
      <w:r w:rsidR="007F5716" w:rsidRPr="00B12613">
        <w:t>under the age of</w:t>
      </w:r>
      <w:r w:rsidR="001F39F2" w:rsidRPr="00B12613">
        <w:t xml:space="preserve"> 50 years living in permanent residential aged care (table</w:t>
      </w:r>
      <w:r w:rsidR="00AE3578">
        <w:t> </w:t>
      </w:r>
      <w:r w:rsidR="001F39F2" w:rsidRPr="00B12613">
        <w:t>14A.</w:t>
      </w:r>
      <w:r w:rsidR="00402536">
        <w:t>60</w:t>
      </w:r>
      <w:r w:rsidR="001F39F2" w:rsidRPr="00B12613">
        <w:t xml:space="preserve">). This is a </w:t>
      </w:r>
      <w:r w:rsidR="00B12613">
        <w:t>41.7</w:t>
      </w:r>
      <w:r w:rsidR="0094263C" w:rsidRPr="00B12613">
        <w:t> </w:t>
      </w:r>
      <w:r w:rsidR="001F39F2" w:rsidRPr="00B12613">
        <w:t>per</w:t>
      </w:r>
      <w:r w:rsidR="004234DB" w:rsidRPr="00B12613">
        <w:t> </w:t>
      </w:r>
      <w:r w:rsidR="001F39F2" w:rsidRPr="00B12613">
        <w:t xml:space="preserve">cent decrease on the number of people </w:t>
      </w:r>
      <w:r w:rsidR="007F5716" w:rsidRPr="00B12613">
        <w:t>under the age of</w:t>
      </w:r>
      <w:r w:rsidR="001F39F2" w:rsidRPr="00B12613">
        <w:t xml:space="preserve"> 50 years living in perman</w:t>
      </w:r>
      <w:r w:rsidR="0045593D">
        <w:t>ent residential aged care on 30 </w:t>
      </w:r>
      <w:r w:rsidR="001F39F2" w:rsidRPr="00B12613">
        <w:t>June 200</w:t>
      </w:r>
      <w:r w:rsidR="00B56DBF" w:rsidRPr="00B12613">
        <w:t>6</w:t>
      </w:r>
      <w:r w:rsidR="001F39F2" w:rsidRPr="00B12613">
        <w:t xml:space="preserve"> (figure</w:t>
      </w:r>
      <w:r w:rsidR="00AE3578">
        <w:t> </w:t>
      </w:r>
      <w:r w:rsidR="001F39F2" w:rsidRPr="00B12613">
        <w:t>14.</w:t>
      </w:r>
      <w:r w:rsidR="00B12613" w:rsidRPr="00B12613">
        <w:t>2</w:t>
      </w:r>
      <w:r w:rsidR="00B12613">
        <w:t>7</w:t>
      </w:r>
      <w:r w:rsidR="001F39F2" w:rsidRPr="00B12613">
        <w:t xml:space="preserve">). </w:t>
      </w:r>
    </w:p>
    <w:p w:rsidR="005538E6" w:rsidRDefault="005538E6"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38E6" w:rsidRPr="003D2205" w:rsidTr="00DD33DF">
        <w:tc>
          <w:tcPr>
            <w:tcW w:w="8771" w:type="dxa"/>
            <w:tcBorders>
              <w:top w:val="single" w:sz="6" w:space="0" w:color="78A22F"/>
              <w:left w:val="nil"/>
              <w:bottom w:val="nil"/>
              <w:right w:val="nil"/>
            </w:tcBorders>
            <w:shd w:val="clear" w:color="auto" w:fill="auto"/>
          </w:tcPr>
          <w:p w:rsidR="005538E6" w:rsidRPr="003D2205" w:rsidRDefault="005538E6" w:rsidP="002C4C86">
            <w:pPr>
              <w:pStyle w:val="FigureTitle"/>
            </w:pPr>
            <w:r w:rsidRPr="003D2205">
              <w:rPr>
                <w:b w:val="0"/>
              </w:rPr>
              <w:t xml:space="preserve">Figure </w:t>
            </w:r>
            <w:r w:rsidR="00321568">
              <w:rPr>
                <w:b w:val="0"/>
              </w:rPr>
              <w:t>14.</w:t>
            </w:r>
            <w:r w:rsidR="0085284B">
              <w:rPr>
                <w:b w:val="0"/>
                <w:noProof/>
              </w:rPr>
              <w:t>27</w:t>
            </w:r>
            <w:r w:rsidRPr="003D2205">
              <w:tab/>
              <w:t>Younger people in residential aged care, percentage change in numbers between 2006 and</w:t>
            </w:r>
            <w:r w:rsidRPr="003D2205">
              <w:rPr>
                <w:rFonts w:cs="Arial"/>
              </w:rPr>
              <w:t xml:space="preserve"> </w:t>
            </w:r>
            <w:r w:rsidRPr="003D2205">
              <w:t>201</w:t>
            </w:r>
            <w:r w:rsidR="009532FD">
              <w:t>4</w:t>
            </w:r>
            <w:r w:rsidRPr="003D2205">
              <w:t>, by age group</w:t>
            </w:r>
            <w:r w:rsidRPr="003D2205">
              <w:rPr>
                <w:rStyle w:val="NoteLabel"/>
                <w:b/>
              </w:rPr>
              <w:t>a, b, c</w:t>
            </w:r>
          </w:p>
        </w:tc>
      </w:tr>
      <w:tr w:rsidR="005538E6" w:rsidRPr="0040202F"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5538E6" w:rsidRPr="0040202F" w:rsidTr="00DD33DF">
              <w:trPr>
                <w:jc w:val="center"/>
              </w:trPr>
              <w:tc>
                <w:tcPr>
                  <w:tcW w:w="5000" w:type="pct"/>
                  <w:tcBorders>
                    <w:top w:val="nil"/>
                    <w:bottom w:val="nil"/>
                  </w:tcBorders>
                </w:tcPr>
                <w:p w:rsidR="005538E6" w:rsidRPr="00AE3578" w:rsidRDefault="00986756" w:rsidP="00AE3578">
                  <w:pPr>
                    <w:pStyle w:val="Figure"/>
                  </w:pPr>
                  <w:r>
                    <w:rPr>
                      <w:noProof/>
                    </w:rPr>
                    <w:drawing>
                      <wp:inline distT="0" distB="0" distL="0" distR="0">
                        <wp:extent cx="5219700" cy="2705100"/>
                        <wp:effectExtent l="0" t="0" r="0" b="0"/>
                        <wp:docPr id="61" name="Picture 61" descr="Figure 14.27 Younger people in residential aged care, percentage change in numbers between 2006 and 2014, by age group&#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219700" cy="2705100"/>
                                </a:xfrm>
                                <a:prstGeom prst="rect">
                                  <a:avLst/>
                                </a:prstGeom>
                                <a:noFill/>
                                <a:ln>
                                  <a:noFill/>
                                </a:ln>
                              </pic:spPr>
                            </pic:pic>
                          </a:graphicData>
                        </a:graphic>
                      </wp:inline>
                    </w:drawing>
                  </w:r>
                </w:p>
              </w:tc>
            </w:tr>
          </w:tbl>
          <w:p w:rsidR="005538E6" w:rsidRPr="0040202F" w:rsidRDefault="005538E6" w:rsidP="0040202F">
            <w:pPr>
              <w:pStyle w:val="Figure"/>
            </w:pPr>
          </w:p>
        </w:tc>
      </w:tr>
      <w:tr w:rsidR="005538E6" w:rsidRPr="003D2205" w:rsidTr="00DD33DF">
        <w:tc>
          <w:tcPr>
            <w:tcW w:w="8771" w:type="dxa"/>
            <w:tcBorders>
              <w:top w:val="nil"/>
              <w:left w:val="nil"/>
              <w:bottom w:val="nil"/>
              <w:right w:val="nil"/>
            </w:tcBorders>
            <w:shd w:val="clear" w:color="auto" w:fill="auto"/>
          </w:tcPr>
          <w:p w:rsidR="005538E6" w:rsidRPr="003D2205" w:rsidRDefault="005538E6" w:rsidP="00A067F3">
            <w:pPr>
              <w:pStyle w:val="Note"/>
              <w:keepNext/>
            </w:pPr>
            <w:proofErr w:type="gramStart"/>
            <w:r w:rsidRPr="003D2205">
              <w:rPr>
                <w:rStyle w:val="NoteLabel"/>
              </w:rPr>
              <w:t>a</w:t>
            </w:r>
            <w:proofErr w:type="gramEnd"/>
            <w:r w:rsidRPr="003D2205">
              <w:t xml:space="preserve"> Data are for permanent residents in aged care. </w:t>
            </w:r>
            <w:proofErr w:type="gramStart"/>
            <w:r w:rsidRPr="003D2205">
              <w:rPr>
                <w:rStyle w:val="NoteLabel"/>
              </w:rPr>
              <w:t>b</w:t>
            </w:r>
            <w:proofErr w:type="gramEnd"/>
            <w:r w:rsidRPr="003D2205">
              <w:t xml:space="preserve"> These data should be interpreted with care. There may be issues related to the age of Aboriginal and Torres Strait Islander residents being incorrectly recorded. An assessment of the</w:t>
            </w:r>
            <w:r w:rsidR="008C3F77">
              <w:t xml:space="preserve"> NT</w:t>
            </w:r>
            <w:r w:rsidRPr="003D2205">
              <w:t xml:space="preserve"> data has previously shown that approximately half of Aboriginal and Torres Strait Islander Australian’s ages were incorrectly recorded. </w:t>
            </w:r>
            <w:proofErr w:type="gramStart"/>
            <w:r w:rsidR="00121636" w:rsidRPr="0040202F">
              <w:rPr>
                <w:rStyle w:val="NoteLabel"/>
              </w:rPr>
              <w:t>c</w:t>
            </w:r>
            <w:proofErr w:type="gramEnd"/>
            <w:r w:rsidR="00121636" w:rsidRPr="0040202F">
              <w:rPr>
                <w:rStyle w:val="NoteLabel"/>
              </w:rPr>
              <w:t xml:space="preserve"> </w:t>
            </w:r>
            <w:r w:rsidRPr="003D2205">
              <w:t>The percentage change for the ACT and the NT are not pu</w:t>
            </w:r>
            <w:r w:rsidR="00A067F3">
              <w:t>blished due to confidentiality.</w:t>
            </w:r>
          </w:p>
        </w:tc>
      </w:tr>
      <w:tr w:rsidR="005538E6" w:rsidRPr="003D2205" w:rsidTr="00DD33DF">
        <w:tc>
          <w:tcPr>
            <w:tcW w:w="8771" w:type="dxa"/>
            <w:tcBorders>
              <w:top w:val="nil"/>
              <w:left w:val="nil"/>
              <w:bottom w:val="nil"/>
              <w:right w:val="nil"/>
            </w:tcBorders>
            <w:shd w:val="clear" w:color="auto" w:fill="auto"/>
          </w:tcPr>
          <w:p w:rsidR="005538E6" w:rsidRPr="003D2205" w:rsidRDefault="005538E6" w:rsidP="00402536">
            <w:pPr>
              <w:pStyle w:val="Source"/>
              <w:keepNext/>
            </w:pPr>
            <w:r w:rsidRPr="003D2205">
              <w:rPr>
                <w:i/>
              </w:rPr>
              <w:t>Source</w:t>
            </w:r>
            <w:r w:rsidRPr="003D2205">
              <w:t>:</w:t>
            </w:r>
            <w:r w:rsidR="0040202F">
              <w:t xml:space="preserve"> </w:t>
            </w:r>
            <w:r w:rsidR="005B01E2">
              <w:t>DSS</w:t>
            </w:r>
            <w:r w:rsidR="005B01E2" w:rsidRPr="007B05C6">
              <w:t xml:space="preserve"> </w:t>
            </w:r>
            <w:r w:rsidR="007B05C6" w:rsidRPr="007B05C6">
              <w:t xml:space="preserve">(unpublished) </w:t>
            </w:r>
            <w:r w:rsidR="007B05C6" w:rsidRPr="0040202F">
              <w:rPr>
                <w:i/>
              </w:rPr>
              <w:t>Aged care data warehouse</w:t>
            </w:r>
            <w:r w:rsidR="009532FD">
              <w:t>, table</w:t>
            </w:r>
            <w:r w:rsidR="00AE3578">
              <w:t> </w:t>
            </w:r>
            <w:r w:rsidR="009532FD">
              <w:t>14A.</w:t>
            </w:r>
            <w:r w:rsidR="00402536">
              <w:t>60</w:t>
            </w:r>
            <w:r w:rsidR="009532FD">
              <w:t>.</w:t>
            </w:r>
          </w:p>
        </w:tc>
      </w:tr>
      <w:tr w:rsidR="005538E6" w:rsidTr="00DD33DF">
        <w:tc>
          <w:tcPr>
            <w:tcW w:w="8771" w:type="dxa"/>
            <w:tcBorders>
              <w:top w:val="nil"/>
              <w:left w:val="nil"/>
              <w:bottom w:val="single" w:sz="6" w:space="0" w:color="78A22F"/>
              <w:right w:val="nil"/>
            </w:tcBorders>
            <w:shd w:val="clear" w:color="auto" w:fill="auto"/>
          </w:tcPr>
          <w:p w:rsidR="005538E6" w:rsidRDefault="005538E6" w:rsidP="00DD33DF">
            <w:pPr>
              <w:pStyle w:val="Figurespace"/>
            </w:pPr>
          </w:p>
        </w:tc>
      </w:tr>
      <w:tr w:rsidR="005538E6" w:rsidRPr="000863A5" w:rsidTr="00DD33DF">
        <w:tc>
          <w:tcPr>
            <w:tcW w:w="8771" w:type="dxa"/>
            <w:tcBorders>
              <w:top w:val="single" w:sz="6" w:space="0" w:color="78A22F"/>
              <w:left w:val="nil"/>
              <w:bottom w:val="nil"/>
              <w:right w:val="nil"/>
            </w:tcBorders>
          </w:tcPr>
          <w:p w:rsidR="005538E6" w:rsidRPr="00626D32" w:rsidRDefault="005538E6" w:rsidP="00DD33DF">
            <w:pPr>
              <w:pStyle w:val="BoxSpaceBelow"/>
            </w:pPr>
          </w:p>
        </w:tc>
      </w:tr>
    </w:tbl>
    <w:p w:rsidR="00AC43A4" w:rsidRPr="00633C6C" w:rsidRDefault="00AC43A4" w:rsidP="000453A1">
      <w:pPr>
        <w:pStyle w:val="BodyText"/>
        <w:shd w:val="clear" w:color="auto" w:fill="FFFFFF" w:themeFill="background1"/>
      </w:pPr>
      <w:r w:rsidRPr="00633C6C">
        <w:t xml:space="preserve">Nationally in </w:t>
      </w:r>
      <w:r w:rsidR="00633C6C" w:rsidRPr="00633C6C">
        <w:t>2013</w:t>
      </w:r>
      <w:r w:rsidR="00B84AF2">
        <w:noBreakHyphen/>
      </w:r>
      <w:r w:rsidR="00633C6C" w:rsidRPr="00633C6C">
        <w:t>14</w:t>
      </w:r>
      <w:r w:rsidRPr="00633C6C">
        <w:t xml:space="preserve">, the number of people </w:t>
      </w:r>
      <w:r w:rsidR="007F5716" w:rsidRPr="00633C6C">
        <w:t>under the age of</w:t>
      </w:r>
      <w:r w:rsidRPr="00633C6C">
        <w:t xml:space="preserve"> 50 years admitted to permanent residential aged care was </w:t>
      </w:r>
      <w:r w:rsidR="00B12613">
        <w:t>232</w:t>
      </w:r>
      <w:r w:rsidR="0019455A">
        <w:t xml:space="preserve"> </w:t>
      </w:r>
      <w:r w:rsidR="00CB2022" w:rsidRPr="00633C6C">
        <w:t>(table</w:t>
      </w:r>
      <w:r w:rsidR="00AE3578">
        <w:t> </w:t>
      </w:r>
      <w:r w:rsidR="00CB2022" w:rsidRPr="00633C6C">
        <w:t>14A.</w:t>
      </w:r>
      <w:r w:rsidR="00402536">
        <w:t>61</w:t>
      </w:r>
      <w:r w:rsidR="00CB2022" w:rsidRPr="00633C6C">
        <w:t>)</w:t>
      </w:r>
      <w:r w:rsidRPr="00633C6C">
        <w:t xml:space="preserve">. This is </w:t>
      </w:r>
      <w:r w:rsidR="00302BC1" w:rsidRPr="000453A1">
        <w:rPr>
          <w:shd w:val="clear" w:color="auto" w:fill="FFFFFF" w:themeFill="background1"/>
        </w:rPr>
        <w:t>0.9</w:t>
      </w:r>
      <w:r w:rsidR="005B6471" w:rsidRPr="000453A1">
        <w:rPr>
          <w:shd w:val="clear" w:color="auto" w:fill="FFFFFF" w:themeFill="background1"/>
        </w:rPr>
        <w:t> </w:t>
      </w:r>
      <w:r w:rsidRPr="000453A1">
        <w:rPr>
          <w:shd w:val="clear" w:color="auto" w:fill="FFFFFF" w:themeFill="background1"/>
        </w:rPr>
        <w:t xml:space="preserve">per cent </w:t>
      </w:r>
      <w:r w:rsidR="00EF559A" w:rsidRPr="000453A1">
        <w:rPr>
          <w:shd w:val="clear" w:color="auto" w:fill="FFFFFF" w:themeFill="background1"/>
        </w:rPr>
        <w:t>lower</w:t>
      </w:r>
      <w:r w:rsidR="00EF559A" w:rsidRPr="000453A1">
        <w:t xml:space="preserve"> </w:t>
      </w:r>
      <w:r w:rsidRPr="000453A1">
        <w:t>than</w:t>
      </w:r>
      <w:r w:rsidRPr="00633C6C">
        <w:t xml:space="preserve"> the number of people </w:t>
      </w:r>
      <w:r w:rsidR="007F5716" w:rsidRPr="00633C6C">
        <w:t>under the age of</w:t>
      </w:r>
      <w:r w:rsidRPr="00633C6C">
        <w:t xml:space="preserve"> 50 years admitted to permanent resident aged care in 2006</w:t>
      </w:r>
      <w:r w:rsidR="00B84AF2">
        <w:noBreakHyphen/>
      </w:r>
      <w:r w:rsidRPr="00633C6C">
        <w:t xml:space="preserve">07 </w:t>
      </w:r>
      <w:r w:rsidR="00CB2022" w:rsidRPr="00633C6C">
        <w:t>(figure</w:t>
      </w:r>
      <w:r w:rsidR="00AE3578">
        <w:t> </w:t>
      </w:r>
      <w:r w:rsidR="00CB2022" w:rsidRPr="00633C6C">
        <w:t>14.2</w:t>
      </w:r>
      <w:r w:rsidR="00633C6C" w:rsidRPr="00633C6C">
        <w:t>8</w:t>
      </w:r>
      <w:r w:rsidR="00CB2022" w:rsidRPr="00633C6C">
        <w:t>).</w:t>
      </w:r>
    </w:p>
    <w:p w:rsidR="005538E6" w:rsidRDefault="005538E6"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38E6" w:rsidTr="00DD33DF">
        <w:tc>
          <w:tcPr>
            <w:tcW w:w="8771" w:type="dxa"/>
            <w:tcBorders>
              <w:top w:val="single" w:sz="6" w:space="0" w:color="78A22F"/>
              <w:left w:val="nil"/>
              <w:bottom w:val="nil"/>
              <w:right w:val="nil"/>
            </w:tcBorders>
            <w:shd w:val="clear" w:color="auto" w:fill="auto"/>
          </w:tcPr>
          <w:p w:rsidR="005538E6" w:rsidRPr="00176D3F" w:rsidRDefault="005538E6" w:rsidP="00556562">
            <w:pPr>
              <w:pStyle w:val="FigureTitle"/>
            </w:pPr>
            <w:r w:rsidRPr="00784A05">
              <w:rPr>
                <w:b w:val="0"/>
              </w:rPr>
              <w:t xml:space="preserve">Figure </w:t>
            </w:r>
            <w:r w:rsidR="00321568">
              <w:rPr>
                <w:b w:val="0"/>
              </w:rPr>
              <w:t>14.</w:t>
            </w:r>
            <w:r w:rsidR="0085284B">
              <w:rPr>
                <w:b w:val="0"/>
                <w:noProof/>
              </w:rPr>
              <w:t>28</w:t>
            </w:r>
            <w:r>
              <w:tab/>
            </w:r>
            <w:r w:rsidRPr="000453A1">
              <w:rPr>
                <w:shd w:val="clear" w:color="auto" w:fill="FFFFFF" w:themeFill="background1"/>
              </w:rPr>
              <w:t>Younger people admitted to permanent residential aged care, percentage change in numbers between 2006</w:t>
            </w:r>
            <w:r w:rsidR="00B84AF2">
              <w:rPr>
                <w:shd w:val="clear" w:color="auto" w:fill="FFFFFF" w:themeFill="background1"/>
              </w:rPr>
              <w:noBreakHyphen/>
            </w:r>
            <w:r w:rsidRPr="000453A1">
              <w:rPr>
                <w:shd w:val="clear" w:color="auto" w:fill="FFFFFF" w:themeFill="background1"/>
              </w:rPr>
              <w:t>07 and</w:t>
            </w:r>
            <w:r w:rsidRPr="000453A1">
              <w:rPr>
                <w:rFonts w:cs="Arial"/>
                <w:shd w:val="clear" w:color="auto" w:fill="FFFFFF" w:themeFill="background1"/>
              </w:rPr>
              <w:t xml:space="preserve"> </w:t>
            </w:r>
            <w:r w:rsidR="0040202F" w:rsidRPr="000453A1">
              <w:rPr>
                <w:rFonts w:cs="Arial"/>
                <w:shd w:val="clear" w:color="auto" w:fill="FFFFFF" w:themeFill="background1"/>
              </w:rPr>
              <w:br/>
            </w:r>
            <w:r w:rsidR="009741F5" w:rsidRPr="000453A1">
              <w:rPr>
                <w:shd w:val="clear" w:color="auto" w:fill="FFFFFF" w:themeFill="background1"/>
              </w:rPr>
              <w:t>2013</w:t>
            </w:r>
            <w:r w:rsidR="00B84AF2">
              <w:rPr>
                <w:shd w:val="clear" w:color="auto" w:fill="FFFFFF" w:themeFill="background1"/>
              </w:rPr>
              <w:noBreakHyphen/>
            </w:r>
            <w:r w:rsidR="009741F5" w:rsidRPr="000453A1">
              <w:rPr>
                <w:shd w:val="clear" w:color="auto" w:fill="FFFFFF" w:themeFill="background1"/>
              </w:rPr>
              <w:t>14</w:t>
            </w:r>
            <w:r w:rsidRPr="000453A1">
              <w:rPr>
                <w:shd w:val="clear" w:color="auto" w:fill="FFFFFF" w:themeFill="background1"/>
              </w:rPr>
              <w:t>, by age group</w:t>
            </w:r>
            <w:r w:rsidRPr="000453A1">
              <w:rPr>
                <w:rStyle w:val="NoteLabel"/>
                <w:b/>
                <w:shd w:val="clear" w:color="auto" w:fill="FFFFFF" w:themeFill="background1"/>
              </w:rPr>
              <w:t>a, b, c</w:t>
            </w:r>
          </w:p>
        </w:tc>
      </w:tr>
      <w:tr w:rsidR="005538E6"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5538E6" w:rsidTr="00DD33DF">
              <w:trPr>
                <w:jc w:val="center"/>
              </w:trPr>
              <w:tc>
                <w:tcPr>
                  <w:tcW w:w="5000" w:type="pct"/>
                  <w:tcBorders>
                    <w:top w:val="nil"/>
                    <w:bottom w:val="nil"/>
                  </w:tcBorders>
                </w:tcPr>
                <w:p w:rsidR="005538E6" w:rsidRDefault="00986756" w:rsidP="00EF559A">
                  <w:pPr>
                    <w:pStyle w:val="Figure"/>
                  </w:pPr>
                  <w:r>
                    <w:rPr>
                      <w:noProof/>
                    </w:rPr>
                    <w:drawing>
                      <wp:inline distT="0" distB="0" distL="0" distR="0">
                        <wp:extent cx="5029200" cy="2705100"/>
                        <wp:effectExtent l="0" t="0" r="0" b="0"/>
                        <wp:docPr id="62" name="Picture 62" descr="Figure 14.28 Younger people admitted to permanent residential aged care, percentage change in numbers between 2006-07 and 2013-14, by age group&#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029200" cy="2705100"/>
                                </a:xfrm>
                                <a:prstGeom prst="rect">
                                  <a:avLst/>
                                </a:prstGeom>
                                <a:noFill/>
                                <a:ln>
                                  <a:noFill/>
                                </a:ln>
                              </pic:spPr>
                            </pic:pic>
                          </a:graphicData>
                        </a:graphic>
                      </wp:inline>
                    </w:drawing>
                  </w:r>
                </w:p>
              </w:tc>
            </w:tr>
          </w:tbl>
          <w:p w:rsidR="005538E6" w:rsidRDefault="005538E6" w:rsidP="00DD33DF">
            <w:pPr>
              <w:pStyle w:val="Figure"/>
            </w:pPr>
          </w:p>
        </w:tc>
      </w:tr>
      <w:tr w:rsidR="005538E6" w:rsidRPr="0040202F" w:rsidTr="00DD33DF">
        <w:tc>
          <w:tcPr>
            <w:tcW w:w="8771" w:type="dxa"/>
            <w:tcBorders>
              <w:top w:val="nil"/>
              <w:left w:val="nil"/>
              <w:bottom w:val="nil"/>
              <w:right w:val="nil"/>
            </w:tcBorders>
            <w:shd w:val="clear" w:color="auto" w:fill="auto"/>
          </w:tcPr>
          <w:p w:rsidR="005538E6" w:rsidRPr="0040202F" w:rsidRDefault="005538E6" w:rsidP="002D248F">
            <w:pPr>
              <w:pStyle w:val="Note"/>
              <w:keepNext/>
            </w:pPr>
            <w:proofErr w:type="gramStart"/>
            <w:r w:rsidRPr="0040202F">
              <w:rPr>
                <w:rStyle w:val="NoteLabel"/>
              </w:rPr>
              <w:t>a</w:t>
            </w:r>
            <w:proofErr w:type="gramEnd"/>
            <w:r w:rsidRPr="0040202F">
              <w:t xml:space="preserve"> Data are for permanent residents in aged care. </w:t>
            </w:r>
            <w:proofErr w:type="gramStart"/>
            <w:r w:rsidRPr="0040202F">
              <w:rPr>
                <w:rStyle w:val="NoteLabel"/>
              </w:rPr>
              <w:t>b</w:t>
            </w:r>
            <w:proofErr w:type="gramEnd"/>
            <w:r w:rsidRPr="0040202F">
              <w:t xml:space="preserve"> These data should be interpreted with care. There may be issues related to the age of Aboriginal and Torres Strait Islander residents being incorrectly recorded. An assessment of NT </w:t>
            </w:r>
            <w:r w:rsidR="008C3F77">
              <w:t xml:space="preserve">data </w:t>
            </w:r>
            <w:r w:rsidRPr="0040202F">
              <w:t xml:space="preserve">has previously shown that approximately half of Aboriginal and Torres Strait Islander Australian’s ages were incorrectly recorded. </w:t>
            </w:r>
            <w:proofErr w:type="gramStart"/>
            <w:r w:rsidRPr="0040202F">
              <w:rPr>
                <w:rStyle w:val="NoteLabel"/>
              </w:rPr>
              <w:t>c</w:t>
            </w:r>
            <w:proofErr w:type="gramEnd"/>
            <w:r w:rsidRPr="0040202F">
              <w:rPr>
                <w:rStyle w:val="NoteLabel"/>
              </w:rPr>
              <w:t xml:space="preserve"> </w:t>
            </w:r>
            <w:r w:rsidRPr="0040202F">
              <w:t>The percentage change</w:t>
            </w:r>
            <w:r w:rsidR="008C3F77">
              <w:t>s</w:t>
            </w:r>
            <w:r w:rsidRPr="0040202F">
              <w:t xml:space="preserve"> for the number</w:t>
            </w:r>
            <w:r w:rsidR="008C3F77">
              <w:t>s</w:t>
            </w:r>
            <w:r w:rsidRPr="0040202F">
              <w:t xml:space="preserve"> of people aged 0–49 years and 0</w:t>
            </w:r>
            <w:r w:rsidR="008C3F77" w:rsidRPr="0040202F">
              <w:t>–</w:t>
            </w:r>
            <w:r w:rsidRPr="0040202F">
              <w:t xml:space="preserve">64 years in Tasmania and the </w:t>
            </w:r>
            <w:r w:rsidR="002D248F">
              <w:t>ACT</w:t>
            </w:r>
            <w:r w:rsidRPr="0040202F">
              <w:t xml:space="preserve">, and 0–49 years in the </w:t>
            </w:r>
            <w:r w:rsidR="002D248F">
              <w:t>NT</w:t>
            </w:r>
            <w:r w:rsidR="003D31DC" w:rsidRPr="0040202F">
              <w:t xml:space="preserve"> </w:t>
            </w:r>
            <w:r w:rsidR="008C3F77">
              <w:t>are</w:t>
            </w:r>
            <w:r w:rsidRPr="0040202F">
              <w:t xml:space="preserve"> not reported due to confidentiality</w:t>
            </w:r>
            <w:r w:rsidRPr="000453A1">
              <w:rPr>
                <w:shd w:val="clear" w:color="auto" w:fill="FFFFFF" w:themeFill="background1"/>
              </w:rPr>
              <w:t xml:space="preserve">. </w:t>
            </w:r>
            <w:r w:rsidR="00C85277" w:rsidRPr="000453A1">
              <w:rPr>
                <w:shd w:val="clear" w:color="auto" w:fill="FFFFFF" w:themeFill="background1"/>
              </w:rPr>
              <w:t>ACT had no admissions of 0</w:t>
            </w:r>
            <w:r w:rsidR="00B84AF2">
              <w:rPr>
                <w:shd w:val="clear" w:color="auto" w:fill="FFFFFF" w:themeFill="background1"/>
              </w:rPr>
              <w:noBreakHyphen/>
            </w:r>
            <w:r w:rsidR="00C85277" w:rsidRPr="000453A1">
              <w:rPr>
                <w:shd w:val="clear" w:color="auto" w:fill="FFFFFF" w:themeFill="background1"/>
              </w:rPr>
              <w:t>49 year olds in 2013</w:t>
            </w:r>
            <w:r w:rsidR="00B84AF2">
              <w:rPr>
                <w:shd w:val="clear" w:color="auto" w:fill="FFFFFF" w:themeFill="background1"/>
              </w:rPr>
              <w:noBreakHyphen/>
            </w:r>
            <w:r w:rsidR="00C85277" w:rsidRPr="000453A1">
              <w:rPr>
                <w:shd w:val="clear" w:color="auto" w:fill="FFFFFF" w:themeFill="background1"/>
              </w:rPr>
              <w:t>14 (ie 100 per cent decline).</w:t>
            </w:r>
          </w:p>
        </w:tc>
      </w:tr>
      <w:tr w:rsidR="00EF559A" w:rsidRPr="00EF559A" w:rsidTr="00DD33DF">
        <w:tc>
          <w:tcPr>
            <w:tcW w:w="8771" w:type="dxa"/>
            <w:tcBorders>
              <w:top w:val="nil"/>
              <w:left w:val="nil"/>
              <w:bottom w:val="nil"/>
              <w:right w:val="nil"/>
            </w:tcBorders>
            <w:shd w:val="clear" w:color="auto" w:fill="auto"/>
          </w:tcPr>
          <w:p w:rsidR="005538E6" w:rsidRPr="00EF559A" w:rsidRDefault="005538E6" w:rsidP="00402536">
            <w:pPr>
              <w:pStyle w:val="Source"/>
              <w:keepNext/>
            </w:pPr>
            <w:r w:rsidRPr="00EF559A">
              <w:rPr>
                <w:i/>
              </w:rPr>
              <w:t>Source</w:t>
            </w:r>
            <w:r w:rsidRPr="00EF559A">
              <w:t xml:space="preserve">: </w:t>
            </w:r>
            <w:r w:rsidR="00BD1F59">
              <w:t>DSS</w:t>
            </w:r>
            <w:r w:rsidR="00BD1F59" w:rsidRPr="00EF559A">
              <w:t xml:space="preserve"> </w:t>
            </w:r>
            <w:r w:rsidR="00EF559A" w:rsidRPr="00EF559A">
              <w:t xml:space="preserve">(unpublished) </w:t>
            </w:r>
            <w:r w:rsidR="00EF559A" w:rsidRPr="0040202F">
              <w:rPr>
                <w:i/>
              </w:rPr>
              <w:t>Aged care data warehouse</w:t>
            </w:r>
            <w:r w:rsidR="00EF559A" w:rsidRPr="00EF559A">
              <w:t>, table</w:t>
            </w:r>
            <w:r w:rsidR="00AE3578">
              <w:t> </w:t>
            </w:r>
            <w:r w:rsidR="00EF559A" w:rsidRPr="00EF559A">
              <w:t>14A.</w:t>
            </w:r>
            <w:r w:rsidR="00402536">
              <w:t>61</w:t>
            </w:r>
            <w:r w:rsidR="00EF559A" w:rsidRPr="00EF559A">
              <w:t>.</w:t>
            </w:r>
          </w:p>
        </w:tc>
      </w:tr>
      <w:tr w:rsidR="005538E6" w:rsidTr="00DD33DF">
        <w:tc>
          <w:tcPr>
            <w:tcW w:w="8771" w:type="dxa"/>
            <w:tcBorders>
              <w:top w:val="nil"/>
              <w:left w:val="nil"/>
              <w:bottom w:val="single" w:sz="6" w:space="0" w:color="78A22F"/>
              <w:right w:val="nil"/>
            </w:tcBorders>
            <w:shd w:val="clear" w:color="auto" w:fill="auto"/>
          </w:tcPr>
          <w:p w:rsidR="005538E6" w:rsidRDefault="005538E6" w:rsidP="00DD33DF">
            <w:pPr>
              <w:pStyle w:val="Figurespace"/>
            </w:pPr>
          </w:p>
        </w:tc>
      </w:tr>
      <w:tr w:rsidR="005538E6" w:rsidRPr="000863A5" w:rsidTr="00DD33DF">
        <w:tc>
          <w:tcPr>
            <w:tcW w:w="8771" w:type="dxa"/>
            <w:tcBorders>
              <w:top w:val="single" w:sz="6" w:space="0" w:color="78A22F"/>
              <w:left w:val="nil"/>
              <w:bottom w:val="nil"/>
              <w:right w:val="nil"/>
            </w:tcBorders>
          </w:tcPr>
          <w:p w:rsidR="005538E6" w:rsidRPr="00626D32" w:rsidRDefault="005538E6" w:rsidP="00DD33DF">
            <w:pPr>
              <w:pStyle w:val="BoxSpaceBelow"/>
            </w:pPr>
          </w:p>
        </w:tc>
      </w:tr>
    </w:tbl>
    <w:p w:rsidR="00CB2022" w:rsidRPr="006278FC" w:rsidRDefault="00CB2022" w:rsidP="00AC43A4">
      <w:pPr>
        <w:pStyle w:val="BodyText"/>
      </w:pPr>
      <w:r w:rsidRPr="006278FC">
        <w:t xml:space="preserve">Nationally in </w:t>
      </w:r>
      <w:r w:rsidR="006278FC" w:rsidRPr="006278FC">
        <w:t>2013</w:t>
      </w:r>
      <w:r w:rsidR="00B84AF2">
        <w:noBreakHyphen/>
      </w:r>
      <w:r w:rsidR="006278FC" w:rsidRPr="006278FC">
        <w:t>14</w:t>
      </w:r>
      <w:r w:rsidRPr="006278FC">
        <w:t xml:space="preserve">, the number of younger people under </w:t>
      </w:r>
      <w:r w:rsidR="007F5716" w:rsidRPr="006278FC">
        <w:t xml:space="preserve">the age of </w:t>
      </w:r>
      <w:r w:rsidRPr="006278FC">
        <w:t xml:space="preserve">50 years who separated from permanent residential aged care to return to home or family was </w:t>
      </w:r>
      <w:r w:rsidR="00B12613">
        <w:t>29</w:t>
      </w:r>
      <w:r w:rsidR="00121636">
        <w:t>.</w:t>
      </w:r>
      <w:r w:rsidRPr="006278FC">
        <w:t xml:space="preserve"> </w:t>
      </w:r>
      <w:r w:rsidR="00FC3D41" w:rsidRPr="006278FC">
        <w:t xml:space="preserve">This is </w:t>
      </w:r>
      <w:r w:rsidR="007C41B5">
        <w:t xml:space="preserve">16.0 </w:t>
      </w:r>
      <w:r w:rsidR="00FC3D41" w:rsidRPr="006278FC">
        <w:t xml:space="preserve">per cent </w:t>
      </w:r>
      <w:r w:rsidR="007C41B5">
        <w:t>higher</w:t>
      </w:r>
      <w:r w:rsidR="00FC3D41" w:rsidRPr="006278FC">
        <w:t xml:space="preserve"> than in 2007</w:t>
      </w:r>
      <w:r w:rsidR="00B84AF2">
        <w:noBreakHyphen/>
      </w:r>
      <w:r w:rsidR="00FC3D41" w:rsidRPr="006278FC">
        <w:t>08</w:t>
      </w:r>
      <w:r w:rsidR="0019455A">
        <w:t xml:space="preserve"> </w:t>
      </w:r>
      <w:r w:rsidR="00FC3D41" w:rsidRPr="006278FC">
        <w:t>(table</w:t>
      </w:r>
      <w:r w:rsidR="00AE3578">
        <w:t> </w:t>
      </w:r>
      <w:r w:rsidR="00FC3D41" w:rsidRPr="006278FC">
        <w:t>14A.</w:t>
      </w:r>
      <w:r w:rsidR="00402536" w:rsidRPr="006278FC">
        <w:t>6</w:t>
      </w:r>
      <w:r w:rsidR="00240E57">
        <w:t>2</w:t>
      </w:r>
      <w:r w:rsidR="00FC3D41" w:rsidRPr="006278FC">
        <w:t xml:space="preserve">). </w:t>
      </w:r>
    </w:p>
    <w:p w:rsidR="00AC43A4" w:rsidRPr="006278FC" w:rsidRDefault="00AC43A4" w:rsidP="00AC43A4">
      <w:pPr>
        <w:pStyle w:val="BodyText"/>
      </w:pPr>
      <w:r w:rsidRPr="006278FC">
        <w:t>These data should be interpreted with care, as some younger people choose to remain in residential aged care for a variety of reasons, such as:</w:t>
      </w:r>
    </w:p>
    <w:p w:rsidR="00AC43A4" w:rsidRPr="006278FC" w:rsidRDefault="00AC43A4" w:rsidP="00AC43A4">
      <w:pPr>
        <w:pStyle w:val="ListBullet"/>
      </w:pPr>
      <w:r w:rsidRPr="006278FC">
        <w:t>their physical and nursing needs can be best met in residential aged care</w:t>
      </w:r>
    </w:p>
    <w:p w:rsidR="00AC43A4" w:rsidRPr="006278FC" w:rsidRDefault="00AC43A4" w:rsidP="00AC43A4">
      <w:pPr>
        <w:pStyle w:val="ListBullet"/>
      </w:pPr>
      <w:r w:rsidRPr="006278FC">
        <w:t>they are satisfied with their current living situation (that is, it is the</w:t>
      </w:r>
      <w:r w:rsidR="001F26AE">
        <w:t>ir</w:t>
      </w:r>
      <w:r w:rsidRPr="006278FC">
        <w:t xml:space="preserve"> preferred facility)</w:t>
      </w:r>
    </w:p>
    <w:p w:rsidR="00AC43A4" w:rsidRPr="006278FC" w:rsidRDefault="00AC43A4" w:rsidP="00AC43A4">
      <w:pPr>
        <w:pStyle w:val="ListBullet"/>
      </w:pPr>
      <w:r w:rsidRPr="006278FC">
        <w:t>the facility is located close to family and friends</w:t>
      </w:r>
    </w:p>
    <w:p w:rsidR="00AC43A4" w:rsidRPr="006278FC" w:rsidRDefault="00AC43A4" w:rsidP="00AC43A4">
      <w:pPr>
        <w:pStyle w:val="ListBullet"/>
      </w:pPr>
      <w:proofErr w:type="gramStart"/>
      <w:r w:rsidRPr="006278FC">
        <w:t>it</w:t>
      </w:r>
      <w:proofErr w:type="gramEnd"/>
      <w:r w:rsidRPr="006278FC">
        <w:t xml:space="preserve"> is a familiar home environment.</w:t>
      </w:r>
    </w:p>
    <w:p w:rsidR="001F39F2" w:rsidRPr="006278FC" w:rsidRDefault="00DA5D20" w:rsidP="00585E2C">
      <w:pPr>
        <w:pStyle w:val="BodyText"/>
      </w:pPr>
      <w:r w:rsidRPr="006278FC">
        <w:t xml:space="preserve">Additional </w:t>
      </w:r>
      <w:r w:rsidR="00521306" w:rsidRPr="006278FC">
        <w:t xml:space="preserve">information </w:t>
      </w:r>
      <w:r w:rsidR="001F39F2" w:rsidRPr="006278FC">
        <w:t xml:space="preserve">on younger people </w:t>
      </w:r>
      <w:r w:rsidR="00002BFD" w:rsidRPr="006278FC">
        <w:t>in residential aged care</w:t>
      </w:r>
      <w:r w:rsidR="008C3F77">
        <w:t>,</w:t>
      </w:r>
      <w:r w:rsidR="00002BFD" w:rsidRPr="006278FC">
        <w:t xml:space="preserve"> </w:t>
      </w:r>
      <w:r w:rsidR="00084826" w:rsidRPr="006278FC">
        <w:t>including the number of people receiving residential aged care, the rate of admission to and the separation from residential aged care</w:t>
      </w:r>
      <w:r w:rsidR="008C3F77">
        <w:t>,</w:t>
      </w:r>
      <w:r w:rsidR="00084826" w:rsidRPr="006278FC">
        <w:t xml:space="preserve"> from 2007</w:t>
      </w:r>
      <w:r w:rsidR="00B84AF2">
        <w:noBreakHyphen/>
      </w:r>
      <w:r w:rsidR="00084826" w:rsidRPr="006278FC">
        <w:t xml:space="preserve">08 to </w:t>
      </w:r>
      <w:r w:rsidR="006278FC" w:rsidRPr="006278FC">
        <w:t>2013</w:t>
      </w:r>
      <w:r w:rsidR="00B84AF2">
        <w:noBreakHyphen/>
      </w:r>
      <w:r w:rsidR="006278FC" w:rsidRPr="006278FC">
        <w:t>14</w:t>
      </w:r>
      <w:r w:rsidR="008C3F77">
        <w:t>,</w:t>
      </w:r>
      <w:r w:rsidR="00084826" w:rsidRPr="006278FC">
        <w:t xml:space="preserve"> </w:t>
      </w:r>
      <w:r w:rsidR="001F39F2" w:rsidRPr="006278FC">
        <w:t xml:space="preserve">are available </w:t>
      </w:r>
      <w:r w:rsidRPr="006278FC">
        <w:t xml:space="preserve">in the attachment tables </w:t>
      </w:r>
      <w:r w:rsidR="001F39F2" w:rsidRPr="006278FC">
        <w:t>(</w:t>
      </w:r>
      <w:r w:rsidRPr="006278FC">
        <w:t xml:space="preserve">see </w:t>
      </w:r>
      <w:r w:rsidR="001F39F2" w:rsidRPr="006278FC">
        <w:t>tables</w:t>
      </w:r>
      <w:r w:rsidR="00AE3578">
        <w:t> </w:t>
      </w:r>
      <w:r w:rsidR="001F39F2" w:rsidRPr="006278FC">
        <w:t>14A.</w:t>
      </w:r>
      <w:r w:rsidR="00402536">
        <w:t>63</w:t>
      </w:r>
      <w:r w:rsidR="00D74493" w:rsidRPr="006278FC">
        <w:t>–</w:t>
      </w:r>
      <w:r w:rsidR="00002BFD" w:rsidRPr="006278FC">
        <w:t>6</w:t>
      </w:r>
      <w:r w:rsidR="00402536">
        <w:t>8</w:t>
      </w:r>
      <w:r w:rsidR="001F39F2" w:rsidRPr="006278FC">
        <w:t>).</w:t>
      </w:r>
    </w:p>
    <w:p w:rsidR="001F39F2" w:rsidRPr="005F4C6C" w:rsidRDefault="001F39F2" w:rsidP="00585E2C">
      <w:pPr>
        <w:pStyle w:val="Heading4"/>
      </w:pPr>
      <w:r w:rsidRPr="005F4C6C">
        <w:lastRenderedPageBreak/>
        <w:t>Equity and effectiveness — quality of services</w:t>
      </w:r>
    </w:p>
    <w:p w:rsidR="001F39F2" w:rsidRPr="005F4C6C" w:rsidRDefault="001F39F2" w:rsidP="00585E2C">
      <w:pPr>
        <w:pStyle w:val="BodyText"/>
      </w:pPr>
      <w:r w:rsidRPr="005F4C6C">
        <w:t>The following quality indicators are reported:</w:t>
      </w:r>
    </w:p>
    <w:p w:rsidR="001F39F2" w:rsidRPr="005F4C6C" w:rsidRDefault="001F39F2" w:rsidP="00585E2C">
      <w:pPr>
        <w:pStyle w:val="ListBullet"/>
      </w:pPr>
      <w:r w:rsidRPr="005F4C6C">
        <w:t>‘</w:t>
      </w:r>
      <w:r w:rsidR="007E5BCD" w:rsidRPr="005F4C6C">
        <w:t>q</w:t>
      </w:r>
      <w:r w:rsidRPr="005F4C6C">
        <w:t>uality assurance processes’</w:t>
      </w:r>
    </w:p>
    <w:p w:rsidR="001F39F2" w:rsidRPr="005F4C6C" w:rsidRDefault="001F39F2" w:rsidP="00585E2C">
      <w:pPr>
        <w:pStyle w:val="ListBullet"/>
      </w:pPr>
      <w:r w:rsidRPr="005F4C6C">
        <w:t>‘</w:t>
      </w:r>
      <w:proofErr w:type="gramStart"/>
      <w:r w:rsidR="007E5BCD" w:rsidRPr="005F4C6C">
        <w:t>c</w:t>
      </w:r>
      <w:r w:rsidRPr="005F4C6C">
        <w:t>lient</w:t>
      </w:r>
      <w:proofErr w:type="gramEnd"/>
      <w:r w:rsidRPr="005F4C6C">
        <w:t xml:space="preserve"> and carer satisfaction’.</w:t>
      </w:r>
    </w:p>
    <w:p w:rsidR="001F39F2" w:rsidRPr="005F62E2" w:rsidRDefault="001F39F2" w:rsidP="00585E2C">
      <w:pPr>
        <w:pStyle w:val="Heading5"/>
      </w:pPr>
      <w:r w:rsidRPr="005F62E2">
        <w:t>Quality assurance processes</w:t>
      </w:r>
    </w:p>
    <w:p w:rsidR="001F39F2" w:rsidRDefault="001F39F2" w:rsidP="00585E2C">
      <w:pPr>
        <w:pStyle w:val="BodyText"/>
      </w:pPr>
      <w:r w:rsidRPr="005F62E2">
        <w:t xml:space="preserve">‘Quality assurance processes’ </w:t>
      </w:r>
      <w:r w:rsidR="00DA5D20" w:rsidRPr="005F62E2">
        <w:t>is</w:t>
      </w:r>
      <w:r w:rsidRPr="005F62E2">
        <w:t xml:space="preserve"> related to governments’ objective to deliver and fund </w:t>
      </w:r>
      <w:r w:rsidR="00DA5D20" w:rsidRPr="005F62E2">
        <w:t xml:space="preserve">disability </w:t>
      </w:r>
      <w:r w:rsidRPr="005F62E2">
        <w:t>services that meet a particular standard of quality (box</w:t>
      </w:r>
      <w:r w:rsidR="00AE3578">
        <w:t> </w:t>
      </w:r>
      <w:r w:rsidRPr="005F62E2">
        <w:t>14.</w:t>
      </w:r>
      <w:r w:rsidR="00525A0A" w:rsidRPr="005F62E2">
        <w:t>12</w:t>
      </w:r>
      <w:r w:rsidR="00626455">
        <w:t>).</w:t>
      </w:r>
    </w:p>
    <w:p w:rsidR="00626455" w:rsidRDefault="0062645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6455" w:rsidTr="00C827D5">
        <w:tc>
          <w:tcPr>
            <w:tcW w:w="8771" w:type="dxa"/>
            <w:tcBorders>
              <w:top w:val="single" w:sz="6" w:space="0" w:color="78A22F"/>
              <w:left w:val="nil"/>
              <w:bottom w:val="nil"/>
              <w:right w:val="nil"/>
            </w:tcBorders>
            <w:shd w:val="clear" w:color="auto" w:fill="F2F2F2"/>
          </w:tcPr>
          <w:p w:rsidR="00626455" w:rsidRDefault="00626455" w:rsidP="00626455">
            <w:pPr>
              <w:pStyle w:val="BoxTitle"/>
            </w:pPr>
            <w:r>
              <w:rPr>
                <w:b w:val="0"/>
              </w:rPr>
              <w:t xml:space="preserve">Box </w:t>
            </w:r>
            <w:r w:rsidR="00321568">
              <w:rPr>
                <w:b w:val="0"/>
              </w:rPr>
              <w:t>14.</w:t>
            </w:r>
            <w:r w:rsidR="0085284B">
              <w:rPr>
                <w:b w:val="0"/>
                <w:noProof/>
              </w:rPr>
              <w:t>12</w:t>
            </w:r>
            <w:r>
              <w:tab/>
            </w:r>
            <w:r w:rsidRPr="00BA46E0">
              <w:t>Quality assurance processes</w:t>
            </w:r>
          </w:p>
        </w:tc>
      </w:tr>
      <w:tr w:rsidR="00626455" w:rsidTr="00C827D5">
        <w:trPr>
          <w:cantSplit/>
        </w:trPr>
        <w:tc>
          <w:tcPr>
            <w:tcW w:w="8771" w:type="dxa"/>
            <w:tcBorders>
              <w:top w:val="nil"/>
              <w:left w:val="nil"/>
              <w:bottom w:val="nil"/>
              <w:right w:val="nil"/>
            </w:tcBorders>
            <w:shd w:val="clear" w:color="auto" w:fill="F2F2F2"/>
          </w:tcPr>
          <w:p w:rsidR="00626455" w:rsidRPr="00BA46E0" w:rsidRDefault="00626455" w:rsidP="00626455">
            <w:pPr>
              <w:pStyle w:val="Box"/>
            </w:pPr>
            <w:r w:rsidRPr="00BA46E0">
              <w:t xml:space="preserve">‘Quality assurance processes’ is defined as the proportion of NDA </w:t>
            </w:r>
            <w:r w:rsidRPr="00BA46E0">
              <w:br/>
              <w:t>disability service outlets that have been assessed (either by an external agency or through a self</w:t>
            </w:r>
            <w:r w:rsidR="00B84AF2">
              <w:noBreakHyphen/>
            </w:r>
            <w:r w:rsidRPr="00BA46E0">
              <w:t xml:space="preserve">assessment process) against service standards. </w:t>
            </w:r>
          </w:p>
          <w:p w:rsidR="00626455" w:rsidRPr="00BA46E0" w:rsidRDefault="00626455" w:rsidP="00626455">
            <w:pPr>
              <w:pStyle w:val="Box"/>
            </w:pPr>
            <w:r w:rsidRPr="00BA46E0">
              <w:t xml:space="preserve">A high or increasing proportion of disability service outlets that have been assessed against the standards (and are found to be compliant) </w:t>
            </w:r>
            <w:proofErr w:type="gramStart"/>
            <w:r w:rsidRPr="00BA46E0">
              <w:t>suggests</w:t>
            </w:r>
            <w:proofErr w:type="gramEnd"/>
            <w:r w:rsidRPr="00BA46E0">
              <w:t xml:space="preserve"> an improvement in the quality of government delivered or funded specialist disability services. </w:t>
            </w:r>
          </w:p>
          <w:p w:rsidR="00626455" w:rsidRPr="00BA46E0" w:rsidRDefault="00626455" w:rsidP="00626455">
            <w:pPr>
              <w:pStyle w:val="Box"/>
            </w:pPr>
            <w:r w:rsidRPr="00BA46E0">
              <w:t xml:space="preserve">This indicator does not provide information on whether the standards or the quality assurance processes are appropriate. In addition, service outlets that are not quality assessed do not necessarily deliver services of lower quality. </w:t>
            </w:r>
          </w:p>
          <w:p w:rsidR="00626455" w:rsidRPr="00FA16C2" w:rsidRDefault="00626455" w:rsidP="00626455">
            <w:pPr>
              <w:pStyle w:val="Box"/>
            </w:pPr>
            <w:r w:rsidRPr="00FA16C2">
              <w:t>Data reported for this measure are:</w:t>
            </w:r>
          </w:p>
          <w:p w:rsidR="00626455" w:rsidRPr="008F5F24" w:rsidRDefault="00626455" w:rsidP="00FA16C2">
            <w:pPr>
              <w:pStyle w:val="BoxListBullet"/>
              <w:rPr>
                <w:lang w:eastAsia="en-US"/>
              </w:rPr>
            </w:pPr>
            <w:r w:rsidRPr="008F5F24">
              <w:rPr>
                <w:lang w:eastAsia="en-US"/>
              </w:rPr>
              <w:t xml:space="preserve">comparable (subject to caveats) within jurisdictions over time but are not comparable across jurisdictions </w:t>
            </w:r>
          </w:p>
          <w:p w:rsidR="00626455" w:rsidRPr="00E340C1" w:rsidRDefault="00626455" w:rsidP="00FA16C2">
            <w:pPr>
              <w:pStyle w:val="BoxListBullet"/>
              <w:rPr>
                <w:lang w:eastAsia="en-US"/>
              </w:rPr>
            </w:pPr>
            <w:proofErr w:type="gramStart"/>
            <w:r w:rsidRPr="00E340C1">
              <w:rPr>
                <w:lang w:eastAsia="en-US"/>
              </w:rPr>
              <w:t>complete</w:t>
            </w:r>
            <w:proofErr w:type="gramEnd"/>
            <w:r w:rsidRPr="00E340C1">
              <w:rPr>
                <w:lang w:eastAsia="en-US"/>
              </w:rPr>
              <w:t xml:space="preserve"> (subject to caveats) for the current reporting period. </w:t>
            </w:r>
            <w:r w:rsidRPr="003649E8">
              <w:rPr>
                <w:lang w:eastAsia="en-US"/>
              </w:rPr>
              <w:t xml:space="preserve">All required </w:t>
            </w:r>
            <w:r w:rsidR="0078212A" w:rsidRPr="00FA16C2">
              <w:rPr>
                <w:lang w:eastAsia="en-US"/>
              </w:rPr>
              <w:t>2013</w:t>
            </w:r>
            <w:r w:rsidR="00B84AF2">
              <w:rPr>
                <w:lang w:eastAsia="en-US"/>
              </w:rPr>
              <w:noBreakHyphen/>
            </w:r>
            <w:r w:rsidR="0078212A" w:rsidRPr="00FA16C2">
              <w:rPr>
                <w:lang w:eastAsia="en-US"/>
              </w:rPr>
              <w:t>14</w:t>
            </w:r>
            <w:r w:rsidRPr="00E340C1">
              <w:rPr>
                <w:lang w:eastAsia="en-US"/>
              </w:rPr>
              <w:t xml:space="preserve"> data are available for all jurisdictions.</w:t>
            </w:r>
          </w:p>
          <w:p w:rsidR="00626455" w:rsidRDefault="00626455" w:rsidP="00626455">
            <w:pPr>
              <w:pStyle w:val="Box"/>
            </w:pPr>
            <w:r w:rsidRPr="00FA16C2">
              <w:t>Data quality information for this indicator is under development.</w:t>
            </w:r>
          </w:p>
        </w:tc>
      </w:tr>
      <w:tr w:rsidR="00626455" w:rsidTr="00C827D5">
        <w:trPr>
          <w:cantSplit/>
        </w:trPr>
        <w:tc>
          <w:tcPr>
            <w:tcW w:w="8771" w:type="dxa"/>
            <w:tcBorders>
              <w:top w:val="nil"/>
              <w:left w:val="nil"/>
              <w:bottom w:val="single" w:sz="6" w:space="0" w:color="78A22F"/>
              <w:right w:val="nil"/>
            </w:tcBorders>
            <w:shd w:val="clear" w:color="auto" w:fill="F2F2F2"/>
          </w:tcPr>
          <w:p w:rsidR="00626455" w:rsidRDefault="00626455">
            <w:pPr>
              <w:pStyle w:val="Box"/>
              <w:spacing w:before="0" w:line="120" w:lineRule="exact"/>
            </w:pPr>
          </w:p>
        </w:tc>
      </w:tr>
      <w:tr w:rsidR="00626455" w:rsidRPr="000863A5" w:rsidTr="00C827D5">
        <w:tc>
          <w:tcPr>
            <w:tcW w:w="8771" w:type="dxa"/>
            <w:tcBorders>
              <w:top w:val="single" w:sz="6" w:space="0" w:color="78A22F"/>
              <w:left w:val="nil"/>
              <w:bottom w:val="nil"/>
              <w:right w:val="nil"/>
            </w:tcBorders>
          </w:tcPr>
          <w:p w:rsidR="00626455" w:rsidRPr="00626D32" w:rsidRDefault="00626455" w:rsidP="00C827D5">
            <w:pPr>
              <w:pStyle w:val="BoxSpaceBelow"/>
            </w:pPr>
          </w:p>
        </w:tc>
      </w:tr>
    </w:tbl>
    <w:p w:rsidR="001F39F2" w:rsidRPr="009603FD" w:rsidRDefault="001F39F2" w:rsidP="0040202F">
      <w:pPr>
        <w:pStyle w:val="BodyText"/>
      </w:pPr>
      <w:r w:rsidRPr="00FA16C2">
        <w:t xml:space="preserve">A </w:t>
      </w:r>
      <w:r w:rsidR="005F62E2" w:rsidRPr="00FA16C2">
        <w:t xml:space="preserve">revised </w:t>
      </w:r>
      <w:r w:rsidRPr="00FA16C2">
        <w:t xml:space="preserve">set of </w:t>
      </w:r>
      <w:r w:rsidR="005F62E2" w:rsidRPr="00FA16C2">
        <w:t xml:space="preserve">six National Standards for Disability Services (National Standards) </w:t>
      </w:r>
      <w:r w:rsidRPr="00FA16C2">
        <w:t xml:space="preserve">were </w:t>
      </w:r>
      <w:r w:rsidR="005F62E2" w:rsidRPr="00FA16C2">
        <w:t xml:space="preserve">endorsed by the Australian Government and all State and Territory governments in December 2013 </w:t>
      </w:r>
      <w:r w:rsidRPr="00FA16C2">
        <w:t>(box 14.</w:t>
      </w:r>
      <w:r w:rsidR="00525A0A" w:rsidRPr="00FA16C2">
        <w:t>13</w:t>
      </w:r>
      <w:r w:rsidRPr="00FA16C2">
        <w:t xml:space="preserve">). </w:t>
      </w:r>
      <w:r w:rsidR="00DA5D20" w:rsidRPr="00FA16C2">
        <w:t>T</w:t>
      </w:r>
      <w:r w:rsidRPr="00FA16C2">
        <w:t>he Australian Government and all State and Territory governments agreed to implement these minimum standards</w:t>
      </w:r>
      <w:r w:rsidR="00DB3A32">
        <w:t xml:space="preserve">. </w:t>
      </w:r>
      <w:r w:rsidRPr="009603FD">
        <w:t>All State and Territory governments have developed, or are in the process of developing</w:t>
      </w:r>
      <w:r w:rsidR="003B12F3" w:rsidRPr="009603FD">
        <w:t xml:space="preserve"> or </w:t>
      </w:r>
      <w:r w:rsidRPr="009603FD">
        <w:t>re</w:t>
      </w:r>
      <w:r w:rsidR="00B84AF2">
        <w:noBreakHyphen/>
      </w:r>
      <w:r w:rsidRPr="009603FD">
        <w:t>developing, mechanisms for assessing compliance with</w:t>
      </w:r>
      <w:r w:rsidR="008C3F77">
        <w:t xml:space="preserve"> the</w:t>
      </w:r>
      <w:r w:rsidRPr="009603FD">
        <w:t xml:space="preserve"> standards (</w:t>
      </w:r>
      <w:proofErr w:type="gramStart"/>
      <w:r w:rsidRPr="009603FD">
        <w:t>tables</w:t>
      </w:r>
      <w:proofErr w:type="gramEnd"/>
      <w:r w:rsidR="00AE3578">
        <w:t> </w:t>
      </w:r>
      <w:r w:rsidRPr="009603FD">
        <w:t>14A.</w:t>
      </w:r>
      <w:r w:rsidR="00402536" w:rsidRPr="009603FD">
        <w:t>6</w:t>
      </w:r>
      <w:r w:rsidR="00402536">
        <w:t>9</w:t>
      </w:r>
      <w:r w:rsidRPr="009603FD">
        <w:t>–</w:t>
      </w:r>
      <w:r w:rsidR="00402536" w:rsidRPr="009603FD">
        <w:t>7</w:t>
      </w:r>
      <w:r w:rsidR="00402536">
        <w:t>7</w:t>
      </w:r>
      <w:r w:rsidRPr="009603FD">
        <w:t xml:space="preserve">). </w:t>
      </w:r>
    </w:p>
    <w:p w:rsidR="00626455" w:rsidRDefault="0062645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6455" w:rsidTr="00C827D5">
        <w:tc>
          <w:tcPr>
            <w:tcW w:w="8771" w:type="dxa"/>
            <w:tcBorders>
              <w:top w:val="single" w:sz="6" w:space="0" w:color="78A22F"/>
              <w:left w:val="nil"/>
              <w:bottom w:val="nil"/>
              <w:right w:val="nil"/>
            </w:tcBorders>
            <w:shd w:val="clear" w:color="auto" w:fill="F2F2F2"/>
          </w:tcPr>
          <w:p w:rsidR="00626455" w:rsidRDefault="00626455">
            <w:pPr>
              <w:pStyle w:val="BoxTitle"/>
            </w:pPr>
            <w:r>
              <w:rPr>
                <w:b w:val="0"/>
              </w:rPr>
              <w:t xml:space="preserve">Box </w:t>
            </w:r>
            <w:r w:rsidR="00321568">
              <w:rPr>
                <w:b w:val="0"/>
              </w:rPr>
              <w:t>14.</w:t>
            </w:r>
            <w:r w:rsidR="0085284B">
              <w:rPr>
                <w:b w:val="0"/>
                <w:noProof/>
              </w:rPr>
              <w:t>13</w:t>
            </w:r>
            <w:r>
              <w:tab/>
            </w:r>
            <w:r w:rsidRPr="00626455">
              <w:t>National Disability Service Standards</w:t>
            </w:r>
          </w:p>
        </w:tc>
      </w:tr>
      <w:tr w:rsidR="00626455" w:rsidTr="00C827D5">
        <w:trPr>
          <w:cantSplit/>
        </w:trPr>
        <w:tc>
          <w:tcPr>
            <w:tcW w:w="8771" w:type="dxa"/>
            <w:tcBorders>
              <w:top w:val="nil"/>
              <w:left w:val="nil"/>
              <w:bottom w:val="nil"/>
              <w:right w:val="nil"/>
            </w:tcBorders>
            <w:shd w:val="clear" w:color="auto" w:fill="F2F2F2"/>
          </w:tcPr>
          <w:p w:rsidR="00626455" w:rsidRPr="00626455" w:rsidRDefault="00626455" w:rsidP="00626455">
            <w:pPr>
              <w:pStyle w:val="Box"/>
              <w:rPr>
                <w:b/>
              </w:rPr>
            </w:pPr>
            <w:r w:rsidRPr="00626455">
              <w:rPr>
                <w:b/>
              </w:rPr>
              <w:t>Standard One — Rights</w:t>
            </w:r>
          </w:p>
          <w:p w:rsidR="00626455" w:rsidRDefault="00626455" w:rsidP="00626455">
            <w:pPr>
              <w:pStyle w:val="Box"/>
            </w:pPr>
            <w:r>
              <w:t>The service promotes individual rights to freedom of expression, self</w:t>
            </w:r>
            <w:r w:rsidR="00B84AF2">
              <w:noBreakHyphen/>
            </w:r>
            <w:r>
              <w:t>determination and decision</w:t>
            </w:r>
            <w:r w:rsidR="00B84AF2">
              <w:noBreakHyphen/>
            </w:r>
            <w:r>
              <w:t>making and actively prevents abuse, harm, neglect and violence.</w:t>
            </w:r>
          </w:p>
          <w:p w:rsidR="00626455" w:rsidRPr="00626455" w:rsidRDefault="00626455" w:rsidP="00626455">
            <w:pPr>
              <w:pStyle w:val="Box"/>
              <w:rPr>
                <w:b/>
              </w:rPr>
            </w:pPr>
            <w:r w:rsidRPr="00626455">
              <w:rPr>
                <w:b/>
              </w:rPr>
              <w:t>Standard Two — Participation and Inclusion</w:t>
            </w:r>
          </w:p>
          <w:p w:rsidR="00626455" w:rsidRDefault="00626455" w:rsidP="00626455">
            <w:pPr>
              <w:pStyle w:val="Box"/>
            </w:pPr>
            <w:r>
              <w:t>The service works with individuals and families, friends and carers to promote opportunities for meaningful participation and active inclusion in society.</w:t>
            </w:r>
          </w:p>
          <w:p w:rsidR="00626455" w:rsidRPr="00626455" w:rsidRDefault="00626455" w:rsidP="00626455">
            <w:pPr>
              <w:pStyle w:val="Box"/>
              <w:rPr>
                <w:b/>
              </w:rPr>
            </w:pPr>
            <w:r w:rsidRPr="00626455">
              <w:rPr>
                <w:b/>
              </w:rPr>
              <w:t>Standard Three — Individual Outcomes</w:t>
            </w:r>
          </w:p>
          <w:p w:rsidR="00626455" w:rsidRDefault="00626455" w:rsidP="00626455">
            <w:pPr>
              <w:pStyle w:val="Box"/>
            </w:pPr>
            <w:r>
              <w:t>Services and supports are assessed, planned, delivered and reviewed to build on individual strengths and enable individuals to reach their goals.</w:t>
            </w:r>
          </w:p>
          <w:p w:rsidR="00626455" w:rsidRPr="00626455" w:rsidRDefault="00626455" w:rsidP="00626455">
            <w:pPr>
              <w:pStyle w:val="Box"/>
              <w:rPr>
                <w:b/>
              </w:rPr>
            </w:pPr>
            <w:r w:rsidRPr="00626455">
              <w:rPr>
                <w:b/>
              </w:rPr>
              <w:t>Standard Four — Feedback and Complaints</w:t>
            </w:r>
          </w:p>
          <w:p w:rsidR="00626455" w:rsidRDefault="00626455" w:rsidP="00626455">
            <w:pPr>
              <w:pStyle w:val="Box"/>
            </w:pPr>
            <w:r>
              <w:t>Regular feedback is sought and used to inform individual and organisation</w:t>
            </w:r>
            <w:r w:rsidR="00B84AF2">
              <w:noBreakHyphen/>
            </w:r>
            <w:r>
              <w:t>wide service reviews and improvement.</w:t>
            </w:r>
          </w:p>
          <w:p w:rsidR="00626455" w:rsidRPr="00626455" w:rsidRDefault="00626455" w:rsidP="00626455">
            <w:pPr>
              <w:pStyle w:val="Box"/>
              <w:rPr>
                <w:b/>
              </w:rPr>
            </w:pPr>
            <w:r w:rsidRPr="00626455">
              <w:rPr>
                <w:b/>
              </w:rPr>
              <w:t>Standard Five — Service Access</w:t>
            </w:r>
          </w:p>
          <w:p w:rsidR="00626455" w:rsidRDefault="00626455" w:rsidP="00626455">
            <w:pPr>
              <w:pStyle w:val="Box"/>
            </w:pPr>
            <w:r>
              <w:t>The service manages access, commencement and leaving a service in a transparent, fair, equal and responsive way.</w:t>
            </w:r>
          </w:p>
          <w:p w:rsidR="00626455" w:rsidRPr="00626455" w:rsidRDefault="00626455" w:rsidP="00626455">
            <w:pPr>
              <w:pStyle w:val="Box"/>
              <w:rPr>
                <w:b/>
              </w:rPr>
            </w:pPr>
            <w:r w:rsidRPr="00626455">
              <w:rPr>
                <w:b/>
              </w:rPr>
              <w:t>Standard Six — Service Management</w:t>
            </w:r>
          </w:p>
          <w:p w:rsidR="00626455" w:rsidRDefault="00626455" w:rsidP="00626455">
            <w:pPr>
              <w:pStyle w:val="Box"/>
            </w:pPr>
            <w:r>
              <w:t>The service has effective and accountable service</w:t>
            </w:r>
            <w:r w:rsidR="007D611F">
              <w:t xml:space="preserve"> </w:t>
            </w:r>
            <w:r w:rsidR="007D611F" w:rsidRPr="00DF3B3B">
              <w:t>management and leadership to maximise outcomes for individuals.</w:t>
            </w:r>
          </w:p>
        </w:tc>
      </w:tr>
      <w:tr w:rsidR="00626455" w:rsidTr="00C827D5">
        <w:trPr>
          <w:cantSplit/>
        </w:trPr>
        <w:tc>
          <w:tcPr>
            <w:tcW w:w="8771" w:type="dxa"/>
            <w:tcBorders>
              <w:top w:val="nil"/>
              <w:left w:val="nil"/>
              <w:bottom w:val="nil"/>
              <w:right w:val="nil"/>
            </w:tcBorders>
            <w:shd w:val="clear" w:color="auto" w:fill="F2F2F2"/>
          </w:tcPr>
          <w:p w:rsidR="00626455" w:rsidRDefault="00626455" w:rsidP="00417B0B">
            <w:pPr>
              <w:pStyle w:val="BoxSource"/>
            </w:pPr>
            <w:r w:rsidRPr="00417B0B">
              <w:rPr>
                <w:i/>
              </w:rPr>
              <w:t>Source</w:t>
            </w:r>
            <w:r w:rsidRPr="00184F38">
              <w:t xml:space="preserve">: </w:t>
            </w:r>
            <w:r w:rsidR="00894BE1" w:rsidRPr="0040202F">
              <w:t>DSS</w:t>
            </w:r>
            <w:r w:rsidR="00184F38" w:rsidRPr="0040202F">
              <w:t xml:space="preserve"> (20</w:t>
            </w:r>
            <w:r w:rsidR="00184F38" w:rsidRPr="00417B0B">
              <w:t>13)</w:t>
            </w:r>
            <w:r w:rsidR="00184F38" w:rsidRPr="0040202F">
              <w:t xml:space="preserve"> </w:t>
            </w:r>
            <w:r w:rsidR="00184F38" w:rsidRPr="0040202F">
              <w:rPr>
                <w:i/>
              </w:rPr>
              <w:t>National Standards for Disability Services.</w:t>
            </w:r>
          </w:p>
        </w:tc>
      </w:tr>
      <w:tr w:rsidR="00626455" w:rsidTr="00C827D5">
        <w:trPr>
          <w:cantSplit/>
        </w:trPr>
        <w:tc>
          <w:tcPr>
            <w:tcW w:w="8771" w:type="dxa"/>
            <w:tcBorders>
              <w:top w:val="nil"/>
              <w:left w:val="nil"/>
              <w:bottom w:val="single" w:sz="6" w:space="0" w:color="78A22F"/>
              <w:right w:val="nil"/>
            </w:tcBorders>
            <w:shd w:val="clear" w:color="auto" w:fill="F2F2F2"/>
          </w:tcPr>
          <w:p w:rsidR="00626455" w:rsidRDefault="00626455">
            <w:pPr>
              <w:pStyle w:val="Box"/>
              <w:spacing w:before="0" w:line="120" w:lineRule="exact"/>
            </w:pPr>
          </w:p>
        </w:tc>
      </w:tr>
      <w:tr w:rsidR="00626455" w:rsidRPr="000863A5" w:rsidTr="00C827D5">
        <w:tc>
          <w:tcPr>
            <w:tcW w:w="8771" w:type="dxa"/>
            <w:tcBorders>
              <w:top w:val="single" w:sz="6" w:space="0" w:color="78A22F"/>
              <w:left w:val="nil"/>
              <w:bottom w:val="nil"/>
              <w:right w:val="nil"/>
            </w:tcBorders>
          </w:tcPr>
          <w:p w:rsidR="00626455" w:rsidRPr="00626D32" w:rsidRDefault="00626455" w:rsidP="00C827D5">
            <w:pPr>
              <w:pStyle w:val="BoxSpaceBelow"/>
            </w:pPr>
          </w:p>
        </w:tc>
      </w:tr>
    </w:tbl>
    <w:p w:rsidR="001F39F2" w:rsidRPr="0040202F" w:rsidRDefault="00DA5D20" w:rsidP="00585E2C">
      <w:pPr>
        <w:pStyle w:val="BodyText"/>
      </w:pPr>
      <w:r w:rsidRPr="0040202F">
        <w:t>Q</w:t>
      </w:r>
      <w:r w:rsidR="001F39F2" w:rsidRPr="0040202F">
        <w:t>uality assurance processes differ across jurisdictions. Most processes include some form of self</w:t>
      </w:r>
      <w:r w:rsidR="00B84AF2">
        <w:noBreakHyphen/>
      </w:r>
      <w:r w:rsidR="001F39F2" w:rsidRPr="0040202F">
        <w:t xml:space="preserve">assessment. Many </w:t>
      </w:r>
      <w:r w:rsidRPr="0040202F">
        <w:t>include</w:t>
      </w:r>
      <w:r w:rsidR="001F39F2" w:rsidRPr="0040202F">
        <w:t xml:space="preserve">, or are working toward implementing, an external third party audit/certification process. </w:t>
      </w:r>
    </w:p>
    <w:p w:rsidR="001F39F2" w:rsidRPr="0040202F" w:rsidRDefault="001F39F2" w:rsidP="00585E2C">
      <w:pPr>
        <w:pStyle w:val="BodyText"/>
      </w:pPr>
      <w:r w:rsidRPr="0040202F">
        <w:t xml:space="preserve">Data on quality assurance processes in </w:t>
      </w:r>
      <w:r w:rsidR="00106A49" w:rsidRPr="0040202F">
        <w:t>201</w:t>
      </w:r>
      <w:r w:rsidR="006F166D" w:rsidRPr="0040202F">
        <w:t>3</w:t>
      </w:r>
      <w:r w:rsidR="00B84AF2">
        <w:noBreakHyphen/>
      </w:r>
      <w:r w:rsidR="00106A49" w:rsidRPr="0040202F">
        <w:t>1</w:t>
      </w:r>
      <w:r w:rsidR="006F166D" w:rsidRPr="0040202F">
        <w:t>4</w:t>
      </w:r>
      <w:r w:rsidR="00106A49" w:rsidRPr="0040202F">
        <w:t xml:space="preserve"> </w:t>
      </w:r>
      <w:r w:rsidRPr="0040202F">
        <w:t>are reported in box</w:t>
      </w:r>
      <w:r w:rsidR="00AE3578">
        <w:t> </w:t>
      </w:r>
      <w:r w:rsidRPr="0040202F">
        <w:t>14.</w:t>
      </w:r>
      <w:r w:rsidR="006F166D" w:rsidRPr="0040202F">
        <w:t>1</w:t>
      </w:r>
      <w:r w:rsidR="009603FD">
        <w:t>4</w:t>
      </w:r>
      <w:r w:rsidRPr="0040202F">
        <w:t>.</w:t>
      </w:r>
      <w:r w:rsidR="0019455A">
        <w:t xml:space="preserve"> </w:t>
      </w:r>
      <w:r w:rsidRPr="0040202F">
        <w:t xml:space="preserve">These results should be interpreted with reference to </w:t>
      </w:r>
      <w:proofErr w:type="gramStart"/>
      <w:r w:rsidRPr="0040202F">
        <w:t>tables</w:t>
      </w:r>
      <w:proofErr w:type="gramEnd"/>
      <w:r w:rsidR="00AE3578">
        <w:t> </w:t>
      </w:r>
      <w:r w:rsidRPr="0040202F">
        <w:t>14A.</w:t>
      </w:r>
      <w:r w:rsidR="00402536" w:rsidRPr="0040202F">
        <w:t>6</w:t>
      </w:r>
      <w:r w:rsidR="00402536">
        <w:t>9</w:t>
      </w:r>
      <w:r w:rsidRPr="0040202F">
        <w:t>–</w:t>
      </w:r>
      <w:r w:rsidR="00402536" w:rsidRPr="0040202F">
        <w:t>7</w:t>
      </w:r>
      <w:r w:rsidR="00402536">
        <w:t>7</w:t>
      </w:r>
      <w:r w:rsidR="00DA5D20" w:rsidRPr="0040202F">
        <w:t>, which</w:t>
      </w:r>
      <w:r w:rsidRPr="0040202F">
        <w:t xml:space="preserve"> contain information on the legislation under which jurisdictions implement standards, the relevant disability service standard</w:t>
      </w:r>
      <w:r w:rsidR="00626455" w:rsidRPr="0040202F">
        <w:t>s and how quality is monitored.</w:t>
      </w:r>
    </w:p>
    <w:p w:rsidR="00626455" w:rsidRDefault="0062645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6455" w:rsidTr="00C827D5">
        <w:tc>
          <w:tcPr>
            <w:tcW w:w="8771" w:type="dxa"/>
            <w:tcBorders>
              <w:top w:val="single" w:sz="6" w:space="0" w:color="78A22F"/>
              <w:left w:val="nil"/>
              <w:bottom w:val="nil"/>
              <w:right w:val="nil"/>
            </w:tcBorders>
            <w:shd w:val="clear" w:color="auto" w:fill="F2F2F2"/>
          </w:tcPr>
          <w:p w:rsidR="00626455" w:rsidRDefault="00626455">
            <w:pPr>
              <w:pStyle w:val="BoxTitle"/>
            </w:pPr>
            <w:r>
              <w:rPr>
                <w:b w:val="0"/>
              </w:rPr>
              <w:t xml:space="preserve">Box </w:t>
            </w:r>
            <w:r w:rsidR="00321568">
              <w:rPr>
                <w:b w:val="0"/>
              </w:rPr>
              <w:t>14.</w:t>
            </w:r>
            <w:r w:rsidR="0085284B">
              <w:rPr>
                <w:b w:val="0"/>
                <w:noProof/>
              </w:rPr>
              <w:t>14</w:t>
            </w:r>
            <w:r>
              <w:tab/>
            </w:r>
            <w:r w:rsidRPr="00362A4D">
              <w:t>Quality assurance processes for NDA specialist disability services 2013</w:t>
            </w:r>
            <w:r w:rsidR="00B84AF2">
              <w:noBreakHyphen/>
            </w:r>
            <w:r w:rsidRPr="00362A4D">
              <w:t>14</w:t>
            </w:r>
          </w:p>
        </w:tc>
      </w:tr>
      <w:tr w:rsidR="00626455" w:rsidTr="00C827D5">
        <w:trPr>
          <w:cantSplit/>
        </w:trPr>
        <w:tc>
          <w:tcPr>
            <w:tcW w:w="8771" w:type="dxa"/>
            <w:tcBorders>
              <w:top w:val="nil"/>
              <w:left w:val="nil"/>
              <w:bottom w:val="nil"/>
              <w:right w:val="nil"/>
            </w:tcBorders>
            <w:shd w:val="clear" w:color="auto" w:fill="F2F2F2"/>
          </w:tcPr>
          <w:p w:rsidR="00626455" w:rsidRDefault="00626455" w:rsidP="00626455">
            <w:pPr>
              <w:pStyle w:val="BoxHeading1"/>
              <w:keepNext w:val="0"/>
              <w:spacing w:line="260" w:lineRule="atLeast"/>
            </w:pPr>
            <w:r w:rsidRPr="00362A4D">
              <w:t>Australian Government</w:t>
            </w:r>
          </w:p>
          <w:p w:rsidR="000A0334" w:rsidRPr="0040202F" w:rsidRDefault="000A0334" w:rsidP="0040202F">
            <w:pPr>
              <w:pStyle w:val="Box"/>
              <w:rPr>
                <w:lang w:eastAsia="en-US"/>
              </w:rPr>
            </w:pPr>
            <w:r w:rsidRPr="0040202F">
              <w:rPr>
                <w:lang w:eastAsia="en-US"/>
              </w:rPr>
              <w:t>At 30</w:t>
            </w:r>
            <w:r w:rsidR="00B84AF2">
              <w:rPr>
                <w:lang w:eastAsia="en-US"/>
              </w:rPr>
              <w:t> </w:t>
            </w:r>
            <w:r w:rsidRPr="0040202F">
              <w:rPr>
                <w:lang w:eastAsia="en-US"/>
              </w:rPr>
              <w:t>June 2</w:t>
            </w:r>
            <w:r w:rsidR="0040202F">
              <w:rPr>
                <w:lang w:eastAsia="en-US"/>
              </w:rPr>
              <w:t xml:space="preserve">014, the Australian Government </w:t>
            </w:r>
            <w:r w:rsidRPr="0040202F">
              <w:rPr>
                <w:lang w:eastAsia="en-US"/>
              </w:rPr>
              <w:t>funded a total of 333 disability employment organi</w:t>
            </w:r>
            <w:r w:rsidR="009603FD" w:rsidRPr="009603FD">
              <w:rPr>
                <w:lang w:eastAsia="en-US"/>
              </w:rPr>
              <w:t>sations comprising a total of 2</w:t>
            </w:r>
            <w:r w:rsidRPr="0040202F">
              <w:rPr>
                <w:lang w:eastAsia="en-US"/>
              </w:rPr>
              <w:t>528 outlets across Australia. Of these:</w:t>
            </w:r>
          </w:p>
          <w:p w:rsidR="000A0334" w:rsidRPr="009603FD" w:rsidRDefault="000A0334" w:rsidP="0040202F">
            <w:pPr>
              <w:pStyle w:val="BoxListBullet"/>
              <w:rPr>
                <w:szCs w:val="24"/>
              </w:rPr>
            </w:pPr>
            <w:r w:rsidRPr="009603FD">
              <w:t>Disability Employment Services (DES) made up 142 (43 per cent) of the organisations but accounted for 2229 (88 per</w:t>
            </w:r>
            <w:r w:rsidRPr="0040202F">
              <w:t xml:space="preserve"> cent) of total outlets</w:t>
            </w:r>
          </w:p>
          <w:p w:rsidR="000A0334" w:rsidRPr="009603FD" w:rsidRDefault="000A0334" w:rsidP="0040202F">
            <w:pPr>
              <w:pStyle w:val="BoxListBullet"/>
              <w:rPr>
                <w:szCs w:val="24"/>
              </w:rPr>
            </w:pPr>
            <w:r w:rsidRPr="009603FD">
              <w:t>Australian Disability Enterprises (ADE)</w:t>
            </w:r>
            <w:r w:rsidR="0019455A">
              <w:t xml:space="preserve"> </w:t>
            </w:r>
            <w:r w:rsidRPr="009603FD">
              <w:t>made up</w:t>
            </w:r>
            <w:r w:rsidR="0040202F">
              <w:t xml:space="preserve"> </w:t>
            </w:r>
            <w:r w:rsidRPr="009603FD">
              <w:t xml:space="preserve">191 (57 per cent) of the organisations, with 299 </w:t>
            </w:r>
            <w:r w:rsidRPr="0040202F">
              <w:t>(11 per cent) of total outlets</w:t>
            </w:r>
          </w:p>
          <w:p w:rsidR="000A0334" w:rsidRPr="009603FD" w:rsidRDefault="000A0334" w:rsidP="0040202F">
            <w:pPr>
              <w:pStyle w:val="BoxListBullet"/>
              <w:rPr>
                <w:szCs w:val="24"/>
              </w:rPr>
            </w:pPr>
            <w:r w:rsidRPr="009603FD">
              <w:t xml:space="preserve">50 (15 per cent) </w:t>
            </w:r>
            <w:r w:rsidR="0040202F">
              <w:t xml:space="preserve">of </w:t>
            </w:r>
            <w:r w:rsidR="008C3F77">
              <w:t xml:space="preserve">the </w:t>
            </w:r>
            <w:r w:rsidRPr="009603FD">
              <w:t>organisations operated as dual funded (both D</w:t>
            </w:r>
            <w:r w:rsidRPr="0040202F">
              <w:t>ES and ADE) employment services</w:t>
            </w:r>
            <w:r w:rsidR="00694D06">
              <w:t>.</w:t>
            </w:r>
          </w:p>
          <w:p w:rsidR="008C3F77" w:rsidRDefault="008C3F77" w:rsidP="008C3F77">
            <w:pPr>
              <w:pStyle w:val="Box"/>
            </w:pPr>
            <w:r>
              <w:t>I</w:t>
            </w:r>
            <w:r w:rsidR="00980814">
              <w:t>n 2013</w:t>
            </w:r>
            <w:r w:rsidR="00B84AF2">
              <w:noBreakHyphen/>
            </w:r>
            <w:r>
              <w:t>14:</w:t>
            </w:r>
          </w:p>
          <w:p w:rsidR="000A0334" w:rsidRPr="009603FD" w:rsidRDefault="000A0334" w:rsidP="008C3F77">
            <w:pPr>
              <w:pStyle w:val="BoxListBullet"/>
              <w:rPr>
                <w:szCs w:val="24"/>
              </w:rPr>
            </w:pPr>
            <w:r w:rsidRPr="009603FD">
              <w:t>a total of 329 quality assurance audits were performed at 146 DES organisations, 138 ADE organisations and 45 dual (both DES</w:t>
            </w:r>
            <w:r w:rsidRPr="0040202F">
              <w:t xml:space="preserve"> and ADE) funded organisations</w:t>
            </w:r>
          </w:p>
          <w:p w:rsidR="000A0334" w:rsidRPr="009603FD" w:rsidRDefault="00BD1C57" w:rsidP="0040202F">
            <w:pPr>
              <w:pStyle w:val="BoxListBullet"/>
              <w:rPr>
                <w:szCs w:val="24"/>
              </w:rPr>
            </w:pPr>
            <w:r w:rsidRPr="009603FD">
              <w:t>D</w:t>
            </w:r>
            <w:r>
              <w:t xml:space="preserve">epartment of Social Services (DSS) </w:t>
            </w:r>
            <w:r w:rsidR="000A0334" w:rsidRPr="009603FD">
              <w:t>paid a total of $2</w:t>
            </w:r>
            <w:r w:rsidR="002C1E65">
              <w:t>.2 million</w:t>
            </w:r>
            <w:r w:rsidR="000A0334" w:rsidRPr="009603FD">
              <w:t xml:space="preserve"> towards the cost of these quality assur</w:t>
            </w:r>
            <w:r w:rsidR="000A0334" w:rsidRPr="0040202F">
              <w:t>ance audits</w:t>
            </w:r>
          </w:p>
          <w:p w:rsidR="000A0334" w:rsidRPr="009603FD" w:rsidRDefault="009603FD" w:rsidP="0040202F">
            <w:pPr>
              <w:pStyle w:val="BoxListBullet"/>
              <w:rPr>
                <w:szCs w:val="24"/>
              </w:rPr>
            </w:pPr>
            <w:r>
              <w:t>o</w:t>
            </w:r>
            <w:r w:rsidR="000A0334" w:rsidRPr="009603FD">
              <w:t>f the 146 audits performed at DES organisations, 58 were certification audits a</w:t>
            </w:r>
            <w:r w:rsidR="000A0334" w:rsidRPr="0040202F">
              <w:t>nd 88 were surveillance audits</w:t>
            </w:r>
          </w:p>
          <w:p w:rsidR="000A0334" w:rsidRPr="009603FD" w:rsidRDefault="009603FD" w:rsidP="0040202F">
            <w:pPr>
              <w:pStyle w:val="BoxListBullet"/>
              <w:rPr>
                <w:szCs w:val="24"/>
              </w:rPr>
            </w:pPr>
            <w:r>
              <w:t>o</w:t>
            </w:r>
            <w:r w:rsidR="000A0334" w:rsidRPr="009603FD">
              <w:t xml:space="preserve">f the 138 audits performed at ADE organisations, 70 were certification audits and </w:t>
            </w:r>
            <w:r w:rsidR="000A0334" w:rsidRPr="0040202F">
              <w:t>68 were surveillance audits</w:t>
            </w:r>
          </w:p>
          <w:p w:rsidR="000A0334" w:rsidRPr="009603FD" w:rsidRDefault="009603FD" w:rsidP="0040202F">
            <w:pPr>
              <w:pStyle w:val="BoxListBullet"/>
              <w:rPr>
                <w:szCs w:val="24"/>
              </w:rPr>
            </w:pPr>
            <w:proofErr w:type="gramStart"/>
            <w:r>
              <w:t>o</w:t>
            </w:r>
            <w:r w:rsidR="000A0334" w:rsidRPr="009603FD">
              <w:t>f</w:t>
            </w:r>
            <w:proofErr w:type="gramEnd"/>
            <w:r w:rsidR="000A0334" w:rsidRPr="009603FD">
              <w:t xml:space="preserve"> the 45 audits performed at dual organisations (both DES and ADEs), 18 were certification audits and 27 were surveillance audits.</w:t>
            </w:r>
          </w:p>
          <w:p w:rsidR="00626455" w:rsidRPr="00362A4D" w:rsidRDefault="00626455" w:rsidP="00626455">
            <w:pPr>
              <w:pStyle w:val="BoxHeading1"/>
              <w:keepNext w:val="0"/>
              <w:spacing w:line="260" w:lineRule="atLeast"/>
            </w:pPr>
            <w:r w:rsidRPr="00362A4D">
              <w:t>State and Territory governments</w:t>
            </w:r>
          </w:p>
          <w:p w:rsidR="00626455" w:rsidRPr="00362A4D" w:rsidRDefault="00626455" w:rsidP="00626455">
            <w:pPr>
              <w:pStyle w:val="Box"/>
              <w:keepNext w:val="0"/>
            </w:pPr>
            <w:r w:rsidRPr="00362A4D">
              <w:t>Different quality assurance processes were in place in NSW, Victoria, Queensland, WA, SA,</w:t>
            </w:r>
            <w:r w:rsidR="00A86268">
              <w:t xml:space="preserve"> Tasmania,</w:t>
            </w:r>
            <w:r w:rsidRPr="00362A4D">
              <w:t xml:space="preserve"> the ACT and the NT in </w:t>
            </w:r>
            <w:r w:rsidR="00362A4D" w:rsidRPr="00362A4D">
              <w:t>2013</w:t>
            </w:r>
            <w:r w:rsidR="00B84AF2">
              <w:noBreakHyphen/>
            </w:r>
            <w:r w:rsidR="00362A4D" w:rsidRPr="00362A4D">
              <w:t>14</w:t>
            </w:r>
            <w:r w:rsidRPr="00362A4D">
              <w:t>. The evaluation processes related to both government</w:t>
            </w:r>
            <w:r w:rsidR="0019455A">
              <w:t xml:space="preserve"> </w:t>
            </w:r>
            <w:r w:rsidRPr="00362A4D">
              <w:t>and</w:t>
            </w:r>
            <w:r w:rsidR="0019455A">
              <w:t xml:space="preserve"> </w:t>
            </w:r>
            <w:r w:rsidRPr="00362A4D">
              <w:t>non</w:t>
            </w:r>
            <w:r w:rsidR="00B84AF2">
              <w:noBreakHyphen/>
            </w:r>
            <w:r w:rsidRPr="00362A4D">
              <w:t>government service outlets, although</w:t>
            </w:r>
            <w:r w:rsidR="008C3F77">
              <w:t>,</w:t>
            </w:r>
            <w:r w:rsidRPr="00362A4D">
              <w:t xml:space="preserve"> in some jurisdictions</w:t>
            </w:r>
            <w:r w:rsidR="008C3F77">
              <w:t>,</w:t>
            </w:r>
            <w:r w:rsidRPr="00362A4D">
              <w:t xml:space="preserve"> the requirements </w:t>
            </w:r>
            <w:r w:rsidR="008C3F77">
              <w:t>were</w:t>
            </w:r>
            <w:r w:rsidRPr="00362A4D">
              <w:t xml:space="preserve"> different across service sectors. </w:t>
            </w:r>
          </w:p>
          <w:p w:rsidR="008C3F77" w:rsidRDefault="008C3F77" w:rsidP="008C3F77">
            <w:pPr>
              <w:pStyle w:val="BoxHeading2"/>
            </w:pPr>
            <w:r>
              <w:t>NSW</w:t>
            </w:r>
          </w:p>
          <w:p w:rsidR="004A0228" w:rsidRDefault="004A0228" w:rsidP="00B92965">
            <w:pPr>
              <w:pStyle w:val="Box"/>
            </w:pPr>
            <w:r>
              <w:t>All NSW non</w:t>
            </w:r>
            <w:r w:rsidR="00B84AF2">
              <w:noBreakHyphen/>
            </w:r>
            <w:r>
              <w:t xml:space="preserve">government providers are required annually to revalidate ongoing compliance with the NSW Disability Standards (NSW DSS). In 2013, 93 per cent of providers reported </w:t>
            </w:r>
            <w:r w:rsidR="001C10C8">
              <w:br/>
              <w:t>self</w:t>
            </w:r>
            <w:r w:rsidR="00B84AF2">
              <w:noBreakHyphen/>
            </w:r>
            <w:r w:rsidR="001C10C8">
              <w:t>assessed</w:t>
            </w:r>
            <w:r>
              <w:t xml:space="preserve"> compliance with the NSW DSS.</w:t>
            </w:r>
          </w:p>
          <w:p w:rsidR="004A0228" w:rsidRDefault="004A0228" w:rsidP="00B92965">
            <w:pPr>
              <w:pStyle w:val="Box"/>
            </w:pPr>
            <w:r>
              <w:t>From 1</w:t>
            </w:r>
            <w:r w:rsidR="00B84AF2">
              <w:t> </w:t>
            </w:r>
            <w:r>
              <w:t xml:space="preserve">July 2012, NSW has implemented a Quality Framework which requires funded service providers to implement a range of new quality requirements, </w:t>
            </w:r>
            <w:r w:rsidR="00B3276E">
              <w:t>including</w:t>
            </w:r>
            <w:r>
              <w:t>:</w:t>
            </w:r>
          </w:p>
          <w:p w:rsidR="004A0228" w:rsidRDefault="004A0228" w:rsidP="00B92965">
            <w:pPr>
              <w:pStyle w:val="BoxListBullet"/>
            </w:pPr>
            <w:r>
              <w:t xml:space="preserve">implementing a quality management system </w:t>
            </w:r>
          </w:p>
          <w:p w:rsidR="004A0228" w:rsidRDefault="004A0228" w:rsidP="00B92965">
            <w:pPr>
              <w:pStyle w:val="BoxListBullet"/>
            </w:pPr>
            <w:proofErr w:type="gramStart"/>
            <w:r>
              <w:t>undertaking</w:t>
            </w:r>
            <w:proofErr w:type="gramEnd"/>
            <w:r>
              <w:t xml:space="preserve"> third party verification to demonstrate compliance against the NSW DSS.</w:t>
            </w:r>
          </w:p>
          <w:p w:rsidR="00B3276E" w:rsidRPr="004A0228" w:rsidRDefault="00B3276E" w:rsidP="00B92965">
            <w:pPr>
              <w:pStyle w:val="Box"/>
            </w:pPr>
            <w:r>
              <w:t xml:space="preserve">The Quality Framework Reporting (QFR) has been developed to assist organisations to review service performance and implement the quality requirements to meet the NSW DSS. Service providers are required to report on progress in achieving the milestones which are fundamental to the implementation of quality requirements of Ageing, Disability and Home Care (ADHC). </w:t>
            </w:r>
          </w:p>
          <w:p w:rsidR="00D90D1B" w:rsidRDefault="00D90D1B" w:rsidP="00610020">
            <w:pPr>
              <w:pStyle w:val="Continued"/>
            </w:pPr>
            <w:r w:rsidRPr="008F5F24">
              <w:t>(</w:t>
            </w:r>
            <w:r w:rsidR="00610020">
              <w:t>C</w:t>
            </w:r>
            <w:r w:rsidRPr="008F5F24">
              <w:t>ontinued on next page)</w:t>
            </w:r>
          </w:p>
        </w:tc>
      </w:tr>
      <w:tr w:rsidR="00626455" w:rsidTr="00C827D5">
        <w:trPr>
          <w:cantSplit/>
        </w:trPr>
        <w:tc>
          <w:tcPr>
            <w:tcW w:w="8771" w:type="dxa"/>
            <w:tcBorders>
              <w:top w:val="nil"/>
              <w:left w:val="nil"/>
              <w:bottom w:val="single" w:sz="6" w:space="0" w:color="78A22F"/>
              <w:right w:val="nil"/>
            </w:tcBorders>
            <w:shd w:val="clear" w:color="auto" w:fill="F2F2F2"/>
          </w:tcPr>
          <w:p w:rsidR="00626455" w:rsidRDefault="00626455">
            <w:pPr>
              <w:pStyle w:val="Box"/>
              <w:spacing w:before="0" w:line="120" w:lineRule="exact"/>
            </w:pPr>
          </w:p>
        </w:tc>
      </w:tr>
      <w:tr w:rsidR="00626455" w:rsidRPr="000863A5" w:rsidTr="00C827D5">
        <w:tc>
          <w:tcPr>
            <w:tcW w:w="8771" w:type="dxa"/>
            <w:tcBorders>
              <w:top w:val="single" w:sz="6" w:space="0" w:color="78A22F"/>
              <w:left w:val="nil"/>
              <w:bottom w:val="nil"/>
              <w:right w:val="nil"/>
            </w:tcBorders>
          </w:tcPr>
          <w:p w:rsidR="00626455" w:rsidRPr="00626D32" w:rsidRDefault="00626455" w:rsidP="00C827D5">
            <w:pPr>
              <w:pStyle w:val="BoxSpaceBelow"/>
            </w:pPr>
          </w:p>
        </w:tc>
      </w:tr>
    </w:tbl>
    <w:p w:rsidR="00626455" w:rsidRDefault="0062645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6455" w:rsidTr="00C827D5">
        <w:tc>
          <w:tcPr>
            <w:tcW w:w="8771" w:type="dxa"/>
            <w:tcBorders>
              <w:top w:val="single" w:sz="6" w:space="0" w:color="78A22F"/>
              <w:left w:val="nil"/>
              <w:bottom w:val="nil"/>
              <w:right w:val="nil"/>
            </w:tcBorders>
            <w:shd w:val="clear" w:color="auto" w:fill="F2F2F2"/>
          </w:tcPr>
          <w:p w:rsidR="00626455" w:rsidRDefault="00626455" w:rsidP="00657898">
            <w:pPr>
              <w:pStyle w:val="BoxTitle"/>
            </w:pPr>
            <w:r>
              <w:rPr>
                <w:b w:val="0"/>
              </w:rPr>
              <w:t xml:space="preserve">Box </w:t>
            </w:r>
            <w:r w:rsidR="00321568">
              <w:rPr>
                <w:b w:val="0"/>
              </w:rPr>
              <w:t>14.</w:t>
            </w:r>
            <w:r w:rsidR="004C7F59">
              <w:rPr>
                <w:b w:val="0"/>
              </w:rPr>
              <w:t>1</w:t>
            </w:r>
            <w:r w:rsidR="00657898">
              <w:rPr>
                <w:b w:val="0"/>
              </w:rPr>
              <w:t>4</w:t>
            </w:r>
            <w:r>
              <w:tab/>
            </w:r>
            <w:r w:rsidR="00D90D1B" w:rsidRPr="00E373DF">
              <w:rPr>
                <w:rStyle w:val="ContinuedChar"/>
              </w:rPr>
              <w:t>(</w:t>
            </w:r>
            <w:r w:rsidRPr="00E373DF">
              <w:rPr>
                <w:rStyle w:val="ContinuedChar"/>
              </w:rPr>
              <w:t>continued</w:t>
            </w:r>
            <w:r w:rsidR="00D90D1B" w:rsidRPr="00E373DF">
              <w:rPr>
                <w:rStyle w:val="ContinuedChar"/>
              </w:rPr>
              <w:t>)</w:t>
            </w:r>
          </w:p>
        </w:tc>
      </w:tr>
      <w:tr w:rsidR="00626455" w:rsidTr="00C827D5">
        <w:trPr>
          <w:cantSplit/>
        </w:trPr>
        <w:tc>
          <w:tcPr>
            <w:tcW w:w="8771" w:type="dxa"/>
            <w:tcBorders>
              <w:top w:val="nil"/>
              <w:left w:val="nil"/>
              <w:bottom w:val="nil"/>
              <w:right w:val="nil"/>
            </w:tcBorders>
            <w:shd w:val="clear" w:color="auto" w:fill="F2F2F2"/>
          </w:tcPr>
          <w:p w:rsidR="004A0228" w:rsidRDefault="004A0228" w:rsidP="00B92965">
            <w:pPr>
              <w:pStyle w:val="Box"/>
            </w:pPr>
            <w:r>
              <w:t>To reduce the administrative burden faced by providers in submitting reporting requirements, NSW has developed an online form for the QFR commencing on 1</w:t>
            </w:r>
            <w:r w:rsidR="00B84AF2">
              <w:t> </w:t>
            </w:r>
            <w:r>
              <w:t>July 2013. Quality data will be collected at six monthly intervals over five stages, to ensure that service providers are on track to meet their quality requirements by 30</w:t>
            </w:r>
            <w:r w:rsidR="00B84AF2">
              <w:t> </w:t>
            </w:r>
            <w:r>
              <w:t>June 2015</w:t>
            </w:r>
            <w:r w:rsidR="00B3276E">
              <w:t>,</w:t>
            </w:r>
            <w:r>
              <w:t xml:space="preserve"> and to enable additional support and resources to be rolled out where trends or concerns have been identified.</w:t>
            </w:r>
            <w:r w:rsidR="002466CC">
              <w:t xml:space="preserve"> </w:t>
            </w:r>
          </w:p>
          <w:p w:rsidR="004A0228" w:rsidRDefault="004A0228" w:rsidP="00B92965">
            <w:pPr>
              <w:pStyle w:val="Box"/>
            </w:pPr>
            <w:r>
              <w:t>A range of steps have been undertaken and accelerated by ADHC to prepare the sector for the NDIS transition, including:</w:t>
            </w:r>
          </w:p>
          <w:p w:rsidR="004A0228" w:rsidRDefault="004A0228" w:rsidP="00B92965">
            <w:pPr>
              <w:pStyle w:val="BoxListBullet"/>
            </w:pPr>
            <w:r>
              <w:t>training for service providers on the NSW DSS, Standards in action manual and safeguard policy obligations in the NDIS trial site, including tailored training to Aboriginal providers</w:t>
            </w:r>
          </w:p>
          <w:p w:rsidR="004A0228" w:rsidRDefault="004A0228" w:rsidP="00B92965">
            <w:pPr>
              <w:pStyle w:val="BoxListBullet"/>
            </w:pPr>
            <w:r>
              <w:t>development and implementation of the Feedback and Complaints Management Log to drive organisational policy development and continuous improvement by supporting providers to record and analyse complaints</w:t>
            </w:r>
          </w:p>
          <w:p w:rsidR="004A0228" w:rsidRDefault="004A0228" w:rsidP="00B92965">
            <w:pPr>
              <w:pStyle w:val="BoxListBullet"/>
            </w:pPr>
            <w:r>
              <w:t>development and implementation of the Quality Framework Report to assist organisations to review service performance and progress in implementing quality requirements</w:t>
            </w:r>
          </w:p>
          <w:p w:rsidR="004A0228" w:rsidRDefault="004A0228" w:rsidP="00B92965">
            <w:pPr>
              <w:pStyle w:val="BoxListBullet"/>
            </w:pPr>
            <w:proofErr w:type="gramStart"/>
            <w:r>
              <w:t>development</w:t>
            </w:r>
            <w:proofErr w:type="gramEnd"/>
            <w:r>
              <w:t xml:space="preserve"> of Quality Assurance and Safeguards Working Arrangements for the launch of the NDIS in NSW as agreed between the NSW and </w:t>
            </w:r>
            <w:r w:rsidR="00B24491">
              <w:t xml:space="preserve">Australian governments </w:t>
            </w:r>
            <w:r>
              <w:t>including complaints management and serious incident reporting protocol.</w:t>
            </w:r>
          </w:p>
          <w:p w:rsidR="008C3F77" w:rsidRDefault="00626455" w:rsidP="00B92965">
            <w:pPr>
              <w:pStyle w:val="BoxHeading2"/>
            </w:pPr>
            <w:r w:rsidRPr="00657898">
              <w:t>Victoria</w:t>
            </w:r>
          </w:p>
          <w:p w:rsidR="00657898" w:rsidRDefault="00657898" w:rsidP="0040202F">
            <w:pPr>
              <w:pStyle w:val="Box"/>
            </w:pPr>
            <w:r w:rsidRPr="00657898">
              <w:t>On 1</w:t>
            </w:r>
            <w:r w:rsidR="00B84AF2">
              <w:t> </w:t>
            </w:r>
            <w:r w:rsidRPr="00657898">
              <w:t xml:space="preserve">July 2012, the Department of Human Services Standards (the Standards) were implemented. The Standards were developed to support quality services and in response to the assessment by service providers that the department’s previous approach of using program based standards </w:t>
            </w:r>
            <w:r w:rsidR="0081279E">
              <w:t>affects</w:t>
            </w:r>
            <w:r w:rsidRPr="00657898">
              <w:t xml:space="preserve"> the amount of time staff could work with clients and that the approach to standards</w:t>
            </w:r>
            <w:r>
              <w:t xml:space="preserve"> and quality reviews could be improved. The standards are summarised as:</w:t>
            </w:r>
          </w:p>
          <w:p w:rsidR="00657898" w:rsidRDefault="00657898" w:rsidP="0040202F">
            <w:pPr>
              <w:pStyle w:val="BoxListBullet"/>
            </w:pPr>
            <w:r>
              <w:t>empowerment</w:t>
            </w:r>
            <w:r w:rsidR="00B24491">
              <w:t xml:space="preserve"> </w:t>
            </w:r>
            <w:r w:rsidR="0040202F">
              <w:t>—</w:t>
            </w:r>
            <w:r>
              <w:t xml:space="preserve"> </w:t>
            </w:r>
            <w:r w:rsidR="00980814">
              <w:t>p</w:t>
            </w:r>
            <w:r>
              <w:t xml:space="preserve">eople’s rights are promoted and upheld </w:t>
            </w:r>
          </w:p>
          <w:p w:rsidR="00657898" w:rsidRDefault="00980814" w:rsidP="0040202F">
            <w:pPr>
              <w:pStyle w:val="BoxListBullet"/>
            </w:pPr>
            <w:r>
              <w:t>access and engagement</w:t>
            </w:r>
            <w:r w:rsidR="00B24491">
              <w:t xml:space="preserve"> </w:t>
            </w:r>
            <w:r w:rsidR="0040202F">
              <w:t>—</w:t>
            </w:r>
            <w:r>
              <w:t xml:space="preserve"> p</w:t>
            </w:r>
            <w:r w:rsidR="00657898">
              <w:t>eople’s right to access transparent, equitable and integrated services is promoted and upheld</w:t>
            </w:r>
          </w:p>
          <w:p w:rsidR="00657898" w:rsidRDefault="00657898" w:rsidP="0040202F">
            <w:pPr>
              <w:pStyle w:val="BoxListBullet"/>
            </w:pPr>
            <w:r>
              <w:t>wellbeing</w:t>
            </w:r>
            <w:r w:rsidR="00B24491">
              <w:t xml:space="preserve"> </w:t>
            </w:r>
            <w:r w:rsidR="0040202F">
              <w:t>—</w:t>
            </w:r>
            <w:r>
              <w:t xml:space="preserve"> </w:t>
            </w:r>
            <w:r w:rsidR="00980814">
              <w:t>p</w:t>
            </w:r>
            <w:r>
              <w:t>eople’s right to wellbeing and safety is promoted and upheld</w:t>
            </w:r>
          </w:p>
          <w:p w:rsidR="00657898" w:rsidRDefault="00657898" w:rsidP="0040202F">
            <w:pPr>
              <w:pStyle w:val="BoxListBullet"/>
            </w:pPr>
            <w:r>
              <w:t>participation</w:t>
            </w:r>
            <w:r w:rsidR="00B24491">
              <w:t xml:space="preserve"> </w:t>
            </w:r>
            <w:r w:rsidR="0040202F">
              <w:t>—</w:t>
            </w:r>
            <w:r>
              <w:t xml:space="preserve"> </w:t>
            </w:r>
            <w:r w:rsidR="00980814">
              <w:t>p</w:t>
            </w:r>
            <w:r>
              <w:t>eople’s right to choice, decision making and to actively participate as a valued member of their chosen community is promoted and upheld</w:t>
            </w:r>
          </w:p>
          <w:p w:rsidR="00657898" w:rsidRDefault="00657898" w:rsidP="0040202F">
            <w:pPr>
              <w:pStyle w:val="BoxListBullet"/>
            </w:pPr>
            <w:proofErr w:type="gramStart"/>
            <w:r>
              <w:t>a</w:t>
            </w:r>
            <w:proofErr w:type="gramEnd"/>
            <w:r>
              <w:t xml:space="preserve"> service provider’s governance and management systems will also be reviewed using the standards of the independent review body.</w:t>
            </w:r>
          </w:p>
          <w:p w:rsidR="00657898" w:rsidRDefault="00657898" w:rsidP="0040202F">
            <w:pPr>
              <w:pStyle w:val="Box"/>
            </w:pPr>
            <w:r>
              <w:t xml:space="preserve">The Standards and the associated review processes replaced the Homelessness Assistance Service Standards, Standards for Disability Services in Victoria (which incorporated the </w:t>
            </w:r>
            <w:r w:rsidR="0040202F" w:rsidRPr="000A0334">
              <w:t xml:space="preserve">National Disability </w:t>
            </w:r>
            <w:r w:rsidR="0040202F">
              <w:t xml:space="preserve">Service </w:t>
            </w:r>
            <w:r w:rsidR="0040202F" w:rsidRPr="000A0334">
              <w:t>Standards</w:t>
            </w:r>
            <w:r>
              <w:t xml:space="preserve">) and the Registration Standards for Community Service Organisations. </w:t>
            </w:r>
          </w:p>
          <w:p w:rsidR="00362A4D" w:rsidRDefault="00657898" w:rsidP="0040202F">
            <w:pPr>
              <w:pStyle w:val="Box"/>
              <w:rPr>
                <w:szCs w:val="24"/>
              </w:rPr>
            </w:pPr>
            <w:r>
              <w:t>The Standards help to ensure a consistent quality of service no matter which departmentally funded service people access. Compliance with the Standards is an obligation of the Service Agreement, as well as a requirement of registration for those agencies registered either under the Children, Youth and Families Act 2005 or the Disability Act 2006. The Standards and independent review requirements apply to both internally and externally delivered services.</w:t>
            </w:r>
          </w:p>
          <w:p w:rsidR="00626455" w:rsidRDefault="00D90D1B" w:rsidP="00610020">
            <w:pPr>
              <w:pStyle w:val="Continued"/>
            </w:pPr>
            <w:r w:rsidRPr="008F5F24">
              <w:t>(</w:t>
            </w:r>
            <w:r w:rsidR="00610020">
              <w:t>C</w:t>
            </w:r>
            <w:r w:rsidRPr="008F5F24">
              <w:t>ontinued on next page)</w:t>
            </w:r>
          </w:p>
        </w:tc>
      </w:tr>
      <w:tr w:rsidR="00626455" w:rsidTr="00C827D5">
        <w:trPr>
          <w:cantSplit/>
        </w:trPr>
        <w:tc>
          <w:tcPr>
            <w:tcW w:w="8771" w:type="dxa"/>
            <w:tcBorders>
              <w:top w:val="nil"/>
              <w:left w:val="nil"/>
              <w:bottom w:val="single" w:sz="6" w:space="0" w:color="78A22F"/>
              <w:right w:val="nil"/>
            </w:tcBorders>
            <w:shd w:val="clear" w:color="auto" w:fill="F2F2F2"/>
          </w:tcPr>
          <w:p w:rsidR="00626455" w:rsidRDefault="00626455">
            <w:pPr>
              <w:pStyle w:val="Box"/>
              <w:spacing w:before="0" w:line="120" w:lineRule="exact"/>
            </w:pPr>
          </w:p>
        </w:tc>
      </w:tr>
      <w:tr w:rsidR="00626455" w:rsidRPr="000863A5" w:rsidTr="00C827D5">
        <w:tc>
          <w:tcPr>
            <w:tcW w:w="8771" w:type="dxa"/>
            <w:tcBorders>
              <w:top w:val="single" w:sz="6" w:space="0" w:color="78A22F"/>
              <w:left w:val="nil"/>
              <w:bottom w:val="nil"/>
              <w:right w:val="nil"/>
            </w:tcBorders>
          </w:tcPr>
          <w:p w:rsidR="00626455" w:rsidRPr="00626D32" w:rsidRDefault="00626455" w:rsidP="00C827D5">
            <w:pPr>
              <w:pStyle w:val="BoxSpaceBelow"/>
            </w:pPr>
          </w:p>
        </w:tc>
      </w:tr>
    </w:tbl>
    <w:p w:rsidR="00D90D1B" w:rsidRDefault="00D90D1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Tr="00C827D5">
        <w:tc>
          <w:tcPr>
            <w:tcW w:w="8771" w:type="dxa"/>
            <w:tcBorders>
              <w:top w:val="single" w:sz="6" w:space="0" w:color="78A22F"/>
              <w:left w:val="nil"/>
              <w:bottom w:val="nil"/>
              <w:right w:val="nil"/>
            </w:tcBorders>
            <w:shd w:val="clear" w:color="auto" w:fill="F2F2F2"/>
          </w:tcPr>
          <w:p w:rsidR="00D90D1B" w:rsidRDefault="00D90D1B" w:rsidP="004C7F59">
            <w:pPr>
              <w:pStyle w:val="BoxTitle"/>
            </w:pPr>
            <w:r>
              <w:rPr>
                <w:b w:val="0"/>
              </w:rPr>
              <w:t xml:space="preserve">Box </w:t>
            </w:r>
            <w:r w:rsidR="00321568">
              <w:rPr>
                <w:b w:val="0"/>
              </w:rPr>
              <w:t>14.</w:t>
            </w:r>
            <w:r w:rsidR="004C7F59">
              <w:rPr>
                <w:b w:val="0"/>
              </w:rPr>
              <w:t>1</w:t>
            </w:r>
            <w:r w:rsidR="00657898">
              <w:rPr>
                <w:b w:val="0"/>
              </w:rPr>
              <w:t>4</w:t>
            </w:r>
            <w:r>
              <w:tab/>
            </w:r>
            <w:r w:rsidRPr="00E373DF">
              <w:rPr>
                <w:rStyle w:val="ContinuedChar"/>
              </w:rPr>
              <w:t>(continued)</w:t>
            </w:r>
          </w:p>
        </w:tc>
      </w:tr>
      <w:tr w:rsidR="00D90D1B" w:rsidTr="00C827D5">
        <w:trPr>
          <w:cantSplit/>
        </w:trPr>
        <w:tc>
          <w:tcPr>
            <w:tcW w:w="8771" w:type="dxa"/>
            <w:tcBorders>
              <w:top w:val="nil"/>
              <w:left w:val="nil"/>
              <w:bottom w:val="nil"/>
              <w:right w:val="nil"/>
            </w:tcBorders>
            <w:shd w:val="clear" w:color="auto" w:fill="F2F2F2"/>
          </w:tcPr>
          <w:p w:rsidR="0081279E" w:rsidRDefault="00556562" w:rsidP="0081279E">
            <w:pPr>
              <w:pStyle w:val="BoxHeading2"/>
            </w:pPr>
            <w:r>
              <w:t>Queensland</w:t>
            </w:r>
          </w:p>
          <w:p w:rsidR="00482457" w:rsidRPr="0081279E" w:rsidRDefault="00482457" w:rsidP="0081279E">
            <w:pPr>
              <w:pStyle w:val="Box"/>
            </w:pPr>
            <w:r w:rsidRPr="0081279E">
              <w:t>From 1</w:t>
            </w:r>
            <w:r w:rsidR="00B84AF2">
              <w:t> </w:t>
            </w:r>
            <w:r w:rsidRPr="0081279E">
              <w:t>February 2013, service providers commenced transitioning to the new Human Services Quality Framework (the framework). The framework is a quality system for measuring and improving the quality of human services. It applies to organisations delivering services under a service agreement with the Department of Communities, Child Safety and Disability Services or other specified arrangements.</w:t>
            </w:r>
          </w:p>
          <w:p w:rsidR="00482457" w:rsidRPr="0081279E" w:rsidRDefault="00482457" w:rsidP="0081279E">
            <w:pPr>
              <w:pStyle w:val="Box"/>
            </w:pPr>
            <w:r w:rsidRPr="0081279E">
              <w:t xml:space="preserve">Central to the framework are the Human Services Quality Standards (HSQS), which define the key elements of human service delivery. These standards address governance and management, service access, responding to individual need, safety wellbeing and rights, feedback, complaints and appeals and human resources. </w:t>
            </w:r>
          </w:p>
          <w:p w:rsidR="00482457" w:rsidRPr="0081279E" w:rsidRDefault="00482457" w:rsidP="0081279E">
            <w:pPr>
              <w:pStyle w:val="Box"/>
            </w:pPr>
            <w:r w:rsidRPr="0081279E">
              <w:t>Recurrently funded disability service providers are required to be externally audited against the HSQS by JAS</w:t>
            </w:r>
            <w:r w:rsidR="00B84AF2">
              <w:noBreakHyphen/>
            </w:r>
            <w:r w:rsidRPr="0081279E">
              <w:t>ANZ accredited certification bodies. Audits occur over a three year certification cycle and include a mid</w:t>
            </w:r>
            <w:r w:rsidR="00B84AF2">
              <w:noBreakHyphen/>
            </w:r>
            <w:r w:rsidRPr="0081279E">
              <w:t>term maintenance audit at 18 months to ensure continued conformance with the standards. The framework’s goal is to enable continuous improvement of human services through a streamlined client</w:t>
            </w:r>
            <w:r w:rsidR="00B84AF2">
              <w:noBreakHyphen/>
            </w:r>
            <w:r w:rsidR="00362A4D" w:rsidRPr="0081279E">
              <w:t>focused</w:t>
            </w:r>
            <w:r w:rsidRPr="0081279E">
              <w:t xml:space="preserve"> approach ranging from self</w:t>
            </w:r>
            <w:r w:rsidR="00B84AF2">
              <w:noBreakHyphen/>
            </w:r>
            <w:r w:rsidRPr="0081279E">
              <w:t xml:space="preserve">assessment to independent audit against the standards. </w:t>
            </w:r>
          </w:p>
          <w:p w:rsidR="00482457" w:rsidRPr="0081279E" w:rsidRDefault="00482457" w:rsidP="0081279E">
            <w:pPr>
              <w:pStyle w:val="Box"/>
            </w:pPr>
            <w:r w:rsidRPr="0081279E">
              <w:t>Quality assessments help to ensure that organisations comply with the standards and guide them in their service improvements. The framework also reduces red tape and duplication involved in complying with multiple quality systems, allowing organisations to maintain a focus on quality, while freeing up resources to be redirected to frontline services.</w:t>
            </w:r>
          </w:p>
          <w:p w:rsidR="00554393" w:rsidRPr="0081279E" w:rsidRDefault="00482457" w:rsidP="0081279E">
            <w:pPr>
              <w:pStyle w:val="Box"/>
            </w:pPr>
            <w:r w:rsidRPr="0081279E">
              <w:t xml:space="preserve">Of the established 258 recurrently funded disability providers that have transitioned to the HSQF, </w:t>
            </w:r>
            <w:r w:rsidR="0040202F" w:rsidRPr="0081279E">
              <w:t>12</w:t>
            </w:r>
            <w:r w:rsidRPr="0081279E">
              <w:t xml:space="preserve"> (4.7 per cent) did not meet all of the standards during their 2013</w:t>
            </w:r>
            <w:r w:rsidR="00B84AF2">
              <w:noBreakHyphen/>
            </w:r>
            <w:r w:rsidRPr="0081279E">
              <w:t>14 audit. One organisation had non</w:t>
            </w:r>
            <w:r w:rsidR="00B84AF2">
              <w:noBreakHyphen/>
            </w:r>
            <w:r w:rsidRPr="0081279E">
              <w:t xml:space="preserve">compliance issues </w:t>
            </w:r>
            <w:r w:rsidR="0040202F" w:rsidRPr="0081279E">
              <w:t>that</w:t>
            </w:r>
            <w:r w:rsidRPr="0081279E">
              <w:t xml:space="preserve"> resulted in temporary suspens</w:t>
            </w:r>
            <w:r w:rsidR="00362A4D" w:rsidRPr="0081279E">
              <w:t>ion pending a follow</w:t>
            </w:r>
            <w:r w:rsidR="00B84AF2">
              <w:noBreakHyphen/>
            </w:r>
            <w:r w:rsidR="00362A4D" w:rsidRPr="0081279E">
              <w:t xml:space="preserve">up audit. </w:t>
            </w:r>
            <w:r w:rsidRPr="0081279E">
              <w:t xml:space="preserve">All other issues raised for all other providers were addressed within the appropriate timeframes and certification was maintained for those providers. There are 15 new service providers </w:t>
            </w:r>
            <w:r w:rsidR="0040202F" w:rsidRPr="0081279E">
              <w:t>that</w:t>
            </w:r>
            <w:r w:rsidRPr="0081279E">
              <w:t xml:space="preserve"> are in the process of implementing quality management systems in preparation for their first independent audit in 2014.</w:t>
            </w:r>
          </w:p>
          <w:p w:rsidR="0081279E" w:rsidRDefault="00D90D1B" w:rsidP="00657898">
            <w:pPr>
              <w:pStyle w:val="Box"/>
            </w:pPr>
            <w:r w:rsidRPr="00657898">
              <w:rPr>
                <w:i/>
              </w:rPr>
              <w:t>WA</w:t>
            </w:r>
            <w:r w:rsidRPr="00657898">
              <w:t xml:space="preserve"> </w:t>
            </w:r>
          </w:p>
          <w:p w:rsidR="00657898" w:rsidRDefault="00657898" w:rsidP="0081279E">
            <w:pPr>
              <w:pStyle w:val="Box"/>
            </w:pPr>
            <w:r w:rsidRPr="00657898">
              <w:t>The Quality Management Framework (QMF) commenced in May 2010. Service quality is evaluated from</w:t>
            </w:r>
            <w:r>
              <w:t xml:space="preserve"> the perspective of outcomes achieved by people with disability, their families and carers via the evaluation of service points (comprising a number of service outlets).</w:t>
            </w:r>
          </w:p>
          <w:p w:rsidR="00657898" w:rsidRPr="0040202F" w:rsidRDefault="00657898" w:rsidP="0081279E">
            <w:pPr>
              <w:pStyle w:val="Box"/>
            </w:pPr>
            <w:r w:rsidRPr="0040202F">
              <w:t>Independent Quality Evaluation is conducted for each service point on a three yearly cycle and includes an evaluation of agreed service outcomes and the nine Disability Services Standards</w:t>
            </w:r>
            <w:r w:rsidR="0040202F" w:rsidRPr="0040202F">
              <w:t xml:space="preserve"> as part of the QMF</w:t>
            </w:r>
            <w:r w:rsidR="0040202F">
              <w:t>.</w:t>
            </w:r>
          </w:p>
          <w:p w:rsidR="00D90D1B" w:rsidRDefault="00657898">
            <w:pPr>
              <w:pStyle w:val="Box"/>
              <w:keepNext w:val="0"/>
            </w:pPr>
            <w:r w:rsidRPr="0040202F">
              <w:t>In 2013</w:t>
            </w:r>
            <w:r w:rsidR="00B84AF2">
              <w:noBreakHyphen/>
            </w:r>
            <w:r w:rsidRPr="0040202F">
              <w:t>14, 83 service points were evaluated. All nine Standards were met by 50 service points (60 per cent).</w:t>
            </w:r>
          </w:p>
          <w:p w:rsidR="00D90D1B" w:rsidRDefault="00657898" w:rsidP="00610020">
            <w:pPr>
              <w:pStyle w:val="Continued"/>
              <w:rPr>
                <w:szCs w:val="24"/>
              </w:rPr>
            </w:pPr>
            <w:r w:rsidRPr="008F5F24">
              <w:t>(</w:t>
            </w:r>
            <w:r w:rsidR="00610020">
              <w:t>C</w:t>
            </w:r>
            <w:r w:rsidRPr="008F5F24">
              <w:t>ontinued on next page)</w:t>
            </w:r>
          </w:p>
        </w:tc>
      </w:tr>
      <w:tr w:rsidR="00D90D1B" w:rsidTr="00C827D5">
        <w:trPr>
          <w:cantSplit/>
        </w:trPr>
        <w:tc>
          <w:tcPr>
            <w:tcW w:w="8771" w:type="dxa"/>
            <w:tcBorders>
              <w:top w:val="nil"/>
              <w:left w:val="nil"/>
              <w:bottom w:val="single" w:sz="6" w:space="0" w:color="78A22F"/>
              <w:right w:val="nil"/>
            </w:tcBorders>
            <w:shd w:val="clear" w:color="auto" w:fill="F2F2F2"/>
          </w:tcPr>
          <w:p w:rsidR="00D90D1B" w:rsidRDefault="00D90D1B">
            <w:pPr>
              <w:pStyle w:val="Box"/>
              <w:spacing w:before="0" w:line="120" w:lineRule="exact"/>
            </w:pPr>
          </w:p>
        </w:tc>
      </w:tr>
      <w:tr w:rsidR="00D90D1B" w:rsidRPr="000863A5" w:rsidTr="00C827D5">
        <w:tc>
          <w:tcPr>
            <w:tcW w:w="8771" w:type="dxa"/>
            <w:tcBorders>
              <w:top w:val="single" w:sz="6" w:space="0" w:color="78A22F"/>
              <w:left w:val="nil"/>
              <w:bottom w:val="nil"/>
              <w:right w:val="nil"/>
            </w:tcBorders>
          </w:tcPr>
          <w:p w:rsidR="00D90D1B" w:rsidRPr="00626D32" w:rsidRDefault="00D90D1B" w:rsidP="00C827D5">
            <w:pPr>
              <w:pStyle w:val="BoxSpaceBelow"/>
            </w:pPr>
          </w:p>
        </w:tc>
      </w:tr>
    </w:tbl>
    <w:p w:rsidR="001F39F2" w:rsidRPr="008F5F24" w:rsidRDefault="001F39F2" w:rsidP="003C3BBB">
      <w:pPr>
        <w:pStyle w:val="BoxSpace"/>
        <w:keepNext w:val="0"/>
        <w:rPr>
          <w:color w:val="A6A6A6" w:themeColor="background1" w:themeShade="A6"/>
        </w:rPr>
      </w:pPr>
    </w:p>
    <w:p w:rsidR="00D90D1B" w:rsidRDefault="00D90D1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Tr="00C827D5">
        <w:tc>
          <w:tcPr>
            <w:tcW w:w="8771" w:type="dxa"/>
            <w:tcBorders>
              <w:top w:val="single" w:sz="6" w:space="0" w:color="78A22F"/>
              <w:left w:val="nil"/>
              <w:bottom w:val="nil"/>
              <w:right w:val="nil"/>
            </w:tcBorders>
            <w:shd w:val="clear" w:color="auto" w:fill="F2F2F2"/>
          </w:tcPr>
          <w:p w:rsidR="00D90D1B" w:rsidRDefault="00D90D1B" w:rsidP="004C7F59">
            <w:pPr>
              <w:pStyle w:val="BoxTitle"/>
            </w:pPr>
            <w:r>
              <w:rPr>
                <w:b w:val="0"/>
              </w:rPr>
              <w:t xml:space="preserve">Box </w:t>
            </w:r>
            <w:r w:rsidR="00321568">
              <w:rPr>
                <w:b w:val="0"/>
              </w:rPr>
              <w:t>14.</w:t>
            </w:r>
            <w:r w:rsidR="004C7F59">
              <w:rPr>
                <w:b w:val="0"/>
              </w:rPr>
              <w:t>1</w:t>
            </w:r>
            <w:r w:rsidR="00657898">
              <w:rPr>
                <w:b w:val="0"/>
              </w:rPr>
              <w:t>4</w:t>
            </w:r>
            <w:r>
              <w:tab/>
            </w:r>
            <w:r w:rsidRPr="00E373DF">
              <w:rPr>
                <w:rStyle w:val="ContinuedChar"/>
              </w:rPr>
              <w:t>(continued)</w:t>
            </w:r>
          </w:p>
        </w:tc>
      </w:tr>
      <w:tr w:rsidR="00D90D1B" w:rsidTr="00C827D5">
        <w:trPr>
          <w:cantSplit/>
        </w:trPr>
        <w:tc>
          <w:tcPr>
            <w:tcW w:w="8771" w:type="dxa"/>
            <w:tcBorders>
              <w:top w:val="nil"/>
              <w:left w:val="nil"/>
              <w:bottom w:val="nil"/>
              <w:right w:val="nil"/>
            </w:tcBorders>
            <w:shd w:val="clear" w:color="auto" w:fill="F2F2F2"/>
          </w:tcPr>
          <w:p w:rsidR="0081279E" w:rsidRDefault="0081279E" w:rsidP="0081279E">
            <w:pPr>
              <w:pStyle w:val="BoxHeading2"/>
            </w:pPr>
            <w:r w:rsidRPr="00980814">
              <w:t>SA</w:t>
            </w:r>
          </w:p>
          <w:p w:rsidR="0081279E" w:rsidRPr="0040202F" w:rsidRDefault="0081279E" w:rsidP="0081279E">
            <w:pPr>
              <w:pStyle w:val="Box"/>
            </w:pPr>
            <w:r w:rsidRPr="00980814">
              <w:t>In SA, non</w:t>
            </w:r>
            <w:r w:rsidR="00B84AF2">
              <w:noBreakHyphen/>
            </w:r>
            <w:r w:rsidRPr="00980814">
              <w:t xml:space="preserve">government </w:t>
            </w:r>
            <w:r>
              <w:t>service providers are required to meet quality assurance criteria before they can provide NDA specialist services. This includes the requirement for all service providers to be engaged with an approved quality improvement program.</w:t>
            </w:r>
          </w:p>
          <w:p w:rsidR="0081279E" w:rsidRDefault="0081279E" w:rsidP="0081279E">
            <w:pPr>
              <w:pStyle w:val="Box"/>
            </w:pPr>
            <w:r>
              <w:t xml:space="preserve">Out of 144 organisations, 131 (91 per cent) have, or are working towards, accreditation. </w:t>
            </w:r>
          </w:p>
          <w:p w:rsidR="0081279E" w:rsidRDefault="0081279E" w:rsidP="00562ABE">
            <w:pPr>
              <w:pStyle w:val="Box"/>
            </w:pPr>
            <w:r>
              <w:t>As part of the department</w:t>
            </w:r>
            <w:r w:rsidR="00B84AF2">
              <w:t>’</w:t>
            </w:r>
            <w:r>
              <w:t>s quality framework the Disability Service Provider Panel (DSPP) process is being reviewed to ensure quality standards are being met. This requirement will be a key component of the DSPP review during 2014</w:t>
            </w:r>
            <w:r w:rsidR="00B84AF2">
              <w:noBreakHyphen/>
            </w:r>
            <w:r>
              <w:t>15.</w:t>
            </w:r>
          </w:p>
          <w:p w:rsidR="0081279E" w:rsidRDefault="00562ABE" w:rsidP="0081279E">
            <w:pPr>
              <w:pStyle w:val="BoxHeading2"/>
            </w:pPr>
            <w:r w:rsidRPr="006A73EF">
              <w:t xml:space="preserve">Tasmania </w:t>
            </w:r>
          </w:p>
          <w:p w:rsidR="00562ABE" w:rsidRPr="006A73EF" w:rsidRDefault="00562ABE" w:rsidP="00562ABE">
            <w:pPr>
              <w:pStyle w:val="Box"/>
            </w:pPr>
            <w:r w:rsidRPr="006A73EF">
              <w:t xml:space="preserve">The Quality and Safety Framework for Tasmania’s </w:t>
            </w:r>
            <w:r w:rsidR="0040202F" w:rsidRPr="006A73EF">
              <w:t>Department of Health and Human Services (</w:t>
            </w:r>
            <w:r w:rsidRPr="006A73EF">
              <w:t>DHHS</w:t>
            </w:r>
            <w:r w:rsidR="0040202F" w:rsidRPr="006A73EF">
              <w:t>)</w:t>
            </w:r>
            <w:r w:rsidRPr="006A73EF">
              <w:t xml:space="preserve"> Funded Community Sector (the Framework) requires funded community sector organisations to undertake quality and safety activities against recognised standards, have systems and processes in place to record and monitor improvement activities, and to ensure that feedback and learnings from incidents contribute towards enhancing service delivery.</w:t>
            </w:r>
            <w:r w:rsidR="0019455A" w:rsidRPr="006A73EF">
              <w:t xml:space="preserve"> </w:t>
            </w:r>
          </w:p>
          <w:p w:rsidR="00562ABE" w:rsidRPr="006A73EF" w:rsidRDefault="00562ABE" w:rsidP="00562ABE">
            <w:pPr>
              <w:pStyle w:val="Box"/>
            </w:pPr>
            <w:r w:rsidRPr="006A73EF">
              <w:t>The DHHS monitors compliance with the Framework through an annual meeting with the funded community sector organisation, discussing performance against contractual requirements, and a three yea</w:t>
            </w:r>
            <w:r w:rsidR="00980814" w:rsidRPr="006A73EF">
              <w:t xml:space="preserve">rly quality and safety review. </w:t>
            </w:r>
            <w:r w:rsidRPr="006A73EF">
              <w:t>The quality and safety review includes a site visit to view the organisation’s documentation, systems and processes, and to obtain feedback from consumers, staff, volunteers and management including Board or Committee members. A draft report is provided to the organisation and the organisation’s feedback is considered by the review team prior to finalising the report.</w:t>
            </w:r>
          </w:p>
          <w:p w:rsidR="002C1E65" w:rsidRPr="006A73EF" w:rsidRDefault="002C1E65" w:rsidP="002C1E65">
            <w:pPr>
              <w:pStyle w:val="Box"/>
            </w:pPr>
            <w:r w:rsidRPr="006A73EF">
              <w:t>At 30</w:t>
            </w:r>
            <w:r w:rsidR="00B84AF2">
              <w:t> </w:t>
            </w:r>
            <w:r w:rsidRPr="006A73EF">
              <w:t xml:space="preserve">June 2014, 17 per </w:t>
            </w:r>
            <w:r w:rsidRPr="002C1E65">
              <w:t>cent of DHHS’ disability funded community sector organisations had participated in a quality and safety review. All 12 organisations</w:t>
            </w:r>
            <w:r w:rsidRPr="006A73EF">
              <w:t xml:space="preserve"> demonstrated engagement with, and commitment to, the Framework; 66 per cent, or 8 of the 12 organisations, evidenced compliance with all requirements of the Framework.</w:t>
            </w:r>
          </w:p>
          <w:p w:rsidR="0081279E" w:rsidRDefault="00D90D1B" w:rsidP="0081279E">
            <w:pPr>
              <w:pStyle w:val="BoxHeading2"/>
            </w:pPr>
            <w:r w:rsidRPr="006A73EF">
              <w:t xml:space="preserve">ACT </w:t>
            </w:r>
          </w:p>
          <w:p w:rsidR="00562ABE" w:rsidRPr="006A73EF" w:rsidRDefault="00562ABE" w:rsidP="0040202F">
            <w:pPr>
              <w:pStyle w:val="Box"/>
              <w:rPr>
                <w:szCs w:val="24"/>
              </w:rPr>
            </w:pPr>
            <w:r w:rsidRPr="006A73EF">
              <w:t>In 2013</w:t>
            </w:r>
            <w:r w:rsidR="00B84AF2">
              <w:noBreakHyphen/>
            </w:r>
            <w:r w:rsidRPr="006A73EF">
              <w:t xml:space="preserve">14, the ACT continued implementation of the quality improvement measures for all services delivered by government and community sector service providers. All organisations have continued work into business continuity management practices. </w:t>
            </w:r>
          </w:p>
          <w:p w:rsidR="00362A4D" w:rsidRPr="006A73EF" w:rsidRDefault="00562ABE" w:rsidP="0040202F">
            <w:pPr>
              <w:pStyle w:val="Box"/>
            </w:pPr>
            <w:r w:rsidRPr="006A73EF">
              <w:t>All organisations are required to undertake an annual baseline self</w:t>
            </w:r>
            <w:r w:rsidR="00B84AF2">
              <w:noBreakHyphen/>
            </w:r>
            <w:r w:rsidRPr="006A73EF">
              <w:t>assessment against the National Disability Service Standards, with quality improvement action plans being developed and implemented on the basis of any identified issues.</w:t>
            </w:r>
          </w:p>
          <w:p w:rsidR="0081279E" w:rsidRDefault="004E7B38" w:rsidP="0081279E">
            <w:pPr>
              <w:pStyle w:val="BoxHeading2"/>
            </w:pPr>
            <w:r w:rsidRPr="006A73EF">
              <w:t>NT</w:t>
            </w:r>
          </w:p>
          <w:p w:rsidR="004E7B38" w:rsidRPr="006A73EF" w:rsidRDefault="0081279E" w:rsidP="004E7B38">
            <w:pPr>
              <w:pStyle w:val="Box"/>
            </w:pPr>
            <w:r>
              <w:t>D</w:t>
            </w:r>
            <w:r w:rsidR="004E7B38" w:rsidRPr="006A73EF">
              <w:t xml:space="preserve">isability services funded through the </w:t>
            </w:r>
            <w:r w:rsidR="00CF44B8">
              <w:t>NT</w:t>
            </w:r>
            <w:r w:rsidR="004E7B38" w:rsidRPr="006A73EF">
              <w:t xml:space="preserve"> Government Department of Health’s Office of Disability </w:t>
            </w:r>
            <w:r>
              <w:t>a</w:t>
            </w:r>
            <w:r w:rsidR="00CF44B8">
              <w:t>re</w:t>
            </w:r>
            <w:r w:rsidR="004E7B38" w:rsidRPr="006A73EF">
              <w:t xml:space="preserve"> assessed against the National Standards for Disability Services and/or the </w:t>
            </w:r>
            <w:r w:rsidR="00CF44B8">
              <w:t>NT</w:t>
            </w:r>
            <w:r w:rsidR="004E7B38" w:rsidRPr="006A73EF">
              <w:t xml:space="preserve"> Disability Services at least once every three years.</w:t>
            </w:r>
          </w:p>
          <w:p w:rsidR="00D90D1B" w:rsidRPr="009B2713" w:rsidRDefault="00610020" w:rsidP="00D90D1B">
            <w:pPr>
              <w:pStyle w:val="Continued"/>
            </w:pPr>
            <w:r>
              <w:t>(C</w:t>
            </w:r>
            <w:r w:rsidR="004E7B38" w:rsidRPr="006A73EF">
              <w:t>ontinued next page)</w:t>
            </w:r>
          </w:p>
        </w:tc>
      </w:tr>
      <w:tr w:rsidR="00D90D1B" w:rsidTr="00C827D5">
        <w:trPr>
          <w:cantSplit/>
        </w:trPr>
        <w:tc>
          <w:tcPr>
            <w:tcW w:w="8771" w:type="dxa"/>
            <w:tcBorders>
              <w:top w:val="nil"/>
              <w:left w:val="nil"/>
              <w:bottom w:val="single" w:sz="6" w:space="0" w:color="78A22F"/>
              <w:right w:val="nil"/>
            </w:tcBorders>
            <w:shd w:val="clear" w:color="auto" w:fill="F2F2F2"/>
          </w:tcPr>
          <w:p w:rsidR="00D90D1B" w:rsidRDefault="00D90D1B">
            <w:pPr>
              <w:pStyle w:val="Box"/>
              <w:spacing w:before="0" w:line="120" w:lineRule="exact"/>
            </w:pPr>
          </w:p>
        </w:tc>
      </w:tr>
      <w:tr w:rsidR="00D90D1B" w:rsidRPr="000863A5" w:rsidTr="00C827D5">
        <w:tc>
          <w:tcPr>
            <w:tcW w:w="8771" w:type="dxa"/>
            <w:tcBorders>
              <w:top w:val="single" w:sz="6" w:space="0" w:color="78A22F"/>
              <w:left w:val="nil"/>
              <w:bottom w:val="nil"/>
              <w:right w:val="nil"/>
            </w:tcBorders>
          </w:tcPr>
          <w:p w:rsidR="00D90D1B" w:rsidRPr="00626D32" w:rsidRDefault="00D90D1B" w:rsidP="00C827D5">
            <w:pPr>
              <w:pStyle w:val="BoxSpaceBelow"/>
            </w:pPr>
          </w:p>
        </w:tc>
      </w:tr>
    </w:tbl>
    <w:p w:rsidR="00D90D1B" w:rsidRDefault="00D90D1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Tr="00C827D5">
        <w:tc>
          <w:tcPr>
            <w:tcW w:w="8771" w:type="dxa"/>
            <w:tcBorders>
              <w:top w:val="single" w:sz="6" w:space="0" w:color="78A22F"/>
              <w:left w:val="nil"/>
              <w:bottom w:val="nil"/>
              <w:right w:val="nil"/>
            </w:tcBorders>
            <w:shd w:val="clear" w:color="auto" w:fill="F2F2F2"/>
          </w:tcPr>
          <w:p w:rsidR="00D90D1B" w:rsidRDefault="00D90D1B" w:rsidP="004C7F59">
            <w:pPr>
              <w:pStyle w:val="BoxTitle"/>
            </w:pPr>
            <w:r>
              <w:rPr>
                <w:b w:val="0"/>
              </w:rPr>
              <w:t xml:space="preserve">Box </w:t>
            </w:r>
            <w:r w:rsidR="00321568">
              <w:rPr>
                <w:b w:val="0"/>
              </w:rPr>
              <w:t>14.</w:t>
            </w:r>
            <w:r w:rsidR="004C7F59">
              <w:rPr>
                <w:b w:val="0"/>
              </w:rPr>
              <w:t>1</w:t>
            </w:r>
            <w:r w:rsidR="00657898">
              <w:rPr>
                <w:b w:val="0"/>
              </w:rPr>
              <w:t>4</w:t>
            </w:r>
            <w:r>
              <w:tab/>
            </w:r>
            <w:r w:rsidR="004C7F59" w:rsidRPr="00E373DF">
              <w:rPr>
                <w:rStyle w:val="ContinuedChar"/>
              </w:rPr>
              <w:t>(continued)</w:t>
            </w:r>
          </w:p>
        </w:tc>
      </w:tr>
      <w:tr w:rsidR="00D90D1B" w:rsidTr="00C827D5">
        <w:trPr>
          <w:cantSplit/>
        </w:trPr>
        <w:tc>
          <w:tcPr>
            <w:tcW w:w="8771" w:type="dxa"/>
            <w:tcBorders>
              <w:top w:val="nil"/>
              <w:left w:val="nil"/>
              <w:bottom w:val="nil"/>
              <w:right w:val="nil"/>
            </w:tcBorders>
            <w:shd w:val="clear" w:color="auto" w:fill="F2F2F2"/>
          </w:tcPr>
          <w:p w:rsidR="0081279E" w:rsidRDefault="0081279E" w:rsidP="0081279E">
            <w:pPr>
              <w:pStyle w:val="Box"/>
            </w:pPr>
            <w:r w:rsidRPr="0081279E">
              <w:t>The review process involve</w:t>
            </w:r>
            <w:r>
              <w:t>s</w:t>
            </w:r>
            <w:r w:rsidRPr="0081279E">
              <w:t xml:space="preserve"> a desktop review of the relevant policies and procedures associated with the service; site visits; and interviews with clients, guardians, service staff, coordinators and management. Performance against the service standards is either rated as ‘met’, ‘partially met’ or ‘not met’. Where performance is rated as either partially met or not </w:t>
            </w:r>
            <w:proofErr w:type="gramStart"/>
            <w:r w:rsidRPr="0081279E">
              <w:t>met,</w:t>
            </w:r>
            <w:proofErr w:type="gramEnd"/>
            <w:r w:rsidRPr="0081279E">
              <w:t xml:space="preserve"> recommendations for service improvement was made.</w:t>
            </w:r>
          </w:p>
          <w:p w:rsidR="0081279E" w:rsidRPr="006A73EF" w:rsidRDefault="0081279E" w:rsidP="0081279E">
            <w:pPr>
              <w:pStyle w:val="Box"/>
            </w:pPr>
            <w:r w:rsidRPr="006A73EF">
              <w:t xml:space="preserve">A Service Improvement Plan is developed by the service provider and its implementation is monitored on a regular basis. A site visit is then conducted to monitor the service and assess whether the services provided meet the standards. Review Officers may also liaise with service stakeholders such as guardians, clients, support workers, advocates and management. During the reporting period two reviews were conducted against the Northern Territory Disability Service Standards. </w:t>
            </w:r>
          </w:p>
          <w:p w:rsidR="0081279E" w:rsidRDefault="0081279E" w:rsidP="0081279E">
            <w:pPr>
              <w:pStyle w:val="Box"/>
            </w:pPr>
            <w:r w:rsidRPr="006A73EF">
              <w:t>Service Improvement Plans have been developed and actions taken so far have resulted in significant improvements in the service quality. It is anticipated that follow</w:t>
            </w:r>
            <w:r w:rsidR="00B84AF2">
              <w:noBreakHyphen/>
            </w:r>
            <w:r w:rsidRPr="006A73EF">
              <w:t>up reviews will be</w:t>
            </w:r>
            <w:r>
              <w:t xml:space="preserve"> </w:t>
            </w:r>
            <w:r w:rsidRPr="006A73EF">
              <w:t>conducted on these services in the next reporting period.</w:t>
            </w:r>
          </w:p>
          <w:p w:rsidR="00D90D1B" w:rsidRDefault="00FC5ED1">
            <w:pPr>
              <w:pStyle w:val="Box"/>
            </w:pPr>
            <w:r w:rsidRPr="006A73EF">
              <w:t>The Office of Disability is currently in the process of updating quality assessment tools to be compatible with the revised National Standards for Disability Services, endorsed by all jurisdictions in December 2013.</w:t>
            </w:r>
          </w:p>
        </w:tc>
      </w:tr>
      <w:tr w:rsidR="00D90D1B" w:rsidTr="00C827D5">
        <w:trPr>
          <w:cantSplit/>
        </w:trPr>
        <w:tc>
          <w:tcPr>
            <w:tcW w:w="8771" w:type="dxa"/>
            <w:tcBorders>
              <w:top w:val="nil"/>
              <w:left w:val="nil"/>
              <w:bottom w:val="nil"/>
              <w:right w:val="nil"/>
            </w:tcBorders>
            <w:shd w:val="clear" w:color="auto" w:fill="F2F2F2"/>
          </w:tcPr>
          <w:p w:rsidR="00D90D1B" w:rsidRDefault="00D90D1B" w:rsidP="00C827D5">
            <w:pPr>
              <w:pStyle w:val="BoxSource"/>
            </w:pPr>
            <w:r w:rsidRPr="0040202F">
              <w:rPr>
                <w:i/>
              </w:rPr>
              <w:t>Source</w:t>
            </w:r>
            <w:r w:rsidRPr="0040202F">
              <w:t>: Australian, NSW, Victorian, Queensland, WA, SA, Tasmanian, ACT and NT governments (unpublished).</w:t>
            </w:r>
          </w:p>
        </w:tc>
      </w:tr>
      <w:tr w:rsidR="00D90D1B" w:rsidTr="00C827D5">
        <w:trPr>
          <w:cantSplit/>
        </w:trPr>
        <w:tc>
          <w:tcPr>
            <w:tcW w:w="8771" w:type="dxa"/>
            <w:tcBorders>
              <w:top w:val="nil"/>
              <w:left w:val="nil"/>
              <w:bottom w:val="single" w:sz="6" w:space="0" w:color="78A22F"/>
              <w:right w:val="nil"/>
            </w:tcBorders>
            <w:shd w:val="clear" w:color="auto" w:fill="F2F2F2"/>
          </w:tcPr>
          <w:p w:rsidR="00D90D1B" w:rsidRDefault="00D90D1B">
            <w:pPr>
              <w:pStyle w:val="Box"/>
              <w:spacing w:before="0" w:line="120" w:lineRule="exact"/>
            </w:pPr>
          </w:p>
        </w:tc>
      </w:tr>
      <w:tr w:rsidR="00D90D1B" w:rsidRPr="000863A5" w:rsidTr="00C827D5">
        <w:tc>
          <w:tcPr>
            <w:tcW w:w="8771" w:type="dxa"/>
            <w:tcBorders>
              <w:top w:val="single" w:sz="6" w:space="0" w:color="78A22F"/>
              <w:left w:val="nil"/>
              <w:bottom w:val="nil"/>
              <w:right w:val="nil"/>
            </w:tcBorders>
          </w:tcPr>
          <w:p w:rsidR="00D90D1B" w:rsidRPr="00626D32" w:rsidRDefault="00D90D1B" w:rsidP="00C827D5">
            <w:pPr>
              <w:pStyle w:val="BoxSpaceBelow"/>
            </w:pPr>
          </w:p>
        </w:tc>
      </w:tr>
    </w:tbl>
    <w:p w:rsidR="001F39F2" w:rsidRPr="0008320E" w:rsidRDefault="001F39F2" w:rsidP="00585E2C">
      <w:pPr>
        <w:pStyle w:val="Heading5"/>
      </w:pPr>
      <w:r w:rsidRPr="0008320E">
        <w:t>Client and carer satisfaction</w:t>
      </w:r>
    </w:p>
    <w:p w:rsidR="001F39F2" w:rsidRDefault="001F39F2" w:rsidP="00585E2C">
      <w:pPr>
        <w:pStyle w:val="BodyText"/>
      </w:pPr>
      <w:r w:rsidRPr="0008320E">
        <w:t>‘Client and carer satisfaction’ is an indicator of governments’ objective to deliver and fund quality</w:t>
      </w:r>
      <w:r w:rsidR="000A3BDF" w:rsidRPr="0008320E">
        <w:t xml:space="preserve"> disability</w:t>
      </w:r>
      <w:r w:rsidRPr="0008320E">
        <w:t xml:space="preserve"> services that meet the needs and goals of the client (or carer of the client) receiving them (box</w:t>
      </w:r>
      <w:r w:rsidR="00AE3578">
        <w:t> </w:t>
      </w:r>
      <w:r w:rsidRPr="0008320E">
        <w:t>14.</w:t>
      </w:r>
      <w:r w:rsidR="00525A0A" w:rsidRPr="0008320E">
        <w:t>15</w:t>
      </w:r>
      <w:r w:rsidR="00D90D1B">
        <w:t>).</w:t>
      </w:r>
    </w:p>
    <w:p w:rsidR="00D90D1B" w:rsidRDefault="00D90D1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Tr="00C827D5">
        <w:tc>
          <w:tcPr>
            <w:tcW w:w="8771" w:type="dxa"/>
            <w:tcBorders>
              <w:top w:val="single" w:sz="6" w:space="0" w:color="78A22F"/>
              <w:left w:val="nil"/>
              <w:bottom w:val="nil"/>
              <w:right w:val="nil"/>
            </w:tcBorders>
            <w:shd w:val="clear" w:color="auto" w:fill="F2F2F2"/>
          </w:tcPr>
          <w:p w:rsidR="00D90D1B" w:rsidRDefault="00D90D1B">
            <w:pPr>
              <w:pStyle w:val="BoxTitle"/>
            </w:pPr>
            <w:r>
              <w:rPr>
                <w:b w:val="0"/>
              </w:rPr>
              <w:t xml:space="preserve">Box </w:t>
            </w:r>
            <w:r w:rsidR="00321568">
              <w:rPr>
                <w:b w:val="0"/>
              </w:rPr>
              <w:t>14.</w:t>
            </w:r>
            <w:r w:rsidR="0085284B">
              <w:rPr>
                <w:b w:val="0"/>
                <w:noProof/>
              </w:rPr>
              <w:t>15</w:t>
            </w:r>
            <w:r>
              <w:tab/>
            </w:r>
            <w:r w:rsidRPr="00161353">
              <w:t>Client and carer satisfaction</w:t>
            </w:r>
          </w:p>
        </w:tc>
      </w:tr>
      <w:tr w:rsidR="00D90D1B" w:rsidTr="00C827D5">
        <w:trPr>
          <w:cantSplit/>
        </w:trPr>
        <w:tc>
          <w:tcPr>
            <w:tcW w:w="8771" w:type="dxa"/>
            <w:tcBorders>
              <w:top w:val="nil"/>
              <w:left w:val="nil"/>
              <w:bottom w:val="nil"/>
              <w:right w:val="nil"/>
            </w:tcBorders>
            <w:shd w:val="clear" w:color="auto" w:fill="F2F2F2"/>
          </w:tcPr>
          <w:p w:rsidR="00D90D1B" w:rsidRPr="00161353" w:rsidRDefault="00D90D1B" w:rsidP="00D90D1B">
            <w:pPr>
              <w:pStyle w:val="Box"/>
            </w:pPr>
            <w:r w:rsidRPr="00161353">
              <w:t xml:space="preserve">‘Client and carer satisfaction’ is defined as </w:t>
            </w:r>
            <w:r w:rsidR="0081279E">
              <w:t>service users</w:t>
            </w:r>
            <w:r w:rsidRPr="00161353">
              <w:t xml:space="preserve"> overall </w:t>
            </w:r>
            <w:r w:rsidR="00E573B8">
              <w:t xml:space="preserve">reported </w:t>
            </w:r>
            <w:r w:rsidR="0081279E">
              <w:t>levels of satisfaction</w:t>
            </w:r>
            <w:r w:rsidR="00E573B8">
              <w:t xml:space="preserve"> with services</w:t>
            </w:r>
            <w:r w:rsidR="0081279E">
              <w:t xml:space="preserve"> </w:t>
            </w:r>
            <w:r w:rsidRPr="00161353">
              <w:t>and satisfa</w:t>
            </w:r>
            <w:r w:rsidR="00E573B8">
              <w:t>ction with individual services.</w:t>
            </w:r>
          </w:p>
          <w:p w:rsidR="00D90D1B" w:rsidRPr="00161353" w:rsidRDefault="00D90D1B" w:rsidP="00D90D1B">
            <w:pPr>
              <w:pStyle w:val="Box"/>
            </w:pPr>
            <w:r w:rsidRPr="00161353">
              <w:t xml:space="preserve">Results are </w:t>
            </w:r>
            <w:r w:rsidR="00D95EC5">
              <w:t>reported</w:t>
            </w:r>
            <w:r w:rsidR="00265FEB">
              <w:t xml:space="preserve"> from:</w:t>
            </w:r>
          </w:p>
          <w:p w:rsidR="00D90D1B" w:rsidRPr="00D90D1B" w:rsidRDefault="00D90D1B" w:rsidP="00D90D1B">
            <w:pPr>
              <w:pStyle w:val="BoxListBullet"/>
            </w:pPr>
            <w:r w:rsidRPr="00D90D1B">
              <w:t>State and Territory administered client and carer satisfaction survey</w:t>
            </w:r>
            <w:r w:rsidR="00E573B8">
              <w:t>s</w:t>
            </w:r>
            <w:r w:rsidRPr="00D90D1B">
              <w:t xml:space="preserve"> and </w:t>
            </w:r>
            <w:r w:rsidR="00265FEB">
              <w:t>is</w:t>
            </w:r>
            <w:r w:rsidRPr="00D90D1B">
              <w:t xml:space="preserve"> expressed as percentages</w:t>
            </w:r>
          </w:p>
          <w:p w:rsidR="00D90D1B" w:rsidRPr="00D90D1B" w:rsidRDefault="00D95EC5" w:rsidP="00D90D1B">
            <w:pPr>
              <w:pStyle w:val="BoxListBullet"/>
            </w:pPr>
            <w:proofErr w:type="gramStart"/>
            <w:r>
              <w:t>t</w:t>
            </w:r>
            <w:r w:rsidR="00D90D1B" w:rsidRPr="00D90D1B">
              <w:t>he</w:t>
            </w:r>
            <w:proofErr w:type="gramEnd"/>
            <w:r w:rsidR="00D90D1B" w:rsidRPr="00D90D1B">
              <w:t xml:space="preserve"> 2012 </w:t>
            </w:r>
            <w:r w:rsidR="00BD1C57">
              <w:t>SDAC</w:t>
            </w:r>
            <w:r w:rsidR="001B5BCA">
              <w:t xml:space="preserve"> </w:t>
            </w:r>
            <w:r w:rsidR="001B5BCA" w:rsidRPr="00D90D1B">
              <w:t>and are expressed as</w:t>
            </w:r>
            <w:r w:rsidR="001B5BCA">
              <w:t xml:space="preserve"> numbers and proportions</w:t>
            </w:r>
            <w:r w:rsidR="00694D06">
              <w:t>.</w:t>
            </w:r>
          </w:p>
          <w:p w:rsidR="00D90D1B" w:rsidRPr="00161353" w:rsidRDefault="00D90D1B" w:rsidP="00D90D1B">
            <w:pPr>
              <w:pStyle w:val="Box"/>
              <w:rPr>
                <w:szCs w:val="24"/>
              </w:rPr>
            </w:pPr>
            <w:r w:rsidRPr="00161353">
              <w:t xml:space="preserve">A high or increasing proportion of clients and carers who are satisfied </w:t>
            </w:r>
            <w:proofErr w:type="gramStart"/>
            <w:r w:rsidRPr="00161353">
              <w:t>is</w:t>
            </w:r>
            <w:proofErr w:type="gramEnd"/>
            <w:r w:rsidRPr="00161353">
              <w:t xml:space="preserve"> desirable, as it suggests </w:t>
            </w:r>
            <w:r w:rsidR="00D95EC5">
              <w:t xml:space="preserve">that </w:t>
            </w:r>
            <w:r w:rsidRPr="00161353">
              <w:t xml:space="preserve">the service received was of a higher quality and better met the needs and goals of the client or carer. </w:t>
            </w:r>
          </w:p>
          <w:p w:rsidR="00D90D1B" w:rsidRPr="00161353" w:rsidRDefault="00D63CDD" w:rsidP="00D90D1B">
            <w:pPr>
              <w:pStyle w:val="Box"/>
              <w:rPr>
                <w:szCs w:val="24"/>
              </w:rPr>
            </w:pPr>
            <w:r>
              <w:t>State and Territory d</w:t>
            </w:r>
            <w:r w:rsidR="00D90D1B" w:rsidRPr="00161353">
              <w:t>ata reported for this measure are:</w:t>
            </w:r>
          </w:p>
          <w:p w:rsidR="00D90D1B" w:rsidRPr="00161353" w:rsidRDefault="00D90D1B" w:rsidP="00161353">
            <w:pPr>
              <w:pStyle w:val="BoxListBullet"/>
              <w:rPr>
                <w:lang w:eastAsia="en-US"/>
              </w:rPr>
            </w:pPr>
            <w:r w:rsidRPr="00161353">
              <w:rPr>
                <w:lang w:eastAsia="en-US"/>
              </w:rPr>
              <w:t xml:space="preserve">comparable (subject to caveats) within jurisdictions over time but are not </w:t>
            </w:r>
            <w:r w:rsidR="00694D06">
              <w:rPr>
                <w:lang w:eastAsia="en-US"/>
              </w:rPr>
              <w:t>comparable across jurisdictions</w:t>
            </w:r>
          </w:p>
          <w:p w:rsidR="00D90D1B" w:rsidRPr="00161353" w:rsidRDefault="00D90D1B" w:rsidP="006F166D">
            <w:pPr>
              <w:pStyle w:val="BoxListBullet"/>
              <w:rPr>
                <w:szCs w:val="24"/>
                <w:lang w:eastAsia="en-US"/>
              </w:rPr>
            </w:pPr>
            <w:proofErr w:type="gramStart"/>
            <w:r w:rsidRPr="00161353">
              <w:rPr>
                <w:lang w:eastAsia="en-US"/>
              </w:rPr>
              <w:t>incomplete</w:t>
            </w:r>
            <w:proofErr w:type="gramEnd"/>
            <w:r w:rsidRPr="00161353">
              <w:rPr>
                <w:lang w:eastAsia="en-US"/>
              </w:rPr>
              <w:t xml:space="preserve"> for the current reporting period. </w:t>
            </w:r>
            <w:r w:rsidR="00B24491" w:rsidRPr="00694D06">
              <w:rPr>
                <w:lang w:eastAsia="en-US"/>
              </w:rPr>
              <w:t>2013</w:t>
            </w:r>
            <w:r w:rsidR="00B84AF2" w:rsidRPr="00694D06">
              <w:rPr>
                <w:lang w:eastAsia="en-US"/>
              </w:rPr>
              <w:noBreakHyphen/>
            </w:r>
            <w:r w:rsidR="00B24491" w:rsidRPr="00694D06">
              <w:rPr>
                <w:lang w:eastAsia="en-US"/>
              </w:rPr>
              <w:t xml:space="preserve">14 </w:t>
            </w:r>
            <w:r w:rsidRPr="00694D06">
              <w:rPr>
                <w:lang w:eastAsia="en-US"/>
              </w:rPr>
              <w:t xml:space="preserve">data were </w:t>
            </w:r>
            <w:r w:rsidR="00B24491" w:rsidRPr="00694D06">
              <w:rPr>
                <w:lang w:eastAsia="en-US"/>
              </w:rPr>
              <w:t xml:space="preserve">not </w:t>
            </w:r>
            <w:r w:rsidRPr="00694D06">
              <w:rPr>
                <w:lang w:eastAsia="en-US"/>
              </w:rPr>
              <w:t xml:space="preserve">available for NSW, Victoria, Queensland, SA, Tasmania and the NT. </w:t>
            </w:r>
            <w:r w:rsidR="001F26AE" w:rsidRPr="00694D06">
              <w:rPr>
                <w:lang w:eastAsia="en-US"/>
              </w:rPr>
              <w:t>These data may not be collected in the</w:t>
            </w:r>
            <w:r w:rsidR="001F26AE" w:rsidRPr="000453A1">
              <w:rPr>
                <w:shd w:val="clear" w:color="auto" w:fill="FFFFFF" w:themeFill="background1"/>
                <w:lang w:eastAsia="en-US"/>
              </w:rPr>
              <w:t xml:space="preserve"> </w:t>
            </w:r>
            <w:r w:rsidR="001F26AE" w:rsidRPr="00694D06">
              <w:rPr>
                <w:lang w:eastAsia="en-US"/>
              </w:rPr>
              <w:t>future.</w:t>
            </w:r>
          </w:p>
          <w:p w:rsidR="00D63CDD" w:rsidRPr="003649E8" w:rsidRDefault="00D63CDD" w:rsidP="00D90D1B">
            <w:pPr>
              <w:pStyle w:val="Box"/>
            </w:pPr>
            <w:r w:rsidRPr="00DF5879">
              <w:t xml:space="preserve">SDAC data </w:t>
            </w:r>
            <w:r w:rsidRPr="00060ADF">
              <w:t xml:space="preserve">reported for </w:t>
            </w:r>
            <w:r w:rsidRPr="00E340C1">
              <w:t>this measure are</w:t>
            </w:r>
            <w:r w:rsidRPr="003649E8">
              <w:t>:</w:t>
            </w:r>
          </w:p>
          <w:p w:rsidR="00D63CDD" w:rsidRPr="00AE3578" w:rsidRDefault="00D63CDD" w:rsidP="00161353">
            <w:pPr>
              <w:pStyle w:val="BoxListBullet"/>
            </w:pPr>
            <w:r w:rsidRPr="00B6625A">
              <w:rPr>
                <w:lang w:eastAsia="en-US"/>
              </w:rPr>
              <w:t xml:space="preserve">comparable </w:t>
            </w:r>
            <w:r>
              <w:rPr>
                <w:lang w:eastAsia="en-US"/>
              </w:rPr>
              <w:t>across</w:t>
            </w:r>
            <w:r w:rsidRPr="00B6625A">
              <w:rPr>
                <w:lang w:eastAsia="en-US"/>
              </w:rPr>
              <w:t xml:space="preserve"> jurisdictions</w:t>
            </w:r>
          </w:p>
          <w:p w:rsidR="00265FEB" w:rsidRPr="00E340C1" w:rsidRDefault="00265FEB" w:rsidP="00265FEB">
            <w:pPr>
              <w:pStyle w:val="BoxListBullet"/>
              <w:rPr>
                <w:lang w:eastAsia="en-US"/>
              </w:rPr>
            </w:pPr>
            <w:proofErr w:type="gramStart"/>
            <w:r w:rsidRPr="00E340C1">
              <w:rPr>
                <w:lang w:eastAsia="en-US"/>
              </w:rPr>
              <w:t>complete</w:t>
            </w:r>
            <w:proofErr w:type="gramEnd"/>
            <w:r w:rsidRPr="00E340C1">
              <w:rPr>
                <w:lang w:eastAsia="en-US"/>
              </w:rPr>
              <w:t xml:space="preserve"> (subject to caveats) fo</w:t>
            </w:r>
            <w:r w:rsidR="00694D06">
              <w:rPr>
                <w:lang w:eastAsia="en-US"/>
              </w:rPr>
              <w:t>r the current reporting period.</w:t>
            </w:r>
          </w:p>
          <w:p w:rsidR="00D90D1B" w:rsidRDefault="00D90D1B" w:rsidP="00161353">
            <w:pPr>
              <w:pStyle w:val="Box"/>
            </w:pPr>
            <w:r w:rsidRPr="00161353">
              <w:t>Data quality information for this indicator is available for 2012 SDAC data</w:t>
            </w:r>
            <w:r w:rsidR="0028432F">
              <w:t xml:space="preserve"> at www.pc.gov.au</w:t>
            </w:r>
            <w:r w:rsidR="00161353">
              <w:t>/rogs/2015.</w:t>
            </w:r>
            <w:r w:rsidRPr="00161353">
              <w:t xml:space="preserve"> Data quality information for State and Territory data are under development.</w:t>
            </w:r>
          </w:p>
        </w:tc>
      </w:tr>
      <w:tr w:rsidR="00D90D1B" w:rsidTr="00C827D5">
        <w:trPr>
          <w:cantSplit/>
        </w:trPr>
        <w:tc>
          <w:tcPr>
            <w:tcW w:w="8771" w:type="dxa"/>
            <w:tcBorders>
              <w:top w:val="nil"/>
              <w:left w:val="nil"/>
              <w:bottom w:val="single" w:sz="6" w:space="0" w:color="78A22F"/>
              <w:right w:val="nil"/>
            </w:tcBorders>
            <w:shd w:val="clear" w:color="auto" w:fill="F2F2F2"/>
          </w:tcPr>
          <w:p w:rsidR="00D90D1B" w:rsidRDefault="00D90D1B">
            <w:pPr>
              <w:pStyle w:val="Box"/>
              <w:spacing w:before="0" w:line="120" w:lineRule="exact"/>
            </w:pPr>
          </w:p>
        </w:tc>
      </w:tr>
      <w:tr w:rsidR="00D90D1B" w:rsidRPr="000863A5" w:rsidTr="00C827D5">
        <w:tc>
          <w:tcPr>
            <w:tcW w:w="8771" w:type="dxa"/>
            <w:tcBorders>
              <w:top w:val="single" w:sz="6" w:space="0" w:color="78A22F"/>
              <w:left w:val="nil"/>
              <w:bottom w:val="nil"/>
              <w:right w:val="nil"/>
            </w:tcBorders>
          </w:tcPr>
          <w:p w:rsidR="00D90D1B" w:rsidRPr="00626D32" w:rsidRDefault="00D90D1B" w:rsidP="00C827D5">
            <w:pPr>
              <w:pStyle w:val="BoxSpaceBelow"/>
            </w:pPr>
          </w:p>
        </w:tc>
      </w:tr>
    </w:tbl>
    <w:p w:rsidR="00BA5606" w:rsidRDefault="00F449F0" w:rsidP="006A73EF">
      <w:pPr>
        <w:pStyle w:val="BodyText"/>
      </w:pPr>
      <w:r w:rsidRPr="00FF0B53">
        <w:t xml:space="preserve">State and Territory administered client and carer satisfaction survey </w:t>
      </w:r>
      <w:r w:rsidR="00265FEB">
        <w:t>data for 2013</w:t>
      </w:r>
      <w:r w:rsidR="00B84AF2">
        <w:noBreakHyphen/>
      </w:r>
      <w:r w:rsidR="00265FEB">
        <w:t>14 a</w:t>
      </w:r>
      <w:r w:rsidR="001F39F2" w:rsidRPr="00FF0B53">
        <w:t xml:space="preserve">re </w:t>
      </w:r>
      <w:r w:rsidR="00FE1C3B" w:rsidRPr="00562ABE">
        <w:t xml:space="preserve">only </w:t>
      </w:r>
      <w:r w:rsidR="001F39F2" w:rsidRPr="00FF0B53">
        <w:t xml:space="preserve">available for </w:t>
      </w:r>
      <w:r w:rsidR="00E573B8">
        <w:t>this report</w:t>
      </w:r>
      <w:r w:rsidR="001F39F2" w:rsidRPr="00562ABE">
        <w:t xml:space="preserve"> for </w:t>
      </w:r>
      <w:r w:rsidR="00562ABE" w:rsidRPr="00D9643F">
        <w:t>WA and the ACT</w:t>
      </w:r>
      <w:r w:rsidR="0019455A">
        <w:t xml:space="preserve"> </w:t>
      </w:r>
      <w:r w:rsidR="001F39F2" w:rsidRPr="00FF0B53">
        <w:t>(box</w:t>
      </w:r>
      <w:r w:rsidR="00AE3578">
        <w:t> </w:t>
      </w:r>
      <w:r w:rsidR="001F39F2" w:rsidRPr="00FF0B53">
        <w:t>14.</w:t>
      </w:r>
      <w:r w:rsidR="00FF0B53" w:rsidRPr="00FF0B53">
        <w:t>1</w:t>
      </w:r>
      <w:r w:rsidR="00562ABE">
        <w:t>6</w:t>
      </w:r>
      <w:r w:rsidR="001F39F2" w:rsidRPr="00FF0B53">
        <w:t xml:space="preserve">). </w:t>
      </w:r>
      <w:r w:rsidR="00265FEB">
        <w:t>Data for earlier years for Queensland, WA, and the ACT were included in the 2014 Re</w:t>
      </w:r>
      <w:r w:rsidR="00217BD3">
        <w:t xml:space="preserve">port (SCRGSP 2014, </w:t>
      </w:r>
      <w:r w:rsidR="00217BD3">
        <w:br/>
        <w:t>pp. 62–64).</w:t>
      </w:r>
    </w:p>
    <w:p w:rsidR="00D90D1B" w:rsidRDefault="00D90D1B" w:rsidP="005565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Tr="00C827D5">
        <w:tc>
          <w:tcPr>
            <w:tcW w:w="8771" w:type="dxa"/>
            <w:tcBorders>
              <w:top w:val="single" w:sz="6" w:space="0" w:color="78A22F"/>
              <w:left w:val="nil"/>
              <w:bottom w:val="nil"/>
              <w:right w:val="nil"/>
            </w:tcBorders>
            <w:shd w:val="clear" w:color="auto" w:fill="F2F2F2"/>
          </w:tcPr>
          <w:p w:rsidR="00D90D1B" w:rsidRDefault="00D90D1B" w:rsidP="00556562">
            <w:pPr>
              <w:pStyle w:val="BoxTitle"/>
            </w:pPr>
            <w:r>
              <w:rPr>
                <w:b w:val="0"/>
              </w:rPr>
              <w:t xml:space="preserve">Box </w:t>
            </w:r>
            <w:r w:rsidR="00321568">
              <w:rPr>
                <w:b w:val="0"/>
              </w:rPr>
              <w:t>14.</w:t>
            </w:r>
            <w:r w:rsidR="0085284B">
              <w:rPr>
                <w:b w:val="0"/>
                <w:noProof/>
              </w:rPr>
              <w:t>16</w:t>
            </w:r>
            <w:r>
              <w:tab/>
            </w:r>
            <w:r w:rsidRPr="00D90D1B">
              <w:t>Client and carer satisfaction with specialist disability services</w:t>
            </w:r>
          </w:p>
        </w:tc>
      </w:tr>
      <w:tr w:rsidR="00D90D1B" w:rsidTr="00C827D5">
        <w:trPr>
          <w:cantSplit/>
        </w:trPr>
        <w:tc>
          <w:tcPr>
            <w:tcW w:w="8771" w:type="dxa"/>
            <w:tcBorders>
              <w:top w:val="nil"/>
              <w:left w:val="nil"/>
              <w:bottom w:val="nil"/>
              <w:right w:val="nil"/>
            </w:tcBorders>
            <w:shd w:val="clear" w:color="auto" w:fill="F2F2F2"/>
          </w:tcPr>
          <w:p w:rsidR="00D90D1B" w:rsidRDefault="00D90D1B" w:rsidP="00556562">
            <w:pPr>
              <w:pStyle w:val="Box"/>
            </w:pPr>
            <w:r w:rsidRPr="0017269C">
              <w:t>‘Client and carer satisfaction</w:t>
            </w:r>
            <w:r w:rsidR="00754DCA">
              <w:t>’</w:t>
            </w:r>
            <w:r w:rsidRPr="0017269C">
              <w:t xml:space="preserve"> data relate to NDA specialist disability services</w:t>
            </w:r>
            <w:r w:rsidR="00E573B8">
              <w:t xml:space="preserve"> only</w:t>
            </w:r>
            <w:r w:rsidRPr="0017269C">
              <w:t>.</w:t>
            </w:r>
          </w:p>
          <w:p w:rsidR="00265FEB" w:rsidRDefault="00265FEB" w:rsidP="00556562">
            <w:pPr>
              <w:pStyle w:val="BoxHeading1"/>
              <w:spacing w:before="120"/>
            </w:pPr>
            <w:r>
              <w:t>NSW</w:t>
            </w:r>
          </w:p>
          <w:p w:rsidR="00265FEB" w:rsidRPr="0017269C" w:rsidRDefault="00265FEB" w:rsidP="00556562">
            <w:pPr>
              <w:pStyle w:val="Box"/>
            </w:pPr>
            <w:r>
              <w:t xml:space="preserve">Surveys are not conducted in NSW. </w:t>
            </w:r>
          </w:p>
          <w:p w:rsidR="00D90D1B" w:rsidRDefault="00D90D1B" w:rsidP="00556562">
            <w:pPr>
              <w:pStyle w:val="BoxHeading1"/>
              <w:spacing w:before="120"/>
            </w:pPr>
            <w:r w:rsidRPr="0017269C">
              <w:t>Victoria</w:t>
            </w:r>
          </w:p>
          <w:p w:rsidR="00657898" w:rsidRDefault="00657898" w:rsidP="00556562">
            <w:pPr>
              <w:pStyle w:val="Box"/>
              <w:rPr>
                <w:szCs w:val="24"/>
              </w:rPr>
            </w:pPr>
            <w:r w:rsidRPr="006822F4">
              <w:t xml:space="preserve">No survey was conducted in </w:t>
            </w:r>
            <w:r>
              <w:t>Victoria</w:t>
            </w:r>
            <w:r w:rsidRPr="006822F4">
              <w:t xml:space="preserve"> in </w:t>
            </w:r>
            <w:r>
              <w:t>2013</w:t>
            </w:r>
            <w:r w:rsidR="00B84AF2">
              <w:noBreakHyphen/>
            </w:r>
            <w:r>
              <w:t>14.</w:t>
            </w:r>
          </w:p>
          <w:p w:rsidR="00D90D1B" w:rsidRDefault="00D90D1B" w:rsidP="00556562">
            <w:pPr>
              <w:pStyle w:val="BoxHeading1"/>
              <w:spacing w:before="120"/>
            </w:pPr>
            <w:r w:rsidRPr="0017269C">
              <w:t>Queensland</w:t>
            </w:r>
          </w:p>
          <w:p w:rsidR="00562ABE" w:rsidRDefault="00562ABE" w:rsidP="00556562">
            <w:pPr>
              <w:pStyle w:val="Box"/>
              <w:rPr>
                <w:szCs w:val="24"/>
              </w:rPr>
            </w:pPr>
            <w:r w:rsidRPr="006822F4">
              <w:t xml:space="preserve">No survey was conducted in </w:t>
            </w:r>
            <w:r>
              <w:t>Queensland</w:t>
            </w:r>
            <w:r w:rsidRPr="006822F4">
              <w:t xml:space="preserve"> in </w:t>
            </w:r>
            <w:r>
              <w:t>2013</w:t>
            </w:r>
            <w:r w:rsidR="00B84AF2">
              <w:noBreakHyphen/>
            </w:r>
            <w:r>
              <w:t>14.</w:t>
            </w:r>
          </w:p>
          <w:p w:rsidR="00562ABE" w:rsidRDefault="00562ABE" w:rsidP="00556562">
            <w:pPr>
              <w:pStyle w:val="BoxHeading1"/>
              <w:spacing w:before="120"/>
            </w:pPr>
            <w:r w:rsidRPr="00657898">
              <w:t>WA</w:t>
            </w:r>
          </w:p>
          <w:p w:rsidR="00657898" w:rsidRDefault="00FE1C3B" w:rsidP="00556562">
            <w:pPr>
              <w:pStyle w:val="Box"/>
            </w:pPr>
            <w:r>
              <w:t>WA</w:t>
            </w:r>
            <w:r w:rsidR="00657898">
              <w:t xml:space="preserve"> conducted a carer and client satisfaction survey in March 2014. In this survey, a total of 735</w:t>
            </w:r>
            <w:r w:rsidR="00E573B8">
              <w:t> </w:t>
            </w:r>
            <w:r w:rsidR="00657898">
              <w:t>structured telephone interviews we</w:t>
            </w:r>
            <w:r w:rsidR="002C1E65">
              <w:t>re completed from a sample of 1</w:t>
            </w:r>
            <w:r w:rsidR="00657898">
              <w:t>631 individuals with disability or their carers, which was stratified to ensure that it contained individuals representing users across all services funded by the Disability Services Commission. Of the 735</w:t>
            </w:r>
            <w:r w:rsidR="00E573B8">
              <w:t> </w:t>
            </w:r>
            <w:r w:rsidR="00657898">
              <w:t xml:space="preserve">respondents, 144 (20 per cent) were service users and 591 (80 per cent) were carers responding on behalf of service users. </w:t>
            </w:r>
          </w:p>
          <w:p w:rsidR="00657898" w:rsidRDefault="00657898" w:rsidP="00556562">
            <w:pPr>
              <w:pStyle w:val="Box"/>
            </w:pPr>
            <w:r>
              <w:t>Overall service user satisfaction was 84 per cent. For individual services, reported satisfaction was:</w:t>
            </w:r>
          </w:p>
          <w:p w:rsidR="00657898" w:rsidRDefault="00657898" w:rsidP="00556562">
            <w:pPr>
              <w:pStyle w:val="BoxListBullet"/>
              <w:rPr>
                <w:szCs w:val="24"/>
              </w:rPr>
            </w:pPr>
            <w:r>
              <w:t>92 per cent for accommodation</w:t>
            </w:r>
          </w:p>
          <w:p w:rsidR="00657898" w:rsidRDefault="00657898" w:rsidP="00556562">
            <w:pPr>
              <w:pStyle w:val="BoxListBullet"/>
              <w:rPr>
                <w:szCs w:val="24"/>
              </w:rPr>
            </w:pPr>
            <w:r>
              <w:t>87 per cent for community</w:t>
            </w:r>
            <w:r w:rsidR="00B84AF2">
              <w:noBreakHyphen/>
            </w:r>
            <w:r>
              <w:t>focused supports (includes Disability Professional Services and Day Options)</w:t>
            </w:r>
          </w:p>
          <w:p w:rsidR="00657898" w:rsidRDefault="00657898" w:rsidP="00556562">
            <w:pPr>
              <w:pStyle w:val="BoxListBullet"/>
              <w:rPr>
                <w:szCs w:val="24"/>
              </w:rPr>
            </w:pPr>
            <w:r>
              <w:t>75 per cent for coordination and individual support</w:t>
            </w:r>
          </w:p>
          <w:p w:rsidR="00657898" w:rsidRPr="00657898" w:rsidRDefault="00657898" w:rsidP="00556562">
            <w:pPr>
              <w:pStyle w:val="BoxListBullet"/>
              <w:rPr>
                <w:szCs w:val="24"/>
              </w:rPr>
            </w:pPr>
            <w:r>
              <w:t>86 per cent for family and carer support.</w:t>
            </w:r>
          </w:p>
          <w:p w:rsidR="00562ABE" w:rsidRPr="006822F4" w:rsidRDefault="00562ABE" w:rsidP="00556562">
            <w:pPr>
              <w:pStyle w:val="BoxHeading1"/>
              <w:spacing w:before="120"/>
            </w:pPr>
            <w:r w:rsidRPr="006822F4">
              <w:t>SA</w:t>
            </w:r>
          </w:p>
          <w:p w:rsidR="00562ABE" w:rsidRDefault="00562ABE" w:rsidP="00556562">
            <w:pPr>
              <w:pStyle w:val="Box"/>
              <w:rPr>
                <w:szCs w:val="24"/>
              </w:rPr>
            </w:pPr>
            <w:r w:rsidRPr="006822F4">
              <w:t xml:space="preserve">No survey was conducted in SA in </w:t>
            </w:r>
            <w:r>
              <w:t>2013</w:t>
            </w:r>
            <w:r w:rsidR="00B84AF2">
              <w:noBreakHyphen/>
            </w:r>
            <w:r>
              <w:t>14.</w:t>
            </w:r>
          </w:p>
          <w:p w:rsidR="00562ABE" w:rsidRDefault="00562ABE" w:rsidP="00556562">
            <w:pPr>
              <w:pStyle w:val="BoxHeading1"/>
              <w:spacing w:before="120"/>
            </w:pPr>
            <w:r w:rsidRPr="008866E8">
              <w:t>Tasmania</w:t>
            </w:r>
          </w:p>
          <w:p w:rsidR="00562ABE" w:rsidRDefault="00562ABE" w:rsidP="00556562">
            <w:pPr>
              <w:pStyle w:val="Box"/>
              <w:rPr>
                <w:szCs w:val="24"/>
              </w:rPr>
            </w:pPr>
            <w:r w:rsidRPr="006822F4">
              <w:t xml:space="preserve">No survey was conducted in </w:t>
            </w:r>
            <w:r>
              <w:t>Tasmania</w:t>
            </w:r>
            <w:r w:rsidRPr="006822F4">
              <w:t xml:space="preserve"> in </w:t>
            </w:r>
            <w:r>
              <w:t>2013</w:t>
            </w:r>
            <w:r w:rsidR="00B84AF2">
              <w:noBreakHyphen/>
            </w:r>
            <w:r>
              <w:t>14.</w:t>
            </w:r>
          </w:p>
          <w:p w:rsidR="00D90D1B" w:rsidRDefault="00D90D1B" w:rsidP="00556562">
            <w:pPr>
              <w:pStyle w:val="Continued"/>
              <w:keepNext/>
            </w:pPr>
            <w:r w:rsidRPr="008F5F24">
              <w:t>(</w:t>
            </w:r>
            <w:r w:rsidR="00610020">
              <w:t>C</w:t>
            </w:r>
            <w:r w:rsidRPr="008F5F24">
              <w:t>ontinued on next page)</w:t>
            </w:r>
          </w:p>
        </w:tc>
      </w:tr>
      <w:tr w:rsidR="00D90D1B" w:rsidTr="00C827D5">
        <w:trPr>
          <w:cantSplit/>
        </w:trPr>
        <w:tc>
          <w:tcPr>
            <w:tcW w:w="8771" w:type="dxa"/>
            <w:tcBorders>
              <w:top w:val="nil"/>
              <w:left w:val="nil"/>
              <w:bottom w:val="single" w:sz="6" w:space="0" w:color="78A22F"/>
              <w:right w:val="nil"/>
            </w:tcBorders>
            <w:shd w:val="clear" w:color="auto" w:fill="F2F2F2"/>
          </w:tcPr>
          <w:p w:rsidR="00D90D1B" w:rsidRDefault="00D90D1B" w:rsidP="006A73EF">
            <w:pPr>
              <w:pStyle w:val="Box"/>
              <w:keepNext w:val="0"/>
              <w:spacing w:before="0" w:line="120" w:lineRule="exact"/>
            </w:pPr>
          </w:p>
        </w:tc>
      </w:tr>
      <w:tr w:rsidR="00D90D1B" w:rsidRPr="000863A5" w:rsidTr="00C827D5">
        <w:tc>
          <w:tcPr>
            <w:tcW w:w="8771" w:type="dxa"/>
            <w:tcBorders>
              <w:top w:val="single" w:sz="6" w:space="0" w:color="78A22F"/>
              <w:left w:val="nil"/>
              <w:bottom w:val="nil"/>
              <w:right w:val="nil"/>
            </w:tcBorders>
          </w:tcPr>
          <w:p w:rsidR="00D90D1B" w:rsidRPr="00626D32" w:rsidRDefault="00D90D1B" w:rsidP="006A73EF">
            <w:pPr>
              <w:pStyle w:val="BoxSpaceBelow"/>
            </w:pPr>
          </w:p>
        </w:tc>
      </w:tr>
    </w:tbl>
    <w:p w:rsidR="00D90D1B" w:rsidRDefault="00D90D1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Tr="00C827D5">
        <w:tc>
          <w:tcPr>
            <w:tcW w:w="8771" w:type="dxa"/>
            <w:tcBorders>
              <w:top w:val="single" w:sz="6" w:space="0" w:color="78A22F"/>
              <w:left w:val="nil"/>
              <w:bottom w:val="nil"/>
              <w:right w:val="nil"/>
            </w:tcBorders>
            <w:shd w:val="clear" w:color="auto" w:fill="F2F2F2"/>
          </w:tcPr>
          <w:p w:rsidR="00D90D1B" w:rsidRDefault="00D90D1B" w:rsidP="002C1E65">
            <w:pPr>
              <w:pStyle w:val="BoxTitle"/>
            </w:pPr>
            <w:r>
              <w:rPr>
                <w:b w:val="0"/>
              </w:rPr>
              <w:t xml:space="preserve">Box </w:t>
            </w:r>
            <w:r w:rsidR="00321568">
              <w:rPr>
                <w:b w:val="0"/>
              </w:rPr>
              <w:t>14.</w:t>
            </w:r>
            <w:r w:rsidR="001B5BCA">
              <w:rPr>
                <w:b w:val="0"/>
              </w:rPr>
              <w:t>1</w:t>
            </w:r>
            <w:r w:rsidR="002C1E65">
              <w:rPr>
                <w:b w:val="0"/>
              </w:rPr>
              <w:t>6</w:t>
            </w:r>
            <w:r>
              <w:tab/>
            </w:r>
            <w:r w:rsidRPr="00E373DF">
              <w:rPr>
                <w:rStyle w:val="ContinuedChar"/>
              </w:rPr>
              <w:t>(continued)</w:t>
            </w:r>
          </w:p>
        </w:tc>
      </w:tr>
      <w:tr w:rsidR="00D90D1B" w:rsidTr="00C827D5">
        <w:trPr>
          <w:cantSplit/>
        </w:trPr>
        <w:tc>
          <w:tcPr>
            <w:tcW w:w="8771" w:type="dxa"/>
            <w:tcBorders>
              <w:top w:val="nil"/>
              <w:left w:val="nil"/>
              <w:bottom w:val="nil"/>
              <w:right w:val="nil"/>
            </w:tcBorders>
            <w:shd w:val="clear" w:color="auto" w:fill="F2F2F2"/>
          </w:tcPr>
          <w:p w:rsidR="00E573B8" w:rsidRDefault="00E573B8" w:rsidP="00E573B8">
            <w:pPr>
              <w:pStyle w:val="BoxHeading1"/>
              <w:keepNext w:val="0"/>
              <w:spacing w:before="120"/>
            </w:pPr>
            <w:r w:rsidRPr="008866E8">
              <w:t>ACT</w:t>
            </w:r>
          </w:p>
          <w:p w:rsidR="00E573B8" w:rsidRDefault="00E573B8" w:rsidP="00E573B8">
            <w:pPr>
              <w:pStyle w:val="Box"/>
              <w:keepNext w:val="0"/>
            </w:pPr>
            <w:r w:rsidRPr="00562ABE">
              <w:t>In 2013</w:t>
            </w:r>
            <w:r w:rsidR="00B84AF2">
              <w:noBreakHyphen/>
            </w:r>
            <w:r w:rsidRPr="00562ABE">
              <w:t>14, the ACT conducted a client satisfaction survey that measured client satisfaction with all disability services funded through Disability ACT, including government provided services as well as services provided through non</w:t>
            </w:r>
            <w:r w:rsidR="00B84AF2">
              <w:noBreakHyphen/>
            </w:r>
            <w:r w:rsidRPr="00562ABE">
              <w:t xml:space="preserve">government agencies. </w:t>
            </w:r>
          </w:p>
          <w:p w:rsidR="006A73EF" w:rsidRPr="00562ABE" w:rsidRDefault="00E573B8" w:rsidP="006A73EF">
            <w:pPr>
              <w:pStyle w:val="Box"/>
              <w:keepNext w:val="0"/>
            </w:pPr>
            <w:r>
              <w:t>This survey</w:t>
            </w:r>
            <w:r w:rsidR="006A73EF" w:rsidRPr="00562ABE">
              <w:t xml:space="preserve"> asked clients to rate their overall level of satisfaction with the quality of the main disability services they had received over the past 12 months. Overall, 81 per cent of respondents to the survey reported that they were satisfied or very satisfied with disability services funded through Disability ACT.</w:t>
            </w:r>
          </w:p>
          <w:p w:rsidR="00265FEB" w:rsidRPr="00562ABE" w:rsidRDefault="00265FEB" w:rsidP="00265FEB">
            <w:pPr>
              <w:pStyle w:val="Box"/>
            </w:pPr>
            <w:r w:rsidRPr="00562ABE">
              <w:t>The proportion of service users reporting that they were satisfied or very satisfied was:</w:t>
            </w:r>
          </w:p>
          <w:p w:rsidR="00265FEB" w:rsidRDefault="00265FEB" w:rsidP="00265FEB">
            <w:pPr>
              <w:pStyle w:val="BoxListBullet"/>
            </w:pPr>
            <w:r>
              <w:t xml:space="preserve">81 per cent for accommodation support services — group home </w:t>
            </w:r>
          </w:p>
          <w:p w:rsidR="00265FEB" w:rsidRDefault="00265FEB" w:rsidP="00265FEB">
            <w:pPr>
              <w:pStyle w:val="BoxListBullet"/>
            </w:pPr>
            <w:r>
              <w:t>82 per cent for accommodation support services — in own home</w:t>
            </w:r>
          </w:p>
          <w:p w:rsidR="00265FEB" w:rsidRDefault="00265FEB" w:rsidP="00265FEB">
            <w:pPr>
              <w:pStyle w:val="BoxListBullet"/>
            </w:pPr>
            <w:r>
              <w:t>88 per cent for community access — recreation</w:t>
            </w:r>
          </w:p>
          <w:p w:rsidR="005E5120" w:rsidRDefault="005E5120" w:rsidP="005E5120">
            <w:pPr>
              <w:pStyle w:val="BoxListBullet"/>
            </w:pPr>
            <w:r>
              <w:t>76 per cent for community access — support to participate in community</w:t>
            </w:r>
          </w:p>
          <w:p w:rsidR="005E5120" w:rsidRDefault="005E5120" w:rsidP="005E5120">
            <w:pPr>
              <w:pStyle w:val="BoxListBullet"/>
            </w:pPr>
            <w:r>
              <w:t>92 per cen</w:t>
            </w:r>
            <w:r w:rsidR="00FE1C3B">
              <w:t>t for respite — in home respite</w:t>
            </w:r>
          </w:p>
          <w:p w:rsidR="005E5120" w:rsidRDefault="005E5120" w:rsidP="005E5120">
            <w:pPr>
              <w:pStyle w:val="BoxListBullet"/>
            </w:pPr>
            <w:r>
              <w:t>75 per cent for community support — case management/support</w:t>
            </w:r>
          </w:p>
          <w:p w:rsidR="005E5120" w:rsidRDefault="005E5120" w:rsidP="005E5120">
            <w:pPr>
              <w:pStyle w:val="BoxListBullet"/>
            </w:pPr>
            <w:r>
              <w:t>90 per cent for respite — centre based respite</w:t>
            </w:r>
          </w:p>
          <w:p w:rsidR="00D90D1B" w:rsidRPr="00FE1C3B" w:rsidRDefault="00FE1C3B" w:rsidP="0017269C">
            <w:pPr>
              <w:pStyle w:val="BoxListBullet"/>
              <w:rPr>
                <w:szCs w:val="24"/>
              </w:rPr>
            </w:pPr>
            <w:r>
              <w:t>86 per cent for information/</w:t>
            </w:r>
            <w:r w:rsidR="00E573B8">
              <w:t>referral.</w:t>
            </w:r>
          </w:p>
          <w:p w:rsidR="00FE1C3B" w:rsidRDefault="00FE1C3B" w:rsidP="00FE1C3B">
            <w:pPr>
              <w:pStyle w:val="BoxHeading1"/>
              <w:keepNext w:val="0"/>
              <w:spacing w:before="120"/>
            </w:pPr>
            <w:r>
              <w:t>NT</w:t>
            </w:r>
          </w:p>
          <w:p w:rsidR="00FE1C3B" w:rsidRPr="00FE1C3B" w:rsidRDefault="00FE1C3B" w:rsidP="00FE1C3B">
            <w:pPr>
              <w:pStyle w:val="Box"/>
            </w:pPr>
            <w:r>
              <w:t xml:space="preserve">Surveys are not conducted in the NT. </w:t>
            </w:r>
          </w:p>
        </w:tc>
      </w:tr>
      <w:tr w:rsidR="005E5120" w:rsidTr="00567316">
        <w:trPr>
          <w:cantSplit/>
        </w:trPr>
        <w:tc>
          <w:tcPr>
            <w:tcW w:w="8771" w:type="dxa"/>
            <w:tcBorders>
              <w:top w:val="nil"/>
              <w:left w:val="nil"/>
              <w:bottom w:val="nil"/>
              <w:right w:val="nil"/>
            </w:tcBorders>
            <w:shd w:val="clear" w:color="auto" w:fill="F2F2F2"/>
          </w:tcPr>
          <w:p w:rsidR="005E5120" w:rsidRDefault="005E5120" w:rsidP="002C1E65">
            <w:pPr>
              <w:pStyle w:val="BoxSource"/>
            </w:pPr>
            <w:r>
              <w:rPr>
                <w:i/>
              </w:rPr>
              <w:t>Source</w:t>
            </w:r>
            <w:r w:rsidRPr="00AE3578">
              <w:t>:</w:t>
            </w:r>
            <w:r>
              <w:rPr>
                <w:i/>
              </w:rPr>
              <w:t xml:space="preserve"> </w:t>
            </w:r>
            <w:r w:rsidR="00FE1C3B" w:rsidRPr="00FE1C3B">
              <w:t>WA</w:t>
            </w:r>
            <w:r w:rsidR="002C1E65">
              <w:t xml:space="preserve"> and</w:t>
            </w:r>
            <w:r w:rsidR="00FE1C3B" w:rsidRPr="00FE1C3B">
              <w:t xml:space="preserve"> </w:t>
            </w:r>
            <w:r w:rsidRPr="00FE1C3B">
              <w:t>ACT governments (unpublished).</w:t>
            </w:r>
          </w:p>
        </w:tc>
      </w:tr>
      <w:tr w:rsidR="00D90D1B" w:rsidTr="00C827D5">
        <w:trPr>
          <w:cantSplit/>
        </w:trPr>
        <w:tc>
          <w:tcPr>
            <w:tcW w:w="8771" w:type="dxa"/>
            <w:tcBorders>
              <w:top w:val="nil"/>
              <w:left w:val="nil"/>
              <w:bottom w:val="single" w:sz="6" w:space="0" w:color="78A22F"/>
              <w:right w:val="nil"/>
            </w:tcBorders>
            <w:shd w:val="clear" w:color="auto" w:fill="F2F2F2"/>
          </w:tcPr>
          <w:p w:rsidR="00D90D1B" w:rsidRDefault="00D90D1B">
            <w:pPr>
              <w:pStyle w:val="Box"/>
              <w:spacing w:before="0" w:line="120" w:lineRule="exact"/>
            </w:pPr>
          </w:p>
        </w:tc>
      </w:tr>
      <w:tr w:rsidR="00D90D1B" w:rsidRPr="000863A5" w:rsidTr="00C827D5">
        <w:tc>
          <w:tcPr>
            <w:tcW w:w="8771" w:type="dxa"/>
            <w:tcBorders>
              <w:top w:val="single" w:sz="6" w:space="0" w:color="78A22F"/>
              <w:left w:val="nil"/>
              <w:bottom w:val="nil"/>
              <w:right w:val="nil"/>
            </w:tcBorders>
          </w:tcPr>
          <w:p w:rsidR="00D90D1B" w:rsidRPr="00626D32" w:rsidRDefault="00D90D1B" w:rsidP="00C827D5">
            <w:pPr>
              <w:pStyle w:val="BoxSpaceBelow"/>
            </w:pPr>
          </w:p>
        </w:tc>
      </w:tr>
    </w:tbl>
    <w:p w:rsidR="00C359FE" w:rsidRDefault="003647E1" w:rsidP="009866EF">
      <w:pPr>
        <w:pStyle w:val="BodyText"/>
      </w:pPr>
      <w:r>
        <w:t xml:space="preserve">Data </w:t>
      </w:r>
      <w:r w:rsidR="00F81BD3">
        <w:t>on</w:t>
      </w:r>
      <w:r w:rsidR="00F81BD3" w:rsidRPr="00A65783">
        <w:t xml:space="preserve"> </w:t>
      </w:r>
      <w:r w:rsidR="00F81BD3">
        <w:t xml:space="preserve">the satisfaction of </w:t>
      </w:r>
      <w:r w:rsidR="00F81BD3" w:rsidRPr="00A65783">
        <w:t>client</w:t>
      </w:r>
      <w:r w:rsidR="00305A72">
        <w:t>s</w:t>
      </w:r>
      <w:r w:rsidR="00F81BD3" w:rsidRPr="00A65783">
        <w:t xml:space="preserve"> and carer</w:t>
      </w:r>
      <w:r w:rsidR="00F81BD3">
        <w:t>s</w:t>
      </w:r>
      <w:r w:rsidR="00F81BD3" w:rsidRPr="00A65783">
        <w:t xml:space="preserve"> with </w:t>
      </w:r>
      <w:r w:rsidR="00F81BD3">
        <w:t xml:space="preserve">the quality of </w:t>
      </w:r>
      <w:r w:rsidR="00F81BD3" w:rsidRPr="00A65783">
        <w:t xml:space="preserve">formal services are available </w:t>
      </w:r>
      <w:r w:rsidR="00F81BD3">
        <w:t xml:space="preserve">for the first time </w:t>
      </w:r>
      <w:r>
        <w:t xml:space="preserve">from the </w:t>
      </w:r>
      <w:r w:rsidR="00544897">
        <w:t xml:space="preserve">2012 </w:t>
      </w:r>
      <w:r w:rsidR="001B5BCA" w:rsidRPr="00A65783">
        <w:t xml:space="preserve">SDAC </w:t>
      </w:r>
      <w:r w:rsidR="00F81BD3">
        <w:t>(</w:t>
      </w:r>
      <w:proofErr w:type="gramStart"/>
      <w:r w:rsidR="00F81BD3" w:rsidRPr="002B526C">
        <w:t>tables</w:t>
      </w:r>
      <w:proofErr w:type="gramEnd"/>
      <w:r w:rsidR="00AE3578">
        <w:t> </w:t>
      </w:r>
      <w:r w:rsidR="00C819E3" w:rsidRPr="002B526C">
        <w:t>14</w:t>
      </w:r>
      <w:r w:rsidR="00FE1C3B" w:rsidRPr="002B526C">
        <w:t>A.</w:t>
      </w:r>
      <w:r w:rsidR="00402536" w:rsidRPr="002B526C">
        <w:t>7</w:t>
      </w:r>
      <w:r w:rsidR="00402536">
        <w:t>9</w:t>
      </w:r>
      <w:r w:rsidR="00C73AAC">
        <w:t>–</w:t>
      </w:r>
      <w:r w:rsidR="00402536" w:rsidRPr="002B526C">
        <w:t>8</w:t>
      </w:r>
      <w:r w:rsidR="00402536">
        <w:t>6</w:t>
      </w:r>
      <w:r w:rsidR="001170CF">
        <w:t>).</w:t>
      </w:r>
      <w:r w:rsidR="002B526C" w:rsidRPr="00A65783">
        <w:t xml:space="preserve"> </w:t>
      </w:r>
      <w:r w:rsidR="00A65783" w:rsidRPr="00F02BED">
        <w:rPr>
          <w:szCs w:val="26"/>
        </w:rPr>
        <w:t xml:space="preserve">Nationally, in 2012, the estimated rate of people aged 15–64 years with a </w:t>
      </w:r>
      <w:r w:rsidR="00C359FE">
        <w:rPr>
          <w:szCs w:val="26"/>
        </w:rPr>
        <w:t xml:space="preserve">reported disability who were </w:t>
      </w:r>
      <w:r w:rsidR="00C359FE" w:rsidRPr="00A65783">
        <w:t xml:space="preserve">satisfied with the quality of assistance </w:t>
      </w:r>
      <w:r w:rsidR="00C359FE">
        <w:t xml:space="preserve">they </w:t>
      </w:r>
      <w:r w:rsidR="00C359FE" w:rsidRPr="00A65783">
        <w:t xml:space="preserve">received from organised and formal services </w:t>
      </w:r>
      <w:r w:rsidR="00C359FE">
        <w:t xml:space="preserve">(79.5 </w:t>
      </w:r>
      <w:r w:rsidR="00C359FE" w:rsidRPr="00A65783">
        <w:t>± 2.4</w:t>
      </w:r>
      <w:r w:rsidR="00C359FE">
        <w:t xml:space="preserve"> per cent) was higher than the estimated rate of </w:t>
      </w:r>
      <w:r w:rsidR="00C359FE" w:rsidRPr="00C359FE">
        <w:rPr>
          <w:szCs w:val="26"/>
        </w:rPr>
        <w:t xml:space="preserve">primary carers who </w:t>
      </w:r>
      <w:r w:rsidR="00C359FE">
        <w:rPr>
          <w:szCs w:val="26"/>
        </w:rPr>
        <w:t>were</w:t>
      </w:r>
      <w:r w:rsidR="00C359FE" w:rsidRPr="00C359FE">
        <w:rPr>
          <w:szCs w:val="26"/>
        </w:rPr>
        <w:t xml:space="preserve"> satisfied with the quality of formal services received to help in their caring role</w:t>
      </w:r>
      <w:r w:rsidR="00E654B2">
        <w:rPr>
          <w:szCs w:val="26"/>
        </w:rPr>
        <w:t xml:space="preserve"> (69.0 ± </w:t>
      </w:r>
      <w:r w:rsidR="00C359FE" w:rsidRPr="00C359FE">
        <w:rPr>
          <w:szCs w:val="26"/>
        </w:rPr>
        <w:t>5.0</w:t>
      </w:r>
      <w:r w:rsidR="00C359FE">
        <w:t xml:space="preserve"> per cent) (figure 14.29). </w:t>
      </w:r>
      <w:r w:rsidR="00C359FE" w:rsidRPr="00A65783">
        <w:t>SDAC data should not be compared to State and Territory administered client and carer satisfaction data as the definition of formal services in the SDAC is broader than the scope of specialist disability services as defined by the NDA.</w:t>
      </w:r>
    </w:p>
    <w:p w:rsidR="00C359FE" w:rsidRDefault="00C359FE" w:rsidP="00B02A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59FE" w:rsidTr="00B02A7D">
        <w:tc>
          <w:tcPr>
            <w:tcW w:w="8771" w:type="dxa"/>
            <w:tcBorders>
              <w:top w:val="single" w:sz="6" w:space="0" w:color="78A22F"/>
              <w:left w:val="nil"/>
              <w:bottom w:val="nil"/>
              <w:right w:val="nil"/>
            </w:tcBorders>
            <w:shd w:val="clear" w:color="auto" w:fill="auto"/>
          </w:tcPr>
          <w:p w:rsidR="00C359FE" w:rsidRPr="00176D3F" w:rsidRDefault="00C359FE" w:rsidP="00F81BD3">
            <w:pPr>
              <w:pStyle w:val="FigureTitle"/>
              <w:ind w:left="1821" w:hanging="1821"/>
            </w:pPr>
            <w:r w:rsidRPr="00784A05">
              <w:rPr>
                <w:b w:val="0"/>
              </w:rPr>
              <w:t xml:space="preserve">Figure </w:t>
            </w:r>
            <w:r>
              <w:rPr>
                <w:b w:val="0"/>
              </w:rPr>
              <w:t>14.</w:t>
            </w:r>
            <w:r w:rsidR="0085284B">
              <w:rPr>
                <w:b w:val="0"/>
                <w:noProof/>
              </w:rPr>
              <w:t>29</w:t>
            </w:r>
            <w:r>
              <w:tab/>
            </w:r>
            <w:r w:rsidR="00544897">
              <w:t xml:space="preserve">Proportion of people with disability and </w:t>
            </w:r>
            <w:r w:rsidR="005F04A3">
              <w:t xml:space="preserve">primary </w:t>
            </w:r>
            <w:r w:rsidR="00544897">
              <w:t xml:space="preserve">carers who are </w:t>
            </w:r>
            <w:r w:rsidR="00544897" w:rsidRPr="00544897">
              <w:t>satisfied with the quality of assistance</w:t>
            </w:r>
            <w:r w:rsidR="00544897">
              <w:t xml:space="preserve"> received</w:t>
            </w:r>
            <w:r w:rsidR="00544897" w:rsidRPr="00F81BD3">
              <w:rPr>
                <w:rStyle w:val="NoteLabel"/>
              </w:rPr>
              <w:t>a</w:t>
            </w:r>
            <w:r w:rsidR="00544897" w:rsidRPr="00544897">
              <w:rPr>
                <w:rStyle w:val="NoteLabel"/>
                <w:b/>
              </w:rPr>
              <w:t>, b, c, d</w:t>
            </w:r>
          </w:p>
        </w:tc>
      </w:tr>
      <w:tr w:rsidR="00C359FE" w:rsidTr="00B02A7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C359FE" w:rsidTr="00B02A7D">
              <w:trPr>
                <w:jc w:val="center"/>
              </w:trPr>
              <w:tc>
                <w:tcPr>
                  <w:tcW w:w="5000" w:type="pct"/>
                  <w:tcBorders>
                    <w:top w:val="nil"/>
                    <w:bottom w:val="nil"/>
                  </w:tcBorders>
                </w:tcPr>
                <w:p w:rsidR="00C359FE" w:rsidRDefault="00986756" w:rsidP="00B02A7D">
                  <w:pPr>
                    <w:pStyle w:val="Figure"/>
                    <w:spacing w:before="60" w:after="60"/>
                  </w:pPr>
                  <w:r>
                    <w:rPr>
                      <w:noProof/>
                    </w:rPr>
                    <w:drawing>
                      <wp:inline distT="0" distB="0" distL="0" distR="0">
                        <wp:extent cx="5238750" cy="2686050"/>
                        <wp:effectExtent l="0" t="0" r="0" b="0"/>
                        <wp:docPr id="63" name="Picture 63" descr="Figure 14.29 Proportion of people with disability and primary carers who are satisfied with the quality of assistance receiv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C359FE" w:rsidRDefault="00C359FE" w:rsidP="00B02A7D">
            <w:pPr>
              <w:pStyle w:val="Figure"/>
            </w:pPr>
          </w:p>
        </w:tc>
      </w:tr>
      <w:tr w:rsidR="00C359FE" w:rsidRPr="00176D3F" w:rsidTr="00B02A7D">
        <w:tc>
          <w:tcPr>
            <w:tcW w:w="8771" w:type="dxa"/>
            <w:tcBorders>
              <w:top w:val="nil"/>
              <w:left w:val="nil"/>
              <w:bottom w:val="nil"/>
              <w:right w:val="nil"/>
            </w:tcBorders>
            <w:shd w:val="clear" w:color="auto" w:fill="auto"/>
          </w:tcPr>
          <w:p w:rsidR="00C359FE" w:rsidRPr="00176D3F" w:rsidRDefault="00C359FE" w:rsidP="00F81BD3">
            <w:pPr>
              <w:pStyle w:val="Note"/>
            </w:pPr>
            <w:proofErr w:type="gramStart"/>
            <w:r>
              <w:rPr>
                <w:rStyle w:val="NoteLabel"/>
              </w:rPr>
              <w:t>a</w:t>
            </w:r>
            <w:proofErr w:type="gramEnd"/>
            <w:r>
              <w:t xml:space="preserve"> </w:t>
            </w:r>
            <w:r w:rsidR="00F81BD3">
              <w:t>Data include</w:t>
            </w:r>
            <w:r w:rsidR="00544897" w:rsidRPr="00544897">
              <w:t xml:space="preserve"> only those people who underto</w:t>
            </w:r>
            <w:r w:rsidR="00F81BD3">
              <w:t>ok a personal interview, and do</w:t>
            </w:r>
            <w:r w:rsidR="00544897" w:rsidRPr="00544897">
              <w:t xml:space="preserve"> not include proxy interviews</w:t>
            </w:r>
            <w:r w:rsidR="008C4508">
              <w:t xml:space="preserve">. </w:t>
            </w:r>
            <w:proofErr w:type="gramStart"/>
            <w:r>
              <w:rPr>
                <w:rStyle w:val="NoteLabel"/>
              </w:rPr>
              <w:t>b</w:t>
            </w:r>
            <w:proofErr w:type="gramEnd"/>
            <w:r>
              <w:t xml:space="preserve"> </w:t>
            </w:r>
            <w:r w:rsidR="00F81BD3">
              <w:t xml:space="preserve">Data exclude </w:t>
            </w:r>
            <w:r w:rsidR="00544897" w:rsidRPr="00544897">
              <w:t xml:space="preserve">need for </w:t>
            </w:r>
            <w:r w:rsidR="00544897" w:rsidRPr="00F81BD3">
              <w:t>assistance with health care.</w:t>
            </w:r>
            <w:r w:rsidR="00544897" w:rsidRPr="00F81BD3">
              <w:rPr>
                <w:rStyle w:val="NoteLabel"/>
              </w:rPr>
              <w:t xml:space="preserve"> </w:t>
            </w:r>
            <w:proofErr w:type="gramStart"/>
            <w:r w:rsidR="00544897" w:rsidRPr="00F81BD3">
              <w:rPr>
                <w:rStyle w:val="NoteLabel"/>
              </w:rPr>
              <w:t>c</w:t>
            </w:r>
            <w:proofErr w:type="gramEnd"/>
            <w:r w:rsidR="00544897" w:rsidRPr="00F81BD3">
              <w:t xml:space="preserve"> </w:t>
            </w:r>
            <w:r w:rsidR="00F81BD3">
              <w:t>Data e</w:t>
            </w:r>
            <w:r w:rsidR="00544897" w:rsidRPr="00F81BD3">
              <w:t>xclude people who are residents of cared accommodation</w:t>
            </w:r>
            <w:r w:rsidR="00F81BD3" w:rsidRPr="00F81BD3">
              <w:t xml:space="preserve"> establishments</w:t>
            </w:r>
            <w:r w:rsidR="00544897" w:rsidRPr="00F81BD3">
              <w:t>.</w:t>
            </w:r>
            <w:r w:rsidR="00544897" w:rsidRPr="00F81BD3">
              <w:rPr>
                <w:rStyle w:val="NoteLabel"/>
              </w:rPr>
              <w:t>d</w:t>
            </w:r>
            <w:r w:rsidR="00544897" w:rsidRPr="00F81BD3">
              <w:t xml:space="preserve"> </w:t>
            </w:r>
            <w:r w:rsidR="005F04A3" w:rsidRPr="00F81BD3">
              <w:t>Primary carers (aged 15 years or over) with a main recipient aged 0–64 years, or with a non</w:t>
            </w:r>
            <w:r w:rsidR="00B84AF2">
              <w:noBreakHyphen/>
            </w:r>
            <w:r w:rsidR="005F04A3" w:rsidRPr="00F81BD3">
              <w:t xml:space="preserve">main recipient aged 0–64 with a profound or severe core activity limitation. </w:t>
            </w:r>
            <w:r w:rsidR="00544897" w:rsidRPr="00F81BD3">
              <w:t>Only includes primary carers who reported receiving assistance</w:t>
            </w:r>
            <w:r w:rsidR="00544897" w:rsidRPr="00544897">
              <w:t xml:space="preserve"> from formal services to assist with their caring role in the last 6 months. </w:t>
            </w:r>
          </w:p>
        </w:tc>
      </w:tr>
      <w:tr w:rsidR="00C359FE" w:rsidRPr="00176D3F" w:rsidTr="00B02A7D">
        <w:tc>
          <w:tcPr>
            <w:tcW w:w="8771" w:type="dxa"/>
            <w:tcBorders>
              <w:top w:val="nil"/>
              <w:left w:val="nil"/>
              <w:bottom w:val="nil"/>
              <w:right w:val="nil"/>
            </w:tcBorders>
            <w:shd w:val="clear" w:color="auto" w:fill="auto"/>
          </w:tcPr>
          <w:p w:rsidR="00C359FE" w:rsidRPr="00176D3F" w:rsidRDefault="00F81BD3" w:rsidP="00E654B2">
            <w:pPr>
              <w:pStyle w:val="Source"/>
            </w:pPr>
            <w:r>
              <w:rPr>
                <w:i/>
              </w:rPr>
              <w:t>S</w:t>
            </w:r>
            <w:r w:rsidR="00C359FE" w:rsidRPr="00784A05">
              <w:rPr>
                <w:i/>
              </w:rPr>
              <w:t>ource</w:t>
            </w:r>
            <w:r w:rsidR="00C359FE" w:rsidRPr="00176D3F">
              <w:t xml:space="preserve">: </w:t>
            </w:r>
            <w:r w:rsidR="00544897" w:rsidRPr="00544897">
              <w:t xml:space="preserve">ABS (unpublished) </w:t>
            </w:r>
            <w:r w:rsidR="00544897" w:rsidRPr="00544897">
              <w:rPr>
                <w:i/>
              </w:rPr>
              <w:t>2012 Survey o</w:t>
            </w:r>
            <w:r w:rsidR="00E654B2">
              <w:rPr>
                <w:i/>
              </w:rPr>
              <w:t>f Disability, Ageing and Carers</w:t>
            </w:r>
            <w:r w:rsidR="00E654B2" w:rsidRPr="009C02EC">
              <w:t>; table 14A.</w:t>
            </w:r>
            <w:r w:rsidR="00E654B2">
              <w:t xml:space="preserve">79 and </w:t>
            </w:r>
            <w:r w:rsidR="00E654B2" w:rsidRPr="009C02EC">
              <w:t>table 14A.</w:t>
            </w:r>
            <w:r w:rsidR="00E654B2">
              <w:t>83.</w:t>
            </w:r>
          </w:p>
        </w:tc>
      </w:tr>
      <w:tr w:rsidR="00C359FE" w:rsidTr="00B02A7D">
        <w:tc>
          <w:tcPr>
            <w:tcW w:w="8771" w:type="dxa"/>
            <w:tcBorders>
              <w:top w:val="nil"/>
              <w:left w:val="nil"/>
              <w:bottom w:val="single" w:sz="6" w:space="0" w:color="78A22F"/>
              <w:right w:val="nil"/>
            </w:tcBorders>
            <w:shd w:val="clear" w:color="auto" w:fill="auto"/>
          </w:tcPr>
          <w:p w:rsidR="00C359FE" w:rsidRDefault="00C359FE" w:rsidP="00B02A7D">
            <w:pPr>
              <w:pStyle w:val="Figurespace"/>
            </w:pPr>
          </w:p>
        </w:tc>
      </w:tr>
      <w:tr w:rsidR="00C359FE" w:rsidRPr="000863A5" w:rsidTr="00B02A7D">
        <w:tc>
          <w:tcPr>
            <w:tcW w:w="8771" w:type="dxa"/>
            <w:tcBorders>
              <w:top w:val="single" w:sz="6" w:space="0" w:color="78A22F"/>
              <w:left w:val="nil"/>
              <w:bottom w:val="nil"/>
              <w:right w:val="nil"/>
            </w:tcBorders>
          </w:tcPr>
          <w:p w:rsidR="00C359FE" w:rsidRPr="00626D32" w:rsidRDefault="00C359FE" w:rsidP="00B02A7D">
            <w:pPr>
              <w:pStyle w:val="BoxSpaceBelow"/>
            </w:pPr>
          </w:p>
        </w:tc>
      </w:tr>
    </w:tbl>
    <w:p w:rsidR="001F39F2" w:rsidRPr="005F4C6C" w:rsidRDefault="001F39F2" w:rsidP="00585E2C">
      <w:pPr>
        <w:pStyle w:val="Heading4"/>
      </w:pPr>
      <w:r w:rsidRPr="005F4C6C">
        <w:t>Efficiency — cost per output unit</w:t>
      </w:r>
    </w:p>
    <w:p w:rsidR="001F39F2" w:rsidRPr="005F4C6C" w:rsidRDefault="001F39F2" w:rsidP="00585E2C">
      <w:pPr>
        <w:pStyle w:val="BodyText"/>
      </w:pPr>
      <w:r w:rsidRPr="005F4C6C">
        <w:t xml:space="preserve">The following </w:t>
      </w:r>
      <w:proofErr w:type="gramStart"/>
      <w:r w:rsidRPr="005F4C6C">
        <w:t>cost per output unit efficiency indicators are</w:t>
      </w:r>
      <w:proofErr w:type="gramEnd"/>
      <w:r w:rsidRPr="005F4C6C">
        <w:t xml:space="preserve"> reported:</w:t>
      </w:r>
    </w:p>
    <w:p w:rsidR="001F39F2" w:rsidRPr="005F4C6C" w:rsidRDefault="001F39F2" w:rsidP="00585E2C">
      <w:pPr>
        <w:pStyle w:val="ListBullet"/>
      </w:pPr>
      <w:r w:rsidRPr="005F4C6C">
        <w:t>‘</w:t>
      </w:r>
      <w:r w:rsidR="00FE6D99" w:rsidRPr="005F4C6C">
        <w:t xml:space="preserve">government </w:t>
      </w:r>
      <w:r w:rsidRPr="005F4C6C">
        <w:t>contribution per user of non</w:t>
      </w:r>
      <w:r w:rsidR="00B84AF2">
        <w:noBreakHyphen/>
      </w:r>
      <w:r w:rsidRPr="005F4C6C">
        <w:t xml:space="preserve">government provided services’ </w:t>
      </w:r>
    </w:p>
    <w:p w:rsidR="001F39F2" w:rsidRPr="005F4C6C" w:rsidRDefault="001F39F2" w:rsidP="00585E2C">
      <w:pPr>
        <w:pStyle w:val="ListBullet"/>
      </w:pPr>
      <w:r w:rsidRPr="005F4C6C">
        <w:t>‘</w:t>
      </w:r>
      <w:proofErr w:type="gramStart"/>
      <w:r w:rsidR="00FE6D99" w:rsidRPr="005F4C6C">
        <w:t>cost</w:t>
      </w:r>
      <w:proofErr w:type="gramEnd"/>
      <w:r w:rsidR="00FE6D99" w:rsidRPr="005F4C6C">
        <w:t xml:space="preserve"> </w:t>
      </w:r>
      <w:r w:rsidRPr="005F4C6C">
        <w:t>per user of State and Territory administered services’.</w:t>
      </w:r>
    </w:p>
    <w:p w:rsidR="001F39F2" w:rsidRPr="00487B1D" w:rsidRDefault="001F39F2" w:rsidP="00585E2C">
      <w:pPr>
        <w:pStyle w:val="BodyText"/>
      </w:pPr>
      <w:r w:rsidRPr="00487B1D">
        <w:rPr>
          <w:szCs w:val="26"/>
        </w:rPr>
        <w:t xml:space="preserve">This Report includes </w:t>
      </w:r>
      <w:r w:rsidR="00487B1D" w:rsidRPr="00213C0F">
        <w:rPr>
          <w:szCs w:val="26"/>
        </w:rPr>
        <w:t>2013</w:t>
      </w:r>
      <w:r w:rsidR="00B84AF2">
        <w:rPr>
          <w:szCs w:val="26"/>
        </w:rPr>
        <w:noBreakHyphen/>
      </w:r>
      <w:r w:rsidR="00487B1D" w:rsidRPr="00213C0F">
        <w:rPr>
          <w:szCs w:val="26"/>
        </w:rPr>
        <w:t>14</w:t>
      </w:r>
      <w:r w:rsidR="00106A49" w:rsidRPr="004E04A9">
        <w:rPr>
          <w:szCs w:val="26"/>
        </w:rPr>
        <w:t xml:space="preserve"> </w:t>
      </w:r>
      <w:r w:rsidRPr="004E04A9">
        <w:rPr>
          <w:szCs w:val="26"/>
        </w:rPr>
        <w:t xml:space="preserve">expenditure data provided by Australian, State and </w:t>
      </w:r>
      <w:r w:rsidRPr="00BA1D8F">
        <w:rPr>
          <w:szCs w:val="26"/>
        </w:rPr>
        <w:t xml:space="preserve">Territory governments. </w:t>
      </w:r>
      <w:r w:rsidRPr="00487B1D">
        <w:rPr>
          <w:szCs w:val="26"/>
        </w:rPr>
        <w:t xml:space="preserve">However, as </w:t>
      </w:r>
      <w:r w:rsidR="00487B1D" w:rsidRPr="00487B1D">
        <w:rPr>
          <w:szCs w:val="26"/>
        </w:rPr>
        <w:t>2013</w:t>
      </w:r>
      <w:r w:rsidR="00B84AF2">
        <w:rPr>
          <w:szCs w:val="26"/>
        </w:rPr>
        <w:noBreakHyphen/>
      </w:r>
      <w:r w:rsidR="00487B1D" w:rsidRPr="00487B1D">
        <w:rPr>
          <w:szCs w:val="26"/>
        </w:rPr>
        <w:t>14</w:t>
      </w:r>
      <w:r w:rsidR="00106A49" w:rsidRPr="00487B1D">
        <w:rPr>
          <w:szCs w:val="26"/>
        </w:rPr>
        <w:t xml:space="preserve"> </w:t>
      </w:r>
      <w:r w:rsidRPr="00487B1D">
        <w:rPr>
          <w:szCs w:val="26"/>
        </w:rPr>
        <w:t xml:space="preserve">service user data from the DS NMDS collection were not available for this Report, the cost per service user efficiency indicators are reported </w:t>
      </w:r>
      <w:r w:rsidR="000A1D43" w:rsidRPr="00487B1D">
        <w:rPr>
          <w:szCs w:val="26"/>
        </w:rPr>
        <w:t xml:space="preserve">using </w:t>
      </w:r>
      <w:r w:rsidR="00DC0A4C" w:rsidRPr="00487B1D">
        <w:rPr>
          <w:szCs w:val="26"/>
        </w:rPr>
        <w:t xml:space="preserve">expenditure and service use </w:t>
      </w:r>
      <w:r w:rsidR="000A1D43" w:rsidRPr="00487B1D">
        <w:rPr>
          <w:szCs w:val="26"/>
        </w:rPr>
        <w:t xml:space="preserve">data </w:t>
      </w:r>
      <w:r w:rsidRPr="00487B1D">
        <w:rPr>
          <w:szCs w:val="26"/>
        </w:rPr>
        <w:t xml:space="preserve">for </w:t>
      </w:r>
      <w:r w:rsidR="00487B1D" w:rsidRPr="00487B1D">
        <w:rPr>
          <w:szCs w:val="26"/>
        </w:rPr>
        <w:t>2012</w:t>
      </w:r>
      <w:r w:rsidR="00B84AF2">
        <w:rPr>
          <w:szCs w:val="26"/>
        </w:rPr>
        <w:noBreakHyphen/>
      </w:r>
      <w:r w:rsidR="00487B1D" w:rsidRPr="00487B1D">
        <w:rPr>
          <w:szCs w:val="26"/>
        </w:rPr>
        <w:t>13</w:t>
      </w:r>
      <w:r w:rsidRPr="00487B1D">
        <w:rPr>
          <w:szCs w:val="26"/>
        </w:rPr>
        <w:t xml:space="preserve">. Expenditure data </w:t>
      </w:r>
      <w:r w:rsidR="00170C82" w:rsidRPr="00487B1D">
        <w:rPr>
          <w:szCs w:val="26"/>
        </w:rPr>
        <w:t xml:space="preserve">in this Report </w:t>
      </w:r>
      <w:r w:rsidRPr="00487B1D">
        <w:rPr>
          <w:szCs w:val="26"/>
        </w:rPr>
        <w:t>might differ from information reported elsewhere (such as in departmental annual reports) because the financial counting rules and definitions used to calculate expenditure can differ</w:t>
      </w:r>
      <w:r w:rsidR="00170C82" w:rsidRPr="00487B1D">
        <w:rPr>
          <w:szCs w:val="26"/>
        </w:rPr>
        <w:t xml:space="preserve"> and </w:t>
      </w:r>
      <w:r w:rsidRPr="00487B1D">
        <w:rPr>
          <w:szCs w:val="26"/>
        </w:rPr>
        <w:t>the data here exclude users of specialist psychiatric disability services.</w:t>
      </w:r>
    </w:p>
    <w:p w:rsidR="001F39F2" w:rsidRPr="00487B1D" w:rsidRDefault="001F39F2" w:rsidP="00585E2C">
      <w:pPr>
        <w:pStyle w:val="BodyText"/>
      </w:pPr>
      <w:r w:rsidRPr="00487B1D">
        <w:t xml:space="preserve">It is an objective of the Review to report comparable estimates of costs. Ideally, such comparisons would include the full range of costs to government. Where the full costs cannot be counted, costs are estimated on a consistent basis. The jurisdictional expenditure </w:t>
      </w:r>
      <w:r w:rsidRPr="00487B1D">
        <w:lastRenderedPageBreak/>
        <w:t>data included in this chapter do not yet include the user cost of capital, and so do not reflect the full costs of government funded services (</w:t>
      </w:r>
      <w:r w:rsidR="000A1D43" w:rsidRPr="00487B1D">
        <w:t>u</w:t>
      </w:r>
      <w:r w:rsidRPr="00487B1D">
        <w:t xml:space="preserve">ser cost of capital is defined in chapter </w:t>
      </w:r>
      <w:r w:rsidR="000E327B" w:rsidRPr="00487B1D">
        <w:t>1</w:t>
      </w:r>
      <w:r w:rsidRPr="00487B1D">
        <w:t>).</w:t>
      </w:r>
    </w:p>
    <w:p w:rsidR="001F39F2" w:rsidRPr="00213C0F" w:rsidRDefault="001F39F2" w:rsidP="00585E2C">
      <w:pPr>
        <w:pStyle w:val="BodyText"/>
      </w:pPr>
      <w:r w:rsidRPr="00213C0F">
        <w:t xml:space="preserve">Considerable effort has been made to document any differences in calculating the reported efficiency indicators. Concerns remain over the comparability of the results, because jurisdictions use different methods of </w:t>
      </w:r>
      <w:r w:rsidR="00170C82" w:rsidRPr="00213C0F">
        <w:t xml:space="preserve">service use </w:t>
      </w:r>
      <w:r w:rsidRPr="00213C0F">
        <w:t>data collection (table 14A.</w:t>
      </w:r>
      <w:r w:rsidR="00402536" w:rsidRPr="00213C0F">
        <w:t>7</w:t>
      </w:r>
      <w:r w:rsidR="00402536">
        <w:t>8</w:t>
      </w:r>
      <w:r w:rsidRPr="00213C0F">
        <w:t xml:space="preserve">). </w:t>
      </w:r>
    </w:p>
    <w:p w:rsidR="001F39F2" w:rsidRPr="00F449F0" w:rsidRDefault="001F39F2" w:rsidP="00585E2C">
      <w:pPr>
        <w:pStyle w:val="Heading5"/>
      </w:pPr>
      <w:r w:rsidRPr="00F449F0">
        <w:t>Financial data — expenditure items included/excluded</w:t>
      </w:r>
    </w:p>
    <w:p w:rsidR="001F39F2" w:rsidRDefault="001F39F2" w:rsidP="00585E2C">
      <w:pPr>
        <w:pStyle w:val="BodyText"/>
      </w:pPr>
      <w:r w:rsidRPr="00F449F0">
        <w:t>Financial data reported in this chapter include/exclude various expenditure items depending on the context in</w:t>
      </w:r>
      <w:r w:rsidRPr="00F449F0">
        <w:rPr>
          <w:rFonts w:ascii="Arial" w:hAnsi="Arial" w:cs="Arial"/>
          <w:sz w:val="20"/>
        </w:rPr>
        <w:t> </w:t>
      </w:r>
      <w:r w:rsidRPr="00F449F0">
        <w:t>which the data are reported.</w:t>
      </w:r>
      <w:r w:rsidR="009E3044">
        <w:t xml:space="preserve"> </w:t>
      </w:r>
      <w:r w:rsidR="0020654F" w:rsidRPr="00F449F0">
        <w:t>O</w:t>
      </w:r>
      <w:r w:rsidRPr="00F449F0">
        <w:t xml:space="preserve">nly direct recurrent expenditure on specific services is included (this may include administrative costs that can be directly attributed to a specific service/s). </w:t>
      </w:r>
      <w:r w:rsidR="0020654F" w:rsidRPr="00F449F0">
        <w:t>For</w:t>
      </w:r>
      <w:r w:rsidRPr="00F449F0">
        <w:t xml:space="preserve"> the disability services system as a whole</w:t>
      </w:r>
      <w:r w:rsidR="00945F7F">
        <w:t>,</w:t>
      </w:r>
      <w:r w:rsidRPr="00F449F0">
        <w:t xml:space="preserve"> expenditure includes general administrative overheads that cannot be allocated to a specific service/s and major capital grants to non</w:t>
      </w:r>
      <w:r w:rsidR="00B84AF2">
        <w:noBreakHyphen/>
      </w:r>
      <w:r w:rsidRPr="00F449F0">
        <w:t xml:space="preserve">government service providers. Capital grants to </w:t>
      </w:r>
      <w:r w:rsidR="00945F7F">
        <w:br/>
      </w:r>
      <w:r w:rsidRPr="00F449F0">
        <w:t>non</w:t>
      </w:r>
      <w:r w:rsidR="00B84AF2">
        <w:noBreakHyphen/>
      </w:r>
      <w:r w:rsidRPr="00F449F0">
        <w:t>government service providers are excluded from total recurrent expenditure for the indicator ‘administrative expenditure as a proportion of total recurrent expenditure’, as they are not a ‘recurrent’ expense. Exclusion of these grants improves the comparability of the indicator</w:t>
      </w:r>
      <w:r w:rsidR="0020654F" w:rsidRPr="00F449F0">
        <w:t xml:space="preserve"> </w:t>
      </w:r>
      <w:r w:rsidRPr="00F449F0">
        <w:t>across jurisdictions and over time.</w:t>
      </w:r>
    </w:p>
    <w:p w:rsidR="001F39F2" w:rsidRPr="00F449F0" w:rsidRDefault="001F39F2" w:rsidP="00585E2C">
      <w:pPr>
        <w:pStyle w:val="Heading5"/>
      </w:pPr>
      <w:r w:rsidRPr="00F449F0">
        <w:t>Government and non</w:t>
      </w:r>
      <w:r w:rsidR="00B84AF2">
        <w:noBreakHyphen/>
      </w:r>
      <w:r w:rsidRPr="00F449F0">
        <w:t>government provided services</w:t>
      </w:r>
    </w:p>
    <w:p w:rsidR="001F39F2" w:rsidRPr="00F449F0" w:rsidRDefault="001F39F2" w:rsidP="00585E2C">
      <w:pPr>
        <w:pStyle w:val="BodyText"/>
      </w:pPr>
      <w:r w:rsidRPr="00F449F0">
        <w:t>Efficiency indicators are reported for both government and non</w:t>
      </w:r>
      <w:r w:rsidR="00B84AF2">
        <w:noBreakHyphen/>
      </w:r>
      <w:r w:rsidRPr="00F449F0">
        <w:t>government provided services. Government provision means that a service is both funded and directly provided by a government department, agency or local government. Non</w:t>
      </w:r>
      <w:r w:rsidR="00B84AF2">
        <w:noBreakHyphen/>
      </w:r>
      <w:r w:rsidRPr="00F449F0">
        <w:t>government provision is a service purchased or part</w:t>
      </w:r>
      <w:r w:rsidR="00B84AF2">
        <w:noBreakHyphen/>
      </w:r>
      <w:r w:rsidRPr="00F449F0">
        <w:t>funded by a government department or agency, but provided by a non</w:t>
      </w:r>
      <w:r w:rsidR="00B84AF2">
        <w:noBreakHyphen/>
      </w:r>
      <w:r w:rsidRPr="00F449F0">
        <w:t>government organisation. Non</w:t>
      </w:r>
      <w:r w:rsidR="00B84AF2">
        <w:noBreakHyphen/>
      </w:r>
      <w:r w:rsidRPr="00F449F0">
        <w:t xml:space="preserve">government service providers may receive funds from the private sector and the general public in addition to funding, grants and input tax concessions (such as payroll tax exemptions) from governments. Data on funds that </w:t>
      </w:r>
      <w:r w:rsidR="00945F7F">
        <w:br/>
      </w:r>
      <w:r w:rsidRPr="00F449F0">
        <w:t>non</w:t>
      </w:r>
      <w:r w:rsidR="00B84AF2">
        <w:noBreakHyphen/>
      </w:r>
      <w:r w:rsidRPr="00F449F0">
        <w:t>government service providers receive from the private sector and the general public are outside the scope of this Report.</w:t>
      </w:r>
    </w:p>
    <w:p w:rsidR="001F39F2" w:rsidRPr="00F449F0" w:rsidRDefault="001F39F2" w:rsidP="00585E2C">
      <w:pPr>
        <w:pStyle w:val="Heading5"/>
      </w:pPr>
      <w:r w:rsidRPr="00F449F0">
        <w:t>Government contribution per user of non</w:t>
      </w:r>
      <w:r w:rsidR="00B84AF2">
        <w:noBreakHyphen/>
      </w:r>
      <w:r w:rsidRPr="00F449F0">
        <w:t xml:space="preserve">government provided services </w:t>
      </w:r>
    </w:p>
    <w:p w:rsidR="001F39F2" w:rsidRDefault="001F39F2" w:rsidP="00585E2C">
      <w:pPr>
        <w:pStyle w:val="BodyText"/>
      </w:pPr>
      <w:r w:rsidRPr="00F449F0">
        <w:t>‘Government contribution per user of non</w:t>
      </w:r>
      <w:r w:rsidR="00B84AF2">
        <w:noBreakHyphen/>
      </w:r>
      <w:r w:rsidRPr="00F449F0">
        <w:t>government provided services’ is an indicator of governments’ objective to provide specialist disability services in an efficient manner (box</w:t>
      </w:r>
      <w:r w:rsidR="0045593D">
        <w:t> </w:t>
      </w:r>
      <w:r w:rsidRPr="00F449F0">
        <w:t>14.</w:t>
      </w:r>
      <w:r w:rsidR="00525A0A" w:rsidRPr="00F449F0">
        <w:t>1</w:t>
      </w:r>
      <w:r w:rsidR="00C61139" w:rsidRPr="00F449F0">
        <w:t>7</w:t>
      </w:r>
      <w:r w:rsidR="0037567C">
        <w:t>).</w:t>
      </w:r>
    </w:p>
    <w:p w:rsidR="0037567C" w:rsidRDefault="003756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67C" w:rsidTr="00C827D5">
        <w:tc>
          <w:tcPr>
            <w:tcW w:w="8771" w:type="dxa"/>
            <w:tcBorders>
              <w:top w:val="single" w:sz="6" w:space="0" w:color="78A22F"/>
              <w:left w:val="nil"/>
              <w:bottom w:val="nil"/>
              <w:right w:val="nil"/>
            </w:tcBorders>
            <w:shd w:val="clear" w:color="auto" w:fill="F2F2F2"/>
          </w:tcPr>
          <w:p w:rsidR="0037567C" w:rsidRDefault="0037567C" w:rsidP="0037567C">
            <w:pPr>
              <w:pStyle w:val="BoxTitle"/>
            </w:pPr>
            <w:r>
              <w:rPr>
                <w:b w:val="0"/>
              </w:rPr>
              <w:t xml:space="preserve">Box </w:t>
            </w:r>
            <w:r w:rsidR="00321568">
              <w:rPr>
                <w:b w:val="0"/>
              </w:rPr>
              <w:t>14.</w:t>
            </w:r>
            <w:r w:rsidR="0085284B">
              <w:rPr>
                <w:b w:val="0"/>
                <w:noProof/>
              </w:rPr>
              <w:t>17</w:t>
            </w:r>
            <w:r>
              <w:tab/>
            </w:r>
            <w:r w:rsidRPr="0037567C">
              <w:t>Government contribution per user of non</w:t>
            </w:r>
            <w:r w:rsidR="00B84AF2">
              <w:noBreakHyphen/>
            </w:r>
            <w:r w:rsidRPr="0037567C">
              <w:t>government provided services</w:t>
            </w:r>
          </w:p>
        </w:tc>
      </w:tr>
      <w:tr w:rsidR="0037567C" w:rsidTr="00C827D5">
        <w:trPr>
          <w:cantSplit/>
        </w:trPr>
        <w:tc>
          <w:tcPr>
            <w:tcW w:w="8771" w:type="dxa"/>
            <w:tcBorders>
              <w:top w:val="nil"/>
              <w:left w:val="nil"/>
              <w:bottom w:val="nil"/>
              <w:right w:val="nil"/>
            </w:tcBorders>
            <w:shd w:val="clear" w:color="auto" w:fill="F2F2F2"/>
          </w:tcPr>
          <w:p w:rsidR="0037567C" w:rsidRPr="00E44170" w:rsidRDefault="0037567C" w:rsidP="0037567C">
            <w:pPr>
              <w:pStyle w:val="Box"/>
            </w:pPr>
            <w:r w:rsidRPr="004E04A9">
              <w:t>‘Government contribution per user of non</w:t>
            </w:r>
            <w:r w:rsidR="00B84AF2">
              <w:noBreakHyphen/>
            </w:r>
            <w:r w:rsidRPr="004E04A9">
              <w:t>government provided services’ is defined as the net government expenditure per user of non</w:t>
            </w:r>
            <w:r w:rsidR="00B84AF2">
              <w:noBreakHyphen/>
            </w:r>
            <w:r w:rsidRPr="004E04A9">
              <w:t>government provided NDA services. Measures ar</w:t>
            </w:r>
            <w:r w:rsidRPr="00BA1D8F">
              <w:t>e reported for the following non</w:t>
            </w:r>
            <w:r w:rsidR="00B84AF2">
              <w:noBreakHyphen/>
            </w:r>
            <w:r w:rsidRPr="00E44170">
              <w:t>government provided services:</w:t>
            </w:r>
          </w:p>
          <w:p w:rsidR="0037567C" w:rsidRPr="004E04A9" w:rsidRDefault="0037567C" w:rsidP="0037567C">
            <w:pPr>
              <w:pStyle w:val="BoxListBullet"/>
            </w:pPr>
            <w:r w:rsidRPr="004E04A9">
              <w:t>accommodation support services in:</w:t>
            </w:r>
          </w:p>
          <w:p w:rsidR="0037567C" w:rsidRPr="004E04A9" w:rsidRDefault="0037567C" w:rsidP="0037567C">
            <w:pPr>
              <w:pStyle w:val="BoxListBullet2"/>
            </w:pPr>
            <w:r w:rsidRPr="004E04A9">
              <w:t>institutional/residential settings</w:t>
            </w:r>
          </w:p>
          <w:p w:rsidR="0037567C" w:rsidRPr="00BA1D8F" w:rsidRDefault="0037567C" w:rsidP="0037567C">
            <w:pPr>
              <w:pStyle w:val="BoxListBullet2"/>
            </w:pPr>
            <w:r w:rsidRPr="00BA1D8F">
              <w:t xml:space="preserve">group homes </w:t>
            </w:r>
          </w:p>
          <w:p w:rsidR="0037567C" w:rsidRPr="00E44170" w:rsidRDefault="0037567C" w:rsidP="0037567C">
            <w:pPr>
              <w:pStyle w:val="BoxListBullet2"/>
            </w:pPr>
            <w:r w:rsidRPr="00E44170">
              <w:t>other community settings</w:t>
            </w:r>
          </w:p>
          <w:p w:rsidR="0037567C" w:rsidRPr="00E44170" w:rsidRDefault="0037567C" w:rsidP="0037567C">
            <w:pPr>
              <w:pStyle w:val="BoxListBullet"/>
            </w:pPr>
            <w:proofErr w:type="gramStart"/>
            <w:r w:rsidRPr="00E44170">
              <w:t>employment</w:t>
            </w:r>
            <w:proofErr w:type="gramEnd"/>
            <w:r w:rsidRPr="00E44170">
              <w:t xml:space="preserve"> services (reported per employment service user assisted). </w:t>
            </w:r>
          </w:p>
          <w:p w:rsidR="0037567C" w:rsidRPr="004E04A9" w:rsidRDefault="0037567C" w:rsidP="0037567C">
            <w:pPr>
              <w:pStyle w:val="Box"/>
            </w:pPr>
            <w:r w:rsidRPr="004E04A9">
              <w:t xml:space="preserve">Holding other factors constant (such as service quality and accessibility), low or decreasing government expenditure per service user reflects a more efficient provision of this service. </w:t>
            </w:r>
          </w:p>
          <w:p w:rsidR="0037567C" w:rsidRPr="004E04A9" w:rsidRDefault="0037567C" w:rsidP="0037567C">
            <w:pPr>
              <w:pStyle w:val="Box"/>
            </w:pPr>
            <w:r w:rsidRPr="004E04A9">
              <w:t>Efficiency data are difficult to interpret. Although high or increasing expenditure per unit of output can reflect deteriorating efficiency, it can also reflect improvements in the quality or</w:t>
            </w:r>
            <w:r w:rsidR="00945F7F">
              <w:t xml:space="preserve"> other</w:t>
            </w:r>
            <w:r w:rsidRPr="004E04A9">
              <w:t xml:space="preserve"> attributes of the services provided, or an increase in the service needs of users. Similarly, low or declining expenditure per unit of output can reflect improving efficiency, or lower quality and less effective services. Efficiency data therefore should be interpreted within the context of the effectiveness and equity indicators to derive a holistic view of performance.</w:t>
            </w:r>
          </w:p>
          <w:p w:rsidR="0037567C" w:rsidRPr="004E04A9" w:rsidRDefault="0037567C" w:rsidP="0037567C">
            <w:pPr>
              <w:pStyle w:val="Box"/>
            </w:pPr>
            <w:r w:rsidRPr="004E04A9">
              <w:t>Data reported for this measure are:</w:t>
            </w:r>
          </w:p>
          <w:p w:rsidR="0037567C" w:rsidRPr="004E04A9" w:rsidRDefault="0037567C" w:rsidP="0037567C">
            <w:pPr>
              <w:pStyle w:val="BoxListBullet"/>
              <w:keepLines/>
            </w:pPr>
            <w:r w:rsidRPr="004E04A9">
              <w:t>comparable (subject to caveats) within some jurisdictions over time but are not comparable across jurisdictions or over time for other jurisdictions (see caveats in attachment tables for specific jurisdictions)</w:t>
            </w:r>
          </w:p>
          <w:p w:rsidR="0037567C" w:rsidRPr="0001702E" w:rsidRDefault="0037567C" w:rsidP="0037567C">
            <w:pPr>
              <w:pStyle w:val="BoxListBullet"/>
              <w:keepLines/>
            </w:pPr>
            <w:proofErr w:type="gramStart"/>
            <w:r w:rsidRPr="00DF5879">
              <w:t>complete</w:t>
            </w:r>
            <w:proofErr w:type="gramEnd"/>
            <w:r w:rsidRPr="00DF5879">
              <w:t xml:space="preserve"> (subject to caveats) for the current reporting period</w:t>
            </w:r>
            <w:r w:rsidRPr="0001702E">
              <w:t xml:space="preserve">. All required </w:t>
            </w:r>
            <w:r w:rsidR="004E04A9" w:rsidRPr="0001702E">
              <w:t>2012</w:t>
            </w:r>
            <w:r w:rsidR="00B84AF2">
              <w:noBreakHyphen/>
            </w:r>
            <w:r w:rsidR="004E04A9" w:rsidRPr="0001702E">
              <w:t>13</w:t>
            </w:r>
            <w:r w:rsidRPr="0001702E">
              <w:t xml:space="preserve"> data are available for all jurisdictions that provide the service.</w:t>
            </w:r>
          </w:p>
          <w:p w:rsidR="0037567C" w:rsidRDefault="0037567C" w:rsidP="0037567C">
            <w:pPr>
              <w:pStyle w:val="Box"/>
            </w:pPr>
            <w:r w:rsidRPr="004E04A9">
              <w:t>Data quality information for this indicator is under development.</w:t>
            </w:r>
          </w:p>
        </w:tc>
      </w:tr>
      <w:tr w:rsidR="0037567C" w:rsidTr="00C827D5">
        <w:trPr>
          <w:cantSplit/>
        </w:trPr>
        <w:tc>
          <w:tcPr>
            <w:tcW w:w="8771" w:type="dxa"/>
            <w:tcBorders>
              <w:top w:val="nil"/>
              <w:left w:val="nil"/>
              <w:bottom w:val="single" w:sz="6" w:space="0" w:color="78A22F"/>
              <w:right w:val="nil"/>
            </w:tcBorders>
            <w:shd w:val="clear" w:color="auto" w:fill="F2F2F2"/>
          </w:tcPr>
          <w:p w:rsidR="0037567C" w:rsidRDefault="0037567C">
            <w:pPr>
              <w:pStyle w:val="Box"/>
              <w:spacing w:before="0" w:line="120" w:lineRule="exact"/>
            </w:pPr>
          </w:p>
        </w:tc>
      </w:tr>
      <w:tr w:rsidR="0037567C" w:rsidRPr="000863A5" w:rsidTr="00C827D5">
        <w:tc>
          <w:tcPr>
            <w:tcW w:w="8771" w:type="dxa"/>
            <w:tcBorders>
              <w:top w:val="single" w:sz="6" w:space="0" w:color="78A22F"/>
              <w:left w:val="nil"/>
              <w:bottom w:val="nil"/>
              <w:right w:val="nil"/>
            </w:tcBorders>
          </w:tcPr>
          <w:p w:rsidR="0037567C" w:rsidRPr="00626D32" w:rsidRDefault="0037567C" w:rsidP="00C827D5">
            <w:pPr>
              <w:pStyle w:val="BoxSpaceBelow"/>
            </w:pPr>
          </w:p>
        </w:tc>
      </w:tr>
    </w:tbl>
    <w:p w:rsidR="001F39F2" w:rsidRPr="00F449F0" w:rsidRDefault="001F39F2" w:rsidP="00585E2C">
      <w:pPr>
        <w:pStyle w:val="Heading5"/>
      </w:pPr>
      <w:r w:rsidRPr="00F449F0">
        <w:t>Government contribution per user of non</w:t>
      </w:r>
      <w:r w:rsidR="00B84AF2">
        <w:noBreakHyphen/>
      </w:r>
      <w:r w:rsidRPr="00F449F0">
        <w:t xml:space="preserve">government provided services — accommodation support services in institutional/residential settings </w:t>
      </w:r>
    </w:p>
    <w:p w:rsidR="001F39F2" w:rsidRPr="004E04A9" w:rsidRDefault="001F39F2" w:rsidP="00585E2C">
      <w:pPr>
        <w:pStyle w:val="BodyText"/>
      </w:pPr>
      <w:r w:rsidRPr="00C61A11">
        <w:rPr>
          <w:szCs w:val="26"/>
        </w:rPr>
        <w:t>Nationally, estimated annual government funding of non</w:t>
      </w:r>
      <w:r w:rsidR="00B84AF2">
        <w:rPr>
          <w:szCs w:val="26"/>
        </w:rPr>
        <w:noBreakHyphen/>
      </w:r>
      <w:r w:rsidRPr="00C61A11">
        <w:rPr>
          <w:szCs w:val="26"/>
        </w:rPr>
        <w:t xml:space="preserve">government provided accommodation support services in institutional/residential settings was </w:t>
      </w:r>
      <w:r w:rsidR="00945F7F">
        <w:rPr>
          <w:szCs w:val="26"/>
        </w:rPr>
        <w:t>$</w:t>
      </w:r>
      <w:r w:rsidR="009155C2">
        <w:rPr>
          <w:szCs w:val="26"/>
        </w:rPr>
        <w:t>63 519</w:t>
      </w:r>
      <w:r w:rsidR="004E04A9" w:rsidRPr="00C61A11">
        <w:rPr>
          <w:szCs w:val="26"/>
        </w:rPr>
        <w:t xml:space="preserve"> </w:t>
      </w:r>
      <w:r w:rsidRPr="00C61A11">
        <w:rPr>
          <w:szCs w:val="26"/>
        </w:rPr>
        <w:t xml:space="preserve">per service user in </w:t>
      </w:r>
      <w:r w:rsidR="004E04A9" w:rsidRPr="00C61A11">
        <w:rPr>
          <w:szCs w:val="26"/>
        </w:rPr>
        <w:t>2012</w:t>
      </w:r>
      <w:r w:rsidR="00B84AF2">
        <w:rPr>
          <w:szCs w:val="26"/>
        </w:rPr>
        <w:noBreakHyphen/>
      </w:r>
      <w:r w:rsidR="004E04A9" w:rsidRPr="00C61A11">
        <w:rPr>
          <w:szCs w:val="26"/>
        </w:rPr>
        <w:t>13</w:t>
      </w:r>
      <w:r w:rsidR="002B5074" w:rsidRPr="00C61A11">
        <w:rPr>
          <w:szCs w:val="26"/>
        </w:rPr>
        <w:t xml:space="preserve"> </w:t>
      </w:r>
      <w:r w:rsidRPr="00C61A11">
        <w:rPr>
          <w:szCs w:val="26"/>
        </w:rPr>
        <w:t>(figure</w:t>
      </w:r>
      <w:r w:rsidR="00AE3578">
        <w:rPr>
          <w:szCs w:val="26"/>
        </w:rPr>
        <w:t> </w:t>
      </w:r>
      <w:r w:rsidRPr="00C61A11">
        <w:rPr>
          <w:szCs w:val="26"/>
        </w:rPr>
        <w:t>14.</w:t>
      </w:r>
      <w:r w:rsidR="00FE0B9E">
        <w:rPr>
          <w:szCs w:val="26"/>
        </w:rPr>
        <w:t>30</w:t>
      </w:r>
      <w:r w:rsidRPr="00C61A11">
        <w:rPr>
          <w:szCs w:val="26"/>
        </w:rPr>
        <w:t>).</w:t>
      </w:r>
      <w:r w:rsidRPr="004E04A9">
        <w:t xml:space="preserve"> </w:t>
      </w:r>
    </w:p>
    <w:p w:rsidR="009B2F26" w:rsidRDefault="009B2F26"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2F26" w:rsidRPr="0001702E" w:rsidTr="00DD33DF">
        <w:tc>
          <w:tcPr>
            <w:tcW w:w="8771" w:type="dxa"/>
            <w:tcBorders>
              <w:top w:val="single" w:sz="6" w:space="0" w:color="78A22F"/>
              <w:left w:val="nil"/>
              <w:bottom w:val="nil"/>
              <w:right w:val="nil"/>
            </w:tcBorders>
            <w:shd w:val="clear" w:color="auto" w:fill="auto"/>
          </w:tcPr>
          <w:p w:rsidR="009B2F26" w:rsidRPr="005E78BB" w:rsidRDefault="009B2F26" w:rsidP="004E04A9">
            <w:pPr>
              <w:pStyle w:val="FigureTitle"/>
            </w:pPr>
            <w:r w:rsidRPr="005E78BB">
              <w:rPr>
                <w:b w:val="0"/>
              </w:rPr>
              <w:t xml:space="preserve">Figure </w:t>
            </w:r>
            <w:r w:rsidR="00321568">
              <w:rPr>
                <w:b w:val="0"/>
              </w:rPr>
              <w:t>14.</w:t>
            </w:r>
            <w:r w:rsidR="0085284B">
              <w:rPr>
                <w:b w:val="0"/>
                <w:noProof/>
              </w:rPr>
              <w:t>30</w:t>
            </w:r>
            <w:r w:rsidRPr="005E78BB">
              <w:tab/>
              <w:t xml:space="preserve">Estimated annual government funding per user of </w:t>
            </w:r>
            <w:r w:rsidR="00DB1727">
              <w:br/>
            </w:r>
            <w:r w:rsidRPr="005E78BB">
              <w:t>non</w:t>
            </w:r>
            <w:r w:rsidR="00B84AF2">
              <w:noBreakHyphen/>
            </w:r>
            <w:r w:rsidRPr="005E78BB">
              <w:t>government provided accommodation support services in institutional/residential settings (</w:t>
            </w:r>
            <w:r w:rsidR="004E04A9" w:rsidRPr="005E78BB">
              <w:t>2012</w:t>
            </w:r>
            <w:r w:rsidR="00B84AF2">
              <w:noBreakHyphen/>
            </w:r>
            <w:r w:rsidR="004E04A9" w:rsidRPr="005E78BB">
              <w:t>13</w:t>
            </w:r>
            <w:r w:rsidRPr="005E78BB">
              <w:t xml:space="preserve"> dollars)</w:t>
            </w:r>
            <w:r w:rsidRPr="005E78BB">
              <w:rPr>
                <w:rStyle w:val="NoteLabel"/>
                <w:b/>
              </w:rPr>
              <w:t>a, b, c, d, e</w:t>
            </w:r>
          </w:p>
        </w:tc>
      </w:tr>
      <w:tr w:rsidR="009B2F26" w:rsidRPr="0001702E"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9B2F26" w:rsidRPr="009C02EC" w:rsidTr="00DD33DF">
              <w:trPr>
                <w:jc w:val="center"/>
              </w:trPr>
              <w:tc>
                <w:tcPr>
                  <w:tcW w:w="5000" w:type="pct"/>
                  <w:tcBorders>
                    <w:top w:val="nil"/>
                    <w:bottom w:val="nil"/>
                  </w:tcBorders>
                </w:tcPr>
                <w:p w:rsidR="009B2F26" w:rsidRPr="009C02EC" w:rsidRDefault="00986756" w:rsidP="00DD33DF">
                  <w:pPr>
                    <w:pStyle w:val="Figure"/>
                    <w:spacing w:before="60" w:after="60"/>
                  </w:pPr>
                  <w:r>
                    <w:rPr>
                      <w:noProof/>
                    </w:rPr>
                    <w:drawing>
                      <wp:inline distT="0" distB="0" distL="0" distR="0">
                        <wp:extent cx="5219700" cy="2705100"/>
                        <wp:effectExtent l="0" t="0" r="0" b="0"/>
                        <wp:docPr id="64" name="Picture 64" descr="Figure 14.30 Estimated annual government funding per user of &#10;non government provided accommodation support services in institutional/residential settings (2012-13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219700" cy="2705100"/>
                                </a:xfrm>
                                <a:prstGeom prst="rect">
                                  <a:avLst/>
                                </a:prstGeom>
                                <a:noFill/>
                                <a:ln>
                                  <a:noFill/>
                                </a:ln>
                              </pic:spPr>
                            </pic:pic>
                          </a:graphicData>
                        </a:graphic>
                      </wp:inline>
                    </w:drawing>
                  </w:r>
                </w:p>
              </w:tc>
            </w:tr>
          </w:tbl>
          <w:p w:rsidR="009B2F26" w:rsidRPr="009C02EC" w:rsidRDefault="009B2F26" w:rsidP="00DD33DF">
            <w:pPr>
              <w:pStyle w:val="Figure"/>
            </w:pPr>
          </w:p>
        </w:tc>
      </w:tr>
      <w:tr w:rsidR="009B2F26" w:rsidRPr="00DF5879" w:rsidTr="00DD33DF">
        <w:tc>
          <w:tcPr>
            <w:tcW w:w="8771" w:type="dxa"/>
            <w:tcBorders>
              <w:top w:val="nil"/>
              <w:left w:val="nil"/>
              <w:bottom w:val="nil"/>
              <w:right w:val="nil"/>
            </w:tcBorders>
            <w:shd w:val="clear" w:color="auto" w:fill="auto"/>
          </w:tcPr>
          <w:p w:rsidR="009B2F26" w:rsidRPr="009C02EC" w:rsidRDefault="009B2F26" w:rsidP="00402536">
            <w:pPr>
              <w:pStyle w:val="Note"/>
              <w:keepNext/>
            </w:pPr>
            <w:proofErr w:type="gramStart"/>
            <w:r w:rsidRPr="009C02EC">
              <w:rPr>
                <w:rStyle w:val="NoteLabel"/>
              </w:rPr>
              <w:t>a</w:t>
            </w:r>
            <w:proofErr w:type="gramEnd"/>
            <w:r w:rsidRPr="009C02EC">
              <w:t xml:space="preserve"> See table</w:t>
            </w:r>
            <w:r w:rsidR="00AE3578">
              <w:t> </w:t>
            </w:r>
            <w:r w:rsidRPr="009C02EC">
              <w:t>14A.</w:t>
            </w:r>
            <w:r w:rsidR="00402536">
              <w:t>87</w:t>
            </w:r>
            <w:r w:rsidR="00402536" w:rsidRPr="009C02EC">
              <w:t xml:space="preserve"> </w:t>
            </w:r>
            <w:r w:rsidRPr="009C02EC">
              <w:t xml:space="preserve">for detailed notes relating to these data. </w:t>
            </w:r>
            <w:proofErr w:type="gramStart"/>
            <w:r w:rsidRPr="009C02EC">
              <w:rPr>
                <w:rStyle w:val="NoteLabel"/>
              </w:rPr>
              <w:t>b</w:t>
            </w:r>
            <w:proofErr w:type="gramEnd"/>
            <w:r w:rsidRPr="009C02EC">
              <w:t xml:space="preserve"> Service user data used to derive this indicator have quality issues, so </w:t>
            </w:r>
            <w:r w:rsidRPr="007B7B66">
              <w:t xml:space="preserve">estimates of jurisdictional efficiency need to be interpreted with care. Section 14.6 contains further information on data quality issues. </w:t>
            </w:r>
            <w:proofErr w:type="gramStart"/>
            <w:r w:rsidRPr="007B7B66">
              <w:rPr>
                <w:rStyle w:val="NoteLabel"/>
              </w:rPr>
              <w:t>c</w:t>
            </w:r>
            <w:proofErr w:type="gramEnd"/>
            <w:r w:rsidRPr="007B7B66">
              <w:t xml:space="preserve"> </w:t>
            </w:r>
            <w:r w:rsidR="007B7B66" w:rsidRPr="00701720">
              <w:t>Government and non</w:t>
            </w:r>
            <w:r w:rsidR="00B84AF2">
              <w:noBreakHyphen/>
            </w:r>
            <w:r w:rsidR="007B7B66" w:rsidRPr="00701720">
              <w:t xml:space="preserve">government sectors have not been accurately recorded in the NSW DS MDS </w:t>
            </w:r>
            <w:r w:rsidR="007B7B66" w:rsidRPr="004810BF">
              <w:t>up to 2009</w:t>
            </w:r>
            <w:r w:rsidR="00B84AF2">
              <w:noBreakHyphen/>
            </w:r>
            <w:r w:rsidR="007B7B66" w:rsidRPr="004810BF">
              <w:t>10. Some non</w:t>
            </w:r>
            <w:r w:rsidR="00B84AF2">
              <w:noBreakHyphen/>
            </w:r>
            <w:r w:rsidR="007B7B66" w:rsidRPr="004810BF">
              <w:t>government providers have been coded as government and this will affect the comparability of the number of service users from government and non</w:t>
            </w:r>
            <w:r w:rsidR="00B84AF2">
              <w:noBreakHyphen/>
            </w:r>
            <w:r w:rsidR="007B7B66" w:rsidRPr="004810BF">
              <w:t>government sectors over time</w:t>
            </w:r>
            <w:r w:rsidRPr="007B7B66">
              <w:t xml:space="preserve">. </w:t>
            </w:r>
            <w:r w:rsidRPr="007B7B66">
              <w:rPr>
                <w:rStyle w:val="NoteLabel"/>
              </w:rPr>
              <w:t>d</w:t>
            </w:r>
            <w:r w:rsidRPr="007B7B66">
              <w:t xml:space="preserve"> There were no non</w:t>
            </w:r>
            <w:r w:rsidR="00B84AF2">
              <w:noBreakHyphen/>
            </w:r>
            <w:r w:rsidRPr="007B7B66">
              <w:t>government provided accommodation support services in institutional/residential settings in the ACT and the NT.</w:t>
            </w:r>
            <w:r w:rsidRPr="007B7B66">
              <w:rPr>
                <w:szCs w:val="26"/>
              </w:rPr>
              <w:t xml:space="preserve"> </w:t>
            </w:r>
            <w:r w:rsidRPr="007B7B66">
              <w:rPr>
                <w:rStyle w:val="NoteLabel"/>
              </w:rPr>
              <w:t>e</w:t>
            </w:r>
            <w:r w:rsidR="00DB1727" w:rsidRPr="007B7B66">
              <w:rPr>
                <w:rStyle w:val="NoteLabel"/>
              </w:rPr>
              <w:t> </w:t>
            </w:r>
            <w:r w:rsidRPr="007B7B66">
              <w:rPr>
                <w:szCs w:val="26"/>
              </w:rPr>
              <w:t>Real dollars are previous years’ expenditure in current year’s dollars after basing</w:t>
            </w:r>
            <w:r w:rsidRPr="009C02EC">
              <w:rPr>
                <w:szCs w:val="26"/>
              </w:rPr>
              <w:t xml:space="preserve"> expenditure on the ABS GGFCE chain price deflator 201</w:t>
            </w:r>
            <w:r w:rsidR="009C02EC">
              <w:rPr>
                <w:szCs w:val="26"/>
              </w:rPr>
              <w:t>2</w:t>
            </w:r>
            <w:r w:rsidR="00B84AF2">
              <w:rPr>
                <w:szCs w:val="26"/>
              </w:rPr>
              <w:noBreakHyphen/>
            </w:r>
            <w:r w:rsidR="009C02EC">
              <w:rPr>
                <w:szCs w:val="26"/>
              </w:rPr>
              <w:t>13</w:t>
            </w:r>
            <w:r w:rsidRPr="009C02EC">
              <w:rPr>
                <w:szCs w:val="26"/>
              </w:rPr>
              <w:t>=100 (table</w:t>
            </w:r>
            <w:r w:rsidR="00AE3578">
              <w:rPr>
                <w:szCs w:val="26"/>
              </w:rPr>
              <w:t> </w:t>
            </w:r>
            <w:r w:rsidRPr="009C02EC">
              <w:rPr>
                <w:szCs w:val="26"/>
              </w:rPr>
              <w:t xml:space="preserve">2A.51). </w:t>
            </w:r>
            <w:r w:rsidRPr="009C02EC">
              <w:t xml:space="preserve">See </w:t>
            </w:r>
            <w:r w:rsidR="00B84AF2">
              <w:t>c</w:t>
            </w:r>
            <w:r w:rsidRPr="009C02EC">
              <w:t>hapter 2 (section 2.5</w:t>
            </w:r>
            <w:r w:rsidR="00B84AF2">
              <w:noBreakHyphen/>
            </w:r>
            <w:r w:rsidR="00DB1727">
              <w:t>6</w:t>
            </w:r>
            <w:r w:rsidRPr="009C02EC">
              <w:t>) for details.</w:t>
            </w:r>
          </w:p>
        </w:tc>
      </w:tr>
      <w:tr w:rsidR="009B2F26" w:rsidRPr="009C02EC" w:rsidTr="00DD33DF">
        <w:tc>
          <w:tcPr>
            <w:tcW w:w="8771" w:type="dxa"/>
            <w:tcBorders>
              <w:top w:val="nil"/>
              <w:left w:val="nil"/>
              <w:bottom w:val="nil"/>
              <w:right w:val="nil"/>
            </w:tcBorders>
            <w:shd w:val="clear" w:color="auto" w:fill="auto"/>
          </w:tcPr>
          <w:p w:rsidR="009B2F26" w:rsidRPr="009C02EC" w:rsidRDefault="009B2F26" w:rsidP="00402536">
            <w:pPr>
              <w:pStyle w:val="Source"/>
            </w:pPr>
            <w:r w:rsidRPr="009C02EC">
              <w:rPr>
                <w:i/>
              </w:rPr>
              <w:t>Source</w:t>
            </w:r>
            <w:r w:rsidRPr="009C02EC">
              <w:t xml:space="preserve">: AIHW (unpublished) </w:t>
            </w:r>
            <w:r w:rsidRPr="009C02EC">
              <w:rPr>
                <w:i/>
              </w:rPr>
              <w:t>DS NMDS</w:t>
            </w:r>
            <w:r w:rsidR="00DF1129">
              <w:rPr>
                <w:i/>
              </w:rPr>
              <w:t xml:space="preserve"> 2008</w:t>
            </w:r>
            <w:r w:rsidR="00B84AF2">
              <w:rPr>
                <w:i/>
              </w:rPr>
              <w:noBreakHyphen/>
            </w:r>
            <w:r w:rsidR="00DF1129">
              <w:rPr>
                <w:i/>
              </w:rPr>
              <w:t>09 to 2012</w:t>
            </w:r>
            <w:r w:rsidR="00B84AF2">
              <w:rPr>
                <w:i/>
              </w:rPr>
              <w:noBreakHyphen/>
            </w:r>
            <w:r w:rsidR="00DF1129">
              <w:rPr>
                <w:i/>
              </w:rPr>
              <w:t>13</w:t>
            </w:r>
            <w:r w:rsidRPr="009C02EC">
              <w:t>; State and Territory governments (unpublished); table 14A.</w:t>
            </w:r>
            <w:r w:rsidR="00402536">
              <w:t>87</w:t>
            </w:r>
            <w:r w:rsidR="00DB1727">
              <w:t>.</w:t>
            </w:r>
          </w:p>
        </w:tc>
      </w:tr>
      <w:tr w:rsidR="009B2F26" w:rsidRPr="009C02EC" w:rsidTr="00DD33DF">
        <w:tc>
          <w:tcPr>
            <w:tcW w:w="8771" w:type="dxa"/>
            <w:tcBorders>
              <w:top w:val="nil"/>
              <w:left w:val="nil"/>
              <w:bottom w:val="single" w:sz="6" w:space="0" w:color="78A22F"/>
              <w:right w:val="nil"/>
            </w:tcBorders>
            <w:shd w:val="clear" w:color="auto" w:fill="auto"/>
          </w:tcPr>
          <w:p w:rsidR="009B2F26" w:rsidRPr="009C02EC" w:rsidRDefault="009B2F26" w:rsidP="00DD33DF">
            <w:pPr>
              <w:pStyle w:val="Figurespace"/>
            </w:pPr>
          </w:p>
        </w:tc>
      </w:tr>
      <w:tr w:rsidR="009B2F26" w:rsidRPr="000863A5" w:rsidTr="00DD33DF">
        <w:tc>
          <w:tcPr>
            <w:tcW w:w="8771" w:type="dxa"/>
            <w:tcBorders>
              <w:top w:val="single" w:sz="6" w:space="0" w:color="78A22F"/>
              <w:left w:val="nil"/>
              <w:bottom w:val="nil"/>
              <w:right w:val="nil"/>
            </w:tcBorders>
          </w:tcPr>
          <w:p w:rsidR="009B2F26" w:rsidRPr="00626D32" w:rsidRDefault="009B2F26" w:rsidP="00DD33DF">
            <w:pPr>
              <w:pStyle w:val="BoxSpaceBelow"/>
            </w:pPr>
          </w:p>
        </w:tc>
      </w:tr>
    </w:tbl>
    <w:p w:rsidR="001F39F2" w:rsidRPr="009C02EC" w:rsidRDefault="001F39F2" w:rsidP="00585E2C">
      <w:pPr>
        <w:pStyle w:val="BodyText"/>
      </w:pPr>
      <w:r w:rsidRPr="009C02EC">
        <w:t>Estimated annual government funding per user of non</w:t>
      </w:r>
      <w:r w:rsidR="00B84AF2">
        <w:noBreakHyphen/>
      </w:r>
      <w:r w:rsidRPr="009C02EC">
        <w:t xml:space="preserve">government provided accommodation support services in group homes and other community settings </w:t>
      </w:r>
      <w:r w:rsidR="005F03FB" w:rsidRPr="009C02EC">
        <w:t xml:space="preserve">from </w:t>
      </w:r>
      <w:r w:rsidR="00005DAC">
        <w:br/>
      </w:r>
      <w:r w:rsidR="005F03FB" w:rsidRPr="009C02EC">
        <w:t>2003</w:t>
      </w:r>
      <w:r w:rsidR="00B84AF2">
        <w:noBreakHyphen/>
      </w:r>
      <w:r w:rsidR="005F03FB" w:rsidRPr="009C02EC">
        <w:t xml:space="preserve">04 to </w:t>
      </w:r>
      <w:r w:rsidR="004E04A9" w:rsidRPr="009C02EC">
        <w:t>2012</w:t>
      </w:r>
      <w:r w:rsidR="00B84AF2">
        <w:noBreakHyphen/>
      </w:r>
      <w:r w:rsidR="004E04A9" w:rsidRPr="009C02EC">
        <w:t>13</w:t>
      </w:r>
      <w:r w:rsidR="002B5074" w:rsidRPr="009C02EC">
        <w:t xml:space="preserve"> </w:t>
      </w:r>
      <w:r w:rsidRPr="009C02EC">
        <w:t>are reported in</w:t>
      </w:r>
      <w:r w:rsidR="004E04A9" w:rsidRPr="009C02EC">
        <w:t xml:space="preserve"> </w:t>
      </w:r>
      <w:r w:rsidRPr="009C02EC">
        <w:t>table</w:t>
      </w:r>
      <w:r w:rsidR="00AE3578">
        <w:t> </w:t>
      </w:r>
      <w:r w:rsidRPr="009C02EC">
        <w:t>14A</w:t>
      </w:r>
      <w:r w:rsidR="002C1E65">
        <w:t>.</w:t>
      </w:r>
      <w:r w:rsidR="00402536">
        <w:t>87</w:t>
      </w:r>
      <w:r w:rsidRPr="009C02EC">
        <w:t>.</w:t>
      </w:r>
    </w:p>
    <w:p w:rsidR="001F39F2" w:rsidRPr="009C02EC" w:rsidRDefault="001F39F2" w:rsidP="00585E2C">
      <w:pPr>
        <w:pStyle w:val="Heading5"/>
      </w:pPr>
      <w:r w:rsidRPr="009C02EC">
        <w:t>Government contribution per user of non</w:t>
      </w:r>
      <w:r w:rsidR="00B84AF2">
        <w:noBreakHyphen/>
      </w:r>
      <w:r w:rsidRPr="009C02EC">
        <w:t>government provided services — government contribution per employment service user assisted</w:t>
      </w:r>
    </w:p>
    <w:p w:rsidR="001F39F2" w:rsidRPr="004E04A9" w:rsidRDefault="001F39F2" w:rsidP="00585E2C">
      <w:pPr>
        <w:pStyle w:val="BodyText"/>
        <w:rPr>
          <w:szCs w:val="26"/>
        </w:rPr>
      </w:pPr>
      <w:r w:rsidRPr="00701720">
        <w:rPr>
          <w:szCs w:val="26"/>
        </w:rPr>
        <w:t xml:space="preserve">Nationally, for all employment services, estimated government expenditure per service user assisted was </w:t>
      </w:r>
      <w:r w:rsidR="004B2198">
        <w:rPr>
          <w:szCs w:val="26"/>
        </w:rPr>
        <w:t>$4945</w:t>
      </w:r>
      <w:r w:rsidR="001B5ED6" w:rsidRPr="00701720">
        <w:t xml:space="preserve"> </w:t>
      </w:r>
      <w:r w:rsidRPr="00701720">
        <w:t xml:space="preserve">in </w:t>
      </w:r>
      <w:r w:rsidR="004E04A9" w:rsidRPr="00701720">
        <w:t>2012</w:t>
      </w:r>
      <w:r w:rsidR="00B84AF2">
        <w:noBreakHyphen/>
      </w:r>
      <w:r w:rsidR="004E04A9" w:rsidRPr="00701720">
        <w:t>13</w:t>
      </w:r>
      <w:r w:rsidR="00161640" w:rsidRPr="00701720">
        <w:t xml:space="preserve"> </w:t>
      </w:r>
      <w:r w:rsidRPr="00701720">
        <w:t>(figure</w:t>
      </w:r>
      <w:r w:rsidR="00AE3578">
        <w:t> </w:t>
      </w:r>
      <w:r w:rsidRPr="00701720">
        <w:t>14.</w:t>
      </w:r>
      <w:r w:rsidR="004E04A9" w:rsidRPr="00701720">
        <w:t>3</w:t>
      </w:r>
      <w:r w:rsidR="00FE0B9E">
        <w:t>1</w:t>
      </w:r>
      <w:r w:rsidRPr="00701720">
        <w:t xml:space="preserve">). Nationally, estimated annual government expenditure per service user in </w:t>
      </w:r>
      <w:r w:rsidR="004E04A9" w:rsidRPr="00701720">
        <w:t>2012</w:t>
      </w:r>
      <w:r w:rsidR="00B84AF2">
        <w:noBreakHyphen/>
      </w:r>
      <w:r w:rsidR="004E04A9" w:rsidRPr="00701720">
        <w:t>13</w:t>
      </w:r>
      <w:r w:rsidRPr="00701720">
        <w:t xml:space="preserve">, by employment service type, was </w:t>
      </w:r>
      <w:r w:rsidR="004B2198">
        <w:t>$3681</w:t>
      </w:r>
      <w:r w:rsidR="001B5ED6" w:rsidRPr="00701720">
        <w:t xml:space="preserve"> </w:t>
      </w:r>
      <w:r w:rsidRPr="00701720">
        <w:t>on open services (employed or seeking employment in the open labour market) and $</w:t>
      </w:r>
      <w:r w:rsidR="004B2198">
        <w:t>10</w:t>
      </w:r>
      <w:r w:rsidR="00DB1727">
        <w:t> </w:t>
      </w:r>
      <w:r w:rsidR="004B2198">
        <w:t>598</w:t>
      </w:r>
      <w:r w:rsidR="001B5ED6" w:rsidRPr="00701720">
        <w:t xml:space="preserve"> </w:t>
      </w:r>
      <w:r w:rsidRPr="00701720">
        <w:t>on supported services (employed by the service provider) (table</w:t>
      </w:r>
      <w:r w:rsidR="00AE3578">
        <w:t> </w:t>
      </w:r>
      <w:r w:rsidRPr="00701720">
        <w:t>14A.</w:t>
      </w:r>
      <w:r w:rsidR="00402536">
        <w:t>89</w:t>
      </w:r>
      <w:r w:rsidRPr="00701720">
        <w:t>)</w:t>
      </w:r>
      <w:r w:rsidRPr="00701720">
        <w:rPr>
          <w:szCs w:val="26"/>
        </w:rPr>
        <w:t>.</w:t>
      </w:r>
    </w:p>
    <w:p w:rsidR="000F005F" w:rsidRDefault="000F005F"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005F" w:rsidRPr="00DF5879" w:rsidTr="00DD33DF">
        <w:tc>
          <w:tcPr>
            <w:tcW w:w="8771" w:type="dxa"/>
            <w:tcBorders>
              <w:top w:val="single" w:sz="6" w:space="0" w:color="78A22F"/>
              <w:left w:val="nil"/>
              <w:bottom w:val="nil"/>
              <w:right w:val="nil"/>
            </w:tcBorders>
            <w:shd w:val="clear" w:color="auto" w:fill="auto"/>
          </w:tcPr>
          <w:p w:rsidR="000F005F" w:rsidRPr="004B2198" w:rsidRDefault="000F005F" w:rsidP="00701720">
            <w:pPr>
              <w:pStyle w:val="FigureTitle"/>
            </w:pPr>
            <w:r w:rsidRPr="004B2198">
              <w:rPr>
                <w:b w:val="0"/>
              </w:rPr>
              <w:t xml:space="preserve">Figure </w:t>
            </w:r>
            <w:r w:rsidR="00321568">
              <w:rPr>
                <w:b w:val="0"/>
              </w:rPr>
              <w:t>14.</w:t>
            </w:r>
            <w:r w:rsidR="0085284B">
              <w:rPr>
                <w:b w:val="0"/>
                <w:noProof/>
              </w:rPr>
              <w:t>31</w:t>
            </w:r>
            <w:r w:rsidRPr="00701720">
              <w:rPr>
                <w:b w:val="0"/>
              </w:rPr>
              <w:tab/>
            </w:r>
            <w:r w:rsidRPr="004B2198">
              <w:t>Government contribution per employment service user assisted (</w:t>
            </w:r>
            <w:r w:rsidR="004E04A9" w:rsidRPr="004B2198">
              <w:t>2012</w:t>
            </w:r>
            <w:r w:rsidR="00B84AF2">
              <w:noBreakHyphen/>
            </w:r>
            <w:r w:rsidR="004E04A9" w:rsidRPr="004B2198">
              <w:t>13</w:t>
            </w:r>
            <w:r w:rsidRPr="00E16210">
              <w:t xml:space="preserve"> dollars)</w:t>
            </w:r>
            <w:r w:rsidRPr="00DB1727">
              <w:rPr>
                <w:rStyle w:val="NoteLabel"/>
                <w:b/>
              </w:rPr>
              <w:t>a, b, c</w:t>
            </w:r>
          </w:p>
        </w:tc>
      </w:tr>
      <w:tr w:rsidR="000F005F" w:rsidRPr="00DF5879"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0F005F" w:rsidRPr="00EE6164" w:rsidTr="00DD33DF">
              <w:trPr>
                <w:jc w:val="center"/>
              </w:trPr>
              <w:tc>
                <w:tcPr>
                  <w:tcW w:w="5000" w:type="pct"/>
                  <w:tcBorders>
                    <w:top w:val="nil"/>
                    <w:bottom w:val="nil"/>
                  </w:tcBorders>
                </w:tcPr>
                <w:p w:rsidR="000F005F" w:rsidRPr="004B2198" w:rsidRDefault="00986756" w:rsidP="00DD33DF">
                  <w:pPr>
                    <w:pStyle w:val="Figure"/>
                    <w:spacing w:before="60" w:after="60"/>
                  </w:pPr>
                  <w:r>
                    <w:rPr>
                      <w:noProof/>
                    </w:rPr>
                    <w:drawing>
                      <wp:inline distT="0" distB="0" distL="0" distR="0">
                        <wp:extent cx="5219700" cy="2705100"/>
                        <wp:effectExtent l="0" t="0" r="0" b="0"/>
                        <wp:docPr id="65" name="Picture 65" descr="Figure 14.31 Government contribution per employment service user assisted (2012-13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219700" cy="2705100"/>
                                </a:xfrm>
                                <a:prstGeom prst="rect">
                                  <a:avLst/>
                                </a:prstGeom>
                                <a:noFill/>
                                <a:ln>
                                  <a:noFill/>
                                </a:ln>
                              </pic:spPr>
                            </pic:pic>
                          </a:graphicData>
                        </a:graphic>
                      </wp:inline>
                    </w:drawing>
                  </w:r>
                </w:p>
              </w:tc>
            </w:tr>
          </w:tbl>
          <w:p w:rsidR="000F005F" w:rsidRPr="004B2198" w:rsidRDefault="000F005F" w:rsidP="00DD33DF">
            <w:pPr>
              <w:pStyle w:val="Figure"/>
            </w:pPr>
          </w:p>
        </w:tc>
      </w:tr>
      <w:tr w:rsidR="000F005F" w:rsidRPr="00EE6164" w:rsidTr="00DD33DF">
        <w:tc>
          <w:tcPr>
            <w:tcW w:w="8771" w:type="dxa"/>
            <w:tcBorders>
              <w:top w:val="nil"/>
              <w:left w:val="nil"/>
              <w:bottom w:val="nil"/>
              <w:right w:val="nil"/>
            </w:tcBorders>
            <w:shd w:val="clear" w:color="auto" w:fill="auto"/>
          </w:tcPr>
          <w:p w:rsidR="000F005F" w:rsidRPr="00701720" w:rsidRDefault="000F005F" w:rsidP="00402536">
            <w:pPr>
              <w:pStyle w:val="Note"/>
              <w:rPr>
                <w:szCs w:val="26"/>
              </w:rPr>
            </w:pPr>
            <w:proofErr w:type="gramStart"/>
            <w:r w:rsidRPr="00701720">
              <w:rPr>
                <w:rStyle w:val="NoteLabel"/>
              </w:rPr>
              <w:t>a</w:t>
            </w:r>
            <w:proofErr w:type="gramEnd"/>
            <w:r w:rsidRPr="00701720">
              <w:t xml:space="preserve"> See table</w:t>
            </w:r>
            <w:r w:rsidR="00AE3578">
              <w:t> </w:t>
            </w:r>
            <w:r w:rsidRPr="00701720">
              <w:t>14A.</w:t>
            </w:r>
            <w:r w:rsidR="00402536">
              <w:t xml:space="preserve">88 </w:t>
            </w:r>
            <w:r w:rsidRPr="00701720">
              <w:t xml:space="preserve">for detailed notes relating to these data. </w:t>
            </w:r>
            <w:proofErr w:type="gramStart"/>
            <w:r w:rsidRPr="00701720">
              <w:rPr>
                <w:rStyle w:val="NoteLabel"/>
              </w:rPr>
              <w:t>b</w:t>
            </w:r>
            <w:proofErr w:type="gramEnd"/>
            <w:r w:rsidRPr="00701720">
              <w:t xml:space="preserve"> Cost per employment service user data reported here might differ from those reported in the Australian Government</w:t>
            </w:r>
            <w:r w:rsidR="00B84AF2">
              <w:t>’</w:t>
            </w:r>
            <w:r w:rsidRPr="00701720">
              <w:t xml:space="preserve">s annual report, where different rules are used to count the number of employment service users. </w:t>
            </w:r>
            <w:proofErr w:type="gramStart"/>
            <w:r w:rsidRPr="00701720">
              <w:rPr>
                <w:rStyle w:val="NoteLabel"/>
              </w:rPr>
              <w:t>c</w:t>
            </w:r>
            <w:proofErr w:type="gramEnd"/>
            <w:r w:rsidRPr="00701720">
              <w:rPr>
                <w:szCs w:val="26"/>
              </w:rPr>
              <w:t xml:space="preserve"> Real dollars are previous years’ expenditure in current year’s dollars after basing expenditure on the ABS GGFCE chain price deflator </w:t>
            </w:r>
            <w:r w:rsidR="00476310">
              <w:rPr>
                <w:szCs w:val="26"/>
              </w:rPr>
              <w:t>2012</w:t>
            </w:r>
            <w:r w:rsidR="00B84AF2">
              <w:rPr>
                <w:szCs w:val="26"/>
              </w:rPr>
              <w:noBreakHyphen/>
            </w:r>
            <w:r w:rsidR="00476310">
              <w:rPr>
                <w:szCs w:val="26"/>
              </w:rPr>
              <w:t>13</w:t>
            </w:r>
            <w:r w:rsidRPr="00701720">
              <w:rPr>
                <w:szCs w:val="26"/>
              </w:rPr>
              <w:t>=100 (table</w:t>
            </w:r>
            <w:r w:rsidR="00AE3578">
              <w:rPr>
                <w:szCs w:val="26"/>
              </w:rPr>
              <w:t> </w:t>
            </w:r>
            <w:r w:rsidRPr="00701720">
              <w:rPr>
                <w:szCs w:val="26"/>
              </w:rPr>
              <w:t xml:space="preserve">2A.51). </w:t>
            </w:r>
            <w:r w:rsidRPr="00701720">
              <w:t xml:space="preserve">See </w:t>
            </w:r>
            <w:r w:rsidR="00B84AF2">
              <w:t>c</w:t>
            </w:r>
            <w:r w:rsidRPr="00701720">
              <w:t>hapter 2 (section 2.5</w:t>
            </w:r>
            <w:r w:rsidR="00B84AF2">
              <w:noBreakHyphen/>
            </w:r>
            <w:r w:rsidR="00DB1727">
              <w:t>6</w:t>
            </w:r>
            <w:r w:rsidRPr="00701720">
              <w:t>) for details.</w:t>
            </w:r>
          </w:p>
        </w:tc>
      </w:tr>
      <w:tr w:rsidR="000F005F" w:rsidRPr="00EE6164" w:rsidTr="00DD33DF">
        <w:tc>
          <w:tcPr>
            <w:tcW w:w="8771" w:type="dxa"/>
            <w:tcBorders>
              <w:top w:val="nil"/>
              <w:left w:val="nil"/>
              <w:bottom w:val="nil"/>
              <w:right w:val="nil"/>
            </w:tcBorders>
            <w:shd w:val="clear" w:color="auto" w:fill="auto"/>
          </w:tcPr>
          <w:p w:rsidR="000F005F" w:rsidRPr="00701720" w:rsidRDefault="000F005F" w:rsidP="00402536">
            <w:pPr>
              <w:pStyle w:val="Source"/>
              <w:ind w:left="-22" w:firstLine="22"/>
            </w:pPr>
            <w:r w:rsidRPr="00701720">
              <w:rPr>
                <w:i/>
              </w:rPr>
              <w:t>Source</w:t>
            </w:r>
            <w:r w:rsidRPr="00701720">
              <w:t xml:space="preserve">: Australian Government (unpublished); AIHW (unpublished) </w:t>
            </w:r>
            <w:r w:rsidRPr="00701720">
              <w:rPr>
                <w:i/>
              </w:rPr>
              <w:t>DS NMDS</w:t>
            </w:r>
            <w:r w:rsidR="00DF1129">
              <w:rPr>
                <w:i/>
              </w:rPr>
              <w:t xml:space="preserve"> 2008</w:t>
            </w:r>
            <w:r w:rsidR="00B84AF2">
              <w:rPr>
                <w:i/>
              </w:rPr>
              <w:noBreakHyphen/>
            </w:r>
            <w:r w:rsidR="00DF1129">
              <w:rPr>
                <w:i/>
              </w:rPr>
              <w:t>09 to 2012</w:t>
            </w:r>
            <w:r w:rsidR="00B84AF2">
              <w:rPr>
                <w:i/>
              </w:rPr>
              <w:noBreakHyphen/>
            </w:r>
            <w:r w:rsidR="00DF1129">
              <w:rPr>
                <w:i/>
              </w:rPr>
              <w:t>13</w:t>
            </w:r>
            <w:r w:rsidRPr="00701720">
              <w:rPr>
                <w:i/>
              </w:rPr>
              <w:t>;</w:t>
            </w:r>
            <w:r w:rsidRPr="00701720">
              <w:t xml:space="preserve"> table 14A.</w:t>
            </w:r>
            <w:r w:rsidR="00402536">
              <w:t>88</w:t>
            </w:r>
            <w:r w:rsidRPr="00701720">
              <w:t>.</w:t>
            </w:r>
          </w:p>
        </w:tc>
      </w:tr>
      <w:tr w:rsidR="000F005F" w:rsidRPr="00EE6164" w:rsidTr="00DD33DF">
        <w:tc>
          <w:tcPr>
            <w:tcW w:w="8771" w:type="dxa"/>
            <w:tcBorders>
              <w:top w:val="nil"/>
              <w:left w:val="nil"/>
              <w:bottom w:val="single" w:sz="6" w:space="0" w:color="78A22F"/>
              <w:right w:val="nil"/>
            </w:tcBorders>
            <w:shd w:val="clear" w:color="auto" w:fill="auto"/>
          </w:tcPr>
          <w:p w:rsidR="000F005F" w:rsidRPr="004B2198" w:rsidRDefault="000F005F" w:rsidP="00DD33DF">
            <w:pPr>
              <w:pStyle w:val="Figurespace"/>
            </w:pPr>
          </w:p>
        </w:tc>
      </w:tr>
      <w:tr w:rsidR="000F005F" w:rsidRPr="000863A5" w:rsidTr="00DD33DF">
        <w:tc>
          <w:tcPr>
            <w:tcW w:w="8771" w:type="dxa"/>
            <w:tcBorders>
              <w:top w:val="single" w:sz="6" w:space="0" w:color="78A22F"/>
              <w:left w:val="nil"/>
              <w:bottom w:val="nil"/>
              <w:right w:val="nil"/>
            </w:tcBorders>
          </w:tcPr>
          <w:p w:rsidR="000F005F" w:rsidRPr="00626D32" w:rsidRDefault="000F005F" w:rsidP="00DD33DF">
            <w:pPr>
              <w:pStyle w:val="BoxSpaceBelow"/>
            </w:pPr>
          </w:p>
        </w:tc>
      </w:tr>
    </w:tbl>
    <w:p w:rsidR="001F39F2" w:rsidRPr="00F449F0" w:rsidRDefault="001F39F2" w:rsidP="00585E2C">
      <w:pPr>
        <w:pStyle w:val="Heading5"/>
      </w:pPr>
      <w:r w:rsidRPr="00F449F0">
        <w:t xml:space="preserve">Cost per user of State and Territory administered services </w:t>
      </w:r>
    </w:p>
    <w:p w:rsidR="001F39F2" w:rsidRDefault="001F39F2" w:rsidP="00585E2C">
      <w:pPr>
        <w:pStyle w:val="BodyText"/>
      </w:pPr>
      <w:r w:rsidRPr="00F449F0">
        <w:t>‘Cost per user of State and Territory administered services’ is an indicator of governments’ objective to provide specialist disability services in an efficient manner (box</w:t>
      </w:r>
      <w:r w:rsidR="00AE3578">
        <w:t> </w:t>
      </w:r>
      <w:r w:rsidRPr="00F449F0">
        <w:t>14.</w:t>
      </w:r>
      <w:r w:rsidR="00525A0A" w:rsidRPr="00F449F0">
        <w:t>18</w:t>
      </w:r>
      <w:r w:rsidRPr="00F449F0">
        <w:t>).</w:t>
      </w:r>
    </w:p>
    <w:p w:rsidR="0037567C" w:rsidRDefault="003756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67C" w:rsidTr="00C827D5">
        <w:tc>
          <w:tcPr>
            <w:tcW w:w="8771" w:type="dxa"/>
            <w:tcBorders>
              <w:top w:val="single" w:sz="6" w:space="0" w:color="78A22F"/>
              <w:left w:val="nil"/>
              <w:bottom w:val="nil"/>
              <w:right w:val="nil"/>
            </w:tcBorders>
            <w:shd w:val="clear" w:color="auto" w:fill="F2F2F2"/>
          </w:tcPr>
          <w:p w:rsidR="0037567C" w:rsidRDefault="0037567C" w:rsidP="0037567C">
            <w:pPr>
              <w:pStyle w:val="BoxTitle"/>
            </w:pPr>
            <w:r>
              <w:rPr>
                <w:b w:val="0"/>
              </w:rPr>
              <w:t xml:space="preserve">Box </w:t>
            </w:r>
            <w:r w:rsidR="00321568">
              <w:rPr>
                <w:b w:val="0"/>
              </w:rPr>
              <w:t>14.</w:t>
            </w:r>
            <w:r w:rsidR="0085284B">
              <w:rPr>
                <w:b w:val="0"/>
                <w:noProof/>
              </w:rPr>
              <w:t>18</w:t>
            </w:r>
            <w:r w:rsidRPr="0037567C">
              <w:tab/>
              <w:t>Cost per user of State and Territory administered services</w:t>
            </w:r>
          </w:p>
        </w:tc>
      </w:tr>
      <w:tr w:rsidR="0037567C" w:rsidTr="00C827D5">
        <w:trPr>
          <w:cantSplit/>
        </w:trPr>
        <w:tc>
          <w:tcPr>
            <w:tcW w:w="8771" w:type="dxa"/>
            <w:tcBorders>
              <w:top w:val="nil"/>
              <w:left w:val="nil"/>
              <w:bottom w:val="nil"/>
              <w:right w:val="nil"/>
            </w:tcBorders>
            <w:shd w:val="clear" w:color="auto" w:fill="F2F2F2"/>
          </w:tcPr>
          <w:p w:rsidR="0037567C" w:rsidRPr="004E04A9" w:rsidRDefault="0037567C" w:rsidP="0037567C">
            <w:pPr>
              <w:pStyle w:val="Box"/>
            </w:pPr>
            <w:r w:rsidRPr="004E04A9">
              <w:t>‘Cost per user of State and Territory administered services’ is defined as government expenditure on NDA State and Territory administered services per service user. Two measures are reported:</w:t>
            </w:r>
          </w:p>
          <w:p w:rsidR="0037567C" w:rsidRPr="004E04A9" w:rsidRDefault="0037567C" w:rsidP="0037567C">
            <w:pPr>
              <w:pStyle w:val="BoxListBullet"/>
            </w:pPr>
            <w:r w:rsidRPr="004E04A9">
              <w:t xml:space="preserve">estimated government expenditure per user of NDA State and Territory administered services (data are reported separately for government expenditure net of payroll tax and for government expenditure including actual and/or imputed payroll tax) </w:t>
            </w:r>
          </w:p>
          <w:p w:rsidR="0037567C" w:rsidRPr="004E04A9" w:rsidRDefault="0037567C" w:rsidP="0037567C">
            <w:pPr>
              <w:pStyle w:val="BoxListBullet"/>
            </w:pPr>
            <w:r w:rsidRPr="004E04A9">
              <w:t>cost per user of government provided accommodation support services in:</w:t>
            </w:r>
          </w:p>
          <w:p w:rsidR="0037567C" w:rsidRPr="004E04A9" w:rsidRDefault="0037567C" w:rsidP="0037567C">
            <w:pPr>
              <w:pStyle w:val="BoxListBullet2"/>
            </w:pPr>
            <w:r w:rsidRPr="004E04A9">
              <w:t>institutional/residential settings</w:t>
            </w:r>
          </w:p>
          <w:p w:rsidR="0037567C" w:rsidRPr="004E04A9" w:rsidRDefault="0037567C" w:rsidP="0037567C">
            <w:pPr>
              <w:pStyle w:val="BoxListBullet2"/>
            </w:pPr>
            <w:r w:rsidRPr="004E04A9">
              <w:t xml:space="preserve">group homes </w:t>
            </w:r>
          </w:p>
          <w:p w:rsidR="0037567C" w:rsidRPr="004E04A9" w:rsidRDefault="0037567C" w:rsidP="0037567C">
            <w:pPr>
              <w:pStyle w:val="BoxListBullet2"/>
            </w:pPr>
            <w:proofErr w:type="gramStart"/>
            <w:r w:rsidRPr="004E04A9">
              <w:t>other</w:t>
            </w:r>
            <w:proofErr w:type="gramEnd"/>
            <w:r w:rsidRPr="004E04A9">
              <w:t xml:space="preserve"> community settings.</w:t>
            </w:r>
          </w:p>
          <w:p w:rsidR="0037567C" w:rsidRPr="004E04A9" w:rsidRDefault="0037567C" w:rsidP="0037567C">
            <w:pPr>
              <w:pStyle w:val="Box"/>
            </w:pPr>
            <w:r w:rsidRPr="004E04A9">
              <w:t xml:space="preserve">Holding other factors constant (such as service quality and accessibility), low or decreasing government expenditure per service user reflects a more efficient provision of this service. </w:t>
            </w:r>
          </w:p>
          <w:p w:rsidR="0037567C" w:rsidRPr="004E04A9" w:rsidRDefault="0037567C" w:rsidP="0037567C">
            <w:pPr>
              <w:pStyle w:val="Box"/>
            </w:pPr>
            <w:r w:rsidRPr="004E04A9">
              <w:t>Efficiency data are difficult to interpret. Although high or increasing expenditure per unit of output can reflect deteriorating efficiency, it can also reflect improvements in the quality or attributes of the services provided, or an increase in the service needs of service users. Similarly, low or decreasing expenditure per unit of output can reflect improving efficiency, or lower quality and less effective services. Efficiency data therefore should be interpreted within the context of the effectiveness and equity indicators to derive a holistic view of performance.</w:t>
            </w:r>
          </w:p>
          <w:p w:rsidR="0037567C" w:rsidRPr="00DF5879" w:rsidRDefault="0037567C" w:rsidP="0037567C">
            <w:pPr>
              <w:pStyle w:val="Box"/>
            </w:pPr>
            <w:r w:rsidRPr="004E04A9">
              <w:t xml:space="preserve">Data </w:t>
            </w:r>
            <w:r w:rsidRPr="00DF5879">
              <w:t>reported for this measure are:</w:t>
            </w:r>
          </w:p>
          <w:p w:rsidR="0037567C" w:rsidRPr="00060ADF" w:rsidRDefault="0037567C" w:rsidP="0037567C">
            <w:pPr>
              <w:pStyle w:val="BoxListBullet"/>
              <w:keepLines/>
            </w:pPr>
            <w:r w:rsidRPr="00060ADF">
              <w:t xml:space="preserve">comparable (subject to caveats) within some jurisdictions over time but are not comparable across jurisdictions or over time for other jurisdictions </w:t>
            </w:r>
          </w:p>
          <w:p w:rsidR="0037567C" w:rsidRPr="00727B3B" w:rsidRDefault="0037567C" w:rsidP="0037567C">
            <w:pPr>
              <w:pStyle w:val="BoxListBullet"/>
              <w:keepLines/>
            </w:pPr>
            <w:proofErr w:type="gramStart"/>
            <w:r w:rsidRPr="00E340C1">
              <w:t>complete</w:t>
            </w:r>
            <w:proofErr w:type="gramEnd"/>
            <w:r w:rsidRPr="00E340C1">
              <w:t xml:space="preserve"> (subject to caveats) for the current reporting period. </w:t>
            </w:r>
            <w:r w:rsidRPr="00727B3B">
              <w:t xml:space="preserve">All required </w:t>
            </w:r>
            <w:r w:rsidR="004E04A9" w:rsidRPr="00727B3B">
              <w:t>2012</w:t>
            </w:r>
            <w:r w:rsidR="00B84AF2">
              <w:noBreakHyphen/>
            </w:r>
            <w:r w:rsidR="004E04A9" w:rsidRPr="00727B3B">
              <w:t>13</w:t>
            </w:r>
            <w:r w:rsidRPr="00727B3B">
              <w:t xml:space="preserve"> data are available for all jurisdictions that provide the service.</w:t>
            </w:r>
          </w:p>
          <w:p w:rsidR="0037567C" w:rsidRDefault="0037567C" w:rsidP="0037567C">
            <w:pPr>
              <w:pStyle w:val="Box"/>
            </w:pPr>
            <w:r w:rsidRPr="0037567C">
              <w:t>Data quality information for this indicator is under development.</w:t>
            </w:r>
          </w:p>
        </w:tc>
      </w:tr>
      <w:tr w:rsidR="0037567C" w:rsidTr="00C827D5">
        <w:trPr>
          <w:cantSplit/>
        </w:trPr>
        <w:tc>
          <w:tcPr>
            <w:tcW w:w="8771" w:type="dxa"/>
            <w:tcBorders>
              <w:top w:val="nil"/>
              <w:left w:val="nil"/>
              <w:bottom w:val="single" w:sz="6" w:space="0" w:color="78A22F"/>
              <w:right w:val="nil"/>
            </w:tcBorders>
            <w:shd w:val="clear" w:color="auto" w:fill="F2F2F2"/>
          </w:tcPr>
          <w:p w:rsidR="0037567C" w:rsidRDefault="0037567C">
            <w:pPr>
              <w:pStyle w:val="Box"/>
              <w:spacing w:before="0" w:line="120" w:lineRule="exact"/>
            </w:pPr>
          </w:p>
        </w:tc>
      </w:tr>
      <w:tr w:rsidR="0037567C" w:rsidRPr="00E16210" w:rsidTr="00C827D5">
        <w:tc>
          <w:tcPr>
            <w:tcW w:w="8771" w:type="dxa"/>
            <w:tcBorders>
              <w:top w:val="single" w:sz="6" w:space="0" w:color="78A22F"/>
              <w:left w:val="nil"/>
              <w:bottom w:val="nil"/>
              <w:right w:val="nil"/>
            </w:tcBorders>
          </w:tcPr>
          <w:p w:rsidR="0037567C" w:rsidRPr="00E16D99" w:rsidRDefault="0037567C" w:rsidP="00C827D5">
            <w:pPr>
              <w:pStyle w:val="BoxSpaceBelow"/>
            </w:pPr>
          </w:p>
        </w:tc>
      </w:tr>
    </w:tbl>
    <w:p w:rsidR="001F39F2" w:rsidRPr="00BA1D8F" w:rsidRDefault="001F39F2" w:rsidP="00585E2C">
      <w:pPr>
        <w:pStyle w:val="BodyText"/>
      </w:pPr>
      <w:r w:rsidRPr="00E16D99">
        <w:rPr>
          <w:szCs w:val="26"/>
        </w:rPr>
        <w:t>Total estimated government expenditure per user of NDA State and Territory</w:t>
      </w:r>
      <w:r w:rsidRPr="00F24D03">
        <w:rPr>
          <w:szCs w:val="26"/>
        </w:rPr>
        <w:t xml:space="preserve"> administered specialist disability services in </w:t>
      </w:r>
      <w:r w:rsidR="00BA1D8F" w:rsidRPr="00E16210">
        <w:rPr>
          <w:szCs w:val="26"/>
        </w:rPr>
        <w:t>2012</w:t>
      </w:r>
      <w:r w:rsidR="00B84AF2">
        <w:rPr>
          <w:szCs w:val="26"/>
        </w:rPr>
        <w:noBreakHyphen/>
      </w:r>
      <w:r w:rsidR="00BA1D8F" w:rsidRPr="00E16210">
        <w:rPr>
          <w:szCs w:val="26"/>
        </w:rPr>
        <w:t>13</w:t>
      </w:r>
      <w:r w:rsidR="0004689D" w:rsidRPr="00E16210">
        <w:rPr>
          <w:szCs w:val="26"/>
        </w:rPr>
        <w:t xml:space="preserve"> </w:t>
      </w:r>
      <w:r w:rsidRPr="00E16210">
        <w:rPr>
          <w:szCs w:val="26"/>
        </w:rPr>
        <w:t xml:space="preserve">is reported both net of payroll tax and including actual or imputed payroll tax. Nationally, estimated expenditure per service user was </w:t>
      </w:r>
      <w:r w:rsidR="00E16210" w:rsidRPr="00727B3B">
        <w:rPr>
          <w:szCs w:val="26"/>
        </w:rPr>
        <w:t>$37 773</w:t>
      </w:r>
      <w:r w:rsidRPr="00E16D99">
        <w:rPr>
          <w:szCs w:val="26"/>
        </w:rPr>
        <w:t xml:space="preserve"> excluding payroll </w:t>
      </w:r>
      <w:proofErr w:type="gramStart"/>
      <w:r w:rsidRPr="00E16D99">
        <w:rPr>
          <w:szCs w:val="26"/>
        </w:rPr>
        <w:t>tax</w:t>
      </w:r>
      <w:proofErr w:type="gramEnd"/>
      <w:r w:rsidRPr="00E16D99">
        <w:rPr>
          <w:szCs w:val="26"/>
        </w:rPr>
        <w:t xml:space="preserve"> and $</w:t>
      </w:r>
      <w:r w:rsidR="00E16210" w:rsidRPr="00727B3B">
        <w:rPr>
          <w:szCs w:val="26"/>
        </w:rPr>
        <w:t>38 224</w:t>
      </w:r>
      <w:r w:rsidR="0019455A">
        <w:rPr>
          <w:szCs w:val="26"/>
        </w:rPr>
        <w:t xml:space="preserve"> </w:t>
      </w:r>
      <w:r w:rsidRPr="00E16D99">
        <w:rPr>
          <w:szCs w:val="26"/>
        </w:rPr>
        <w:t>including actual and/or imputed payroll tax (figure </w:t>
      </w:r>
      <w:r w:rsidRPr="00F24D03">
        <w:t>14.</w:t>
      </w:r>
      <w:r w:rsidR="00F20007" w:rsidRPr="00701720">
        <w:t>3</w:t>
      </w:r>
      <w:r w:rsidR="00FE0B9E">
        <w:t>2</w:t>
      </w:r>
      <w:r w:rsidRPr="004810BF">
        <w:rPr>
          <w:szCs w:val="26"/>
        </w:rPr>
        <w:t>).</w:t>
      </w:r>
      <w:r w:rsidRPr="00BA1D8F">
        <w:rPr>
          <w:szCs w:val="26"/>
        </w:rPr>
        <w:t xml:space="preserve"> </w:t>
      </w:r>
    </w:p>
    <w:p w:rsidR="000F005F" w:rsidRDefault="000F005F"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005F" w:rsidRPr="00E16D99" w:rsidTr="00DD33DF">
        <w:tc>
          <w:tcPr>
            <w:tcW w:w="8771" w:type="dxa"/>
            <w:tcBorders>
              <w:top w:val="single" w:sz="6" w:space="0" w:color="78A22F"/>
              <w:left w:val="nil"/>
              <w:bottom w:val="nil"/>
              <w:right w:val="nil"/>
            </w:tcBorders>
            <w:shd w:val="clear" w:color="auto" w:fill="auto"/>
          </w:tcPr>
          <w:p w:rsidR="000F005F" w:rsidRPr="00E16D99" w:rsidRDefault="000F005F" w:rsidP="00BA1D8F">
            <w:pPr>
              <w:pStyle w:val="FigureTitle"/>
            </w:pPr>
            <w:r w:rsidRPr="00E16D99">
              <w:rPr>
                <w:b w:val="0"/>
              </w:rPr>
              <w:t xml:space="preserve">Figure </w:t>
            </w:r>
            <w:r w:rsidR="00321568">
              <w:rPr>
                <w:b w:val="0"/>
              </w:rPr>
              <w:t>14.</w:t>
            </w:r>
            <w:r w:rsidR="0085284B">
              <w:rPr>
                <w:b w:val="0"/>
                <w:noProof/>
              </w:rPr>
              <w:t>32</w:t>
            </w:r>
            <w:r w:rsidRPr="00E16D99">
              <w:tab/>
              <w:t xml:space="preserve">Estimated annual government expenditure per user of NDA State and Territory administered services, </w:t>
            </w:r>
            <w:r w:rsidR="00BA1D8F" w:rsidRPr="00E16D99">
              <w:t>2012</w:t>
            </w:r>
            <w:r w:rsidR="00B84AF2">
              <w:noBreakHyphen/>
            </w:r>
            <w:r w:rsidR="00BA1D8F" w:rsidRPr="00E16D99">
              <w:t>13</w:t>
            </w:r>
            <w:r w:rsidRPr="00E16D99">
              <w:rPr>
                <w:rStyle w:val="NoteLabel"/>
                <w:b/>
              </w:rPr>
              <w:t>a, b, c, d</w:t>
            </w:r>
          </w:p>
        </w:tc>
      </w:tr>
      <w:tr w:rsidR="000F005F" w:rsidRPr="00E16D99"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0F005F" w:rsidRPr="00E16D99" w:rsidTr="00DD33DF">
              <w:trPr>
                <w:jc w:val="center"/>
              </w:trPr>
              <w:tc>
                <w:tcPr>
                  <w:tcW w:w="5000" w:type="pct"/>
                  <w:tcBorders>
                    <w:top w:val="nil"/>
                    <w:bottom w:val="nil"/>
                  </w:tcBorders>
                </w:tcPr>
                <w:p w:rsidR="000F005F" w:rsidRPr="00727B3B" w:rsidRDefault="00986756" w:rsidP="00DD33DF">
                  <w:pPr>
                    <w:pStyle w:val="Figure"/>
                    <w:spacing w:before="60" w:after="60"/>
                  </w:pPr>
                  <w:r>
                    <w:rPr>
                      <w:noProof/>
                    </w:rPr>
                    <w:drawing>
                      <wp:inline distT="0" distB="0" distL="0" distR="0">
                        <wp:extent cx="5219700" cy="2705100"/>
                        <wp:effectExtent l="0" t="0" r="0" b="0"/>
                        <wp:docPr id="66" name="Picture 66" descr="Figure 14.32 Estimated annual government expenditure per user of NDA State and Territory administered service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219700" cy="2705100"/>
                                </a:xfrm>
                                <a:prstGeom prst="rect">
                                  <a:avLst/>
                                </a:prstGeom>
                                <a:noFill/>
                                <a:ln>
                                  <a:noFill/>
                                </a:ln>
                              </pic:spPr>
                            </pic:pic>
                          </a:graphicData>
                        </a:graphic>
                      </wp:inline>
                    </w:drawing>
                  </w:r>
                </w:p>
              </w:tc>
            </w:tr>
          </w:tbl>
          <w:p w:rsidR="000F005F" w:rsidRPr="00E16D99" w:rsidRDefault="000F005F" w:rsidP="00DD33DF">
            <w:pPr>
              <w:pStyle w:val="Figure"/>
            </w:pPr>
          </w:p>
        </w:tc>
      </w:tr>
      <w:tr w:rsidR="00E16210" w:rsidRPr="00727B3B" w:rsidTr="00DD33DF">
        <w:tc>
          <w:tcPr>
            <w:tcW w:w="8771" w:type="dxa"/>
            <w:tcBorders>
              <w:top w:val="nil"/>
              <w:left w:val="nil"/>
              <w:bottom w:val="nil"/>
              <w:right w:val="nil"/>
            </w:tcBorders>
            <w:shd w:val="clear" w:color="auto" w:fill="auto"/>
          </w:tcPr>
          <w:p w:rsidR="000F005F" w:rsidRPr="00727B3B" w:rsidRDefault="000F005F" w:rsidP="00E16D99">
            <w:pPr>
              <w:pStyle w:val="Note"/>
            </w:pPr>
            <w:proofErr w:type="gramStart"/>
            <w:r w:rsidRPr="00727B3B">
              <w:rPr>
                <w:rStyle w:val="NoteLabel"/>
              </w:rPr>
              <w:t>a</w:t>
            </w:r>
            <w:proofErr w:type="gramEnd"/>
            <w:r w:rsidRPr="00727B3B">
              <w:t xml:space="preserve"> In some jurisdictions (NSW, Victoria, SA, Queensland, Tasmania and the NT), payroll tax data are actual; in other jurisdictions (WA and ACT), payroll tax data are imputed. </w:t>
            </w:r>
            <w:proofErr w:type="gramStart"/>
            <w:r w:rsidRPr="00727B3B">
              <w:rPr>
                <w:rStyle w:val="NoteLabel"/>
              </w:rPr>
              <w:t>b</w:t>
            </w:r>
            <w:proofErr w:type="gramEnd"/>
            <w:r w:rsidRPr="00727B3B">
              <w:t xml:space="preserve"> Government expenditure per service user for Australia excludes Australian Government expenditure on State and Territory administered services that was not provided as transfer payments. </w:t>
            </w:r>
            <w:proofErr w:type="gramStart"/>
            <w:r w:rsidRPr="00727B3B">
              <w:rPr>
                <w:rStyle w:val="NoteLabel"/>
              </w:rPr>
              <w:t>c</w:t>
            </w:r>
            <w:proofErr w:type="gramEnd"/>
            <w:r w:rsidRPr="00727B3B">
              <w:rPr>
                <w:rStyle w:val="NoteLabel"/>
                <w:b w:val="0"/>
              </w:rPr>
              <w:t xml:space="preserve"> </w:t>
            </w:r>
            <w:r w:rsidRPr="00727B3B">
              <w:t xml:space="preserve">Payroll tax data for Queensland includes paid payroll tax and accrued payroll tax. </w:t>
            </w:r>
            <w:proofErr w:type="gramStart"/>
            <w:r w:rsidRPr="00727B3B">
              <w:rPr>
                <w:rStyle w:val="NoteLabel"/>
              </w:rPr>
              <w:t>d</w:t>
            </w:r>
            <w:proofErr w:type="gramEnd"/>
            <w:r w:rsidRPr="00727B3B">
              <w:t xml:space="preserve"> In the NT, payroll tax relates to government service provision and excludes expenditure for program management and administration. </w:t>
            </w:r>
          </w:p>
        </w:tc>
      </w:tr>
      <w:tr w:rsidR="00237B77" w:rsidRPr="00E16D99" w:rsidTr="00DD33DF">
        <w:tc>
          <w:tcPr>
            <w:tcW w:w="8771" w:type="dxa"/>
            <w:tcBorders>
              <w:top w:val="nil"/>
              <w:left w:val="nil"/>
              <w:bottom w:val="nil"/>
              <w:right w:val="nil"/>
            </w:tcBorders>
            <w:shd w:val="clear" w:color="auto" w:fill="auto"/>
          </w:tcPr>
          <w:p w:rsidR="000F005F" w:rsidRPr="00E16D99" w:rsidRDefault="000F005F" w:rsidP="00402536">
            <w:pPr>
              <w:pStyle w:val="Source"/>
            </w:pPr>
            <w:r w:rsidRPr="00E16D99">
              <w:rPr>
                <w:i/>
              </w:rPr>
              <w:t>Source</w:t>
            </w:r>
            <w:r w:rsidRPr="00E16D99">
              <w:t xml:space="preserve">: AIHW (unpublished) </w:t>
            </w:r>
            <w:r w:rsidRPr="00E16D99">
              <w:rPr>
                <w:i/>
              </w:rPr>
              <w:t>DS NMDS</w:t>
            </w:r>
            <w:r w:rsidR="00DF1129">
              <w:rPr>
                <w:i/>
              </w:rPr>
              <w:t xml:space="preserve"> 2012</w:t>
            </w:r>
            <w:r w:rsidR="00B84AF2">
              <w:rPr>
                <w:i/>
              </w:rPr>
              <w:noBreakHyphen/>
            </w:r>
            <w:r w:rsidR="00DF1129">
              <w:rPr>
                <w:i/>
              </w:rPr>
              <w:t>13</w:t>
            </w:r>
            <w:r w:rsidRPr="00E16D99">
              <w:t>; State and Territory g</w:t>
            </w:r>
            <w:r w:rsidR="007B7B66">
              <w:t>overnments (unpublished); table </w:t>
            </w:r>
            <w:r w:rsidRPr="00E16D99">
              <w:t>14A.</w:t>
            </w:r>
            <w:r w:rsidR="00402536">
              <w:t>90</w:t>
            </w:r>
            <w:r w:rsidRPr="00E16D99">
              <w:t>.</w:t>
            </w:r>
          </w:p>
        </w:tc>
      </w:tr>
      <w:tr w:rsidR="000F005F" w:rsidRPr="00E16D99" w:rsidTr="00DD33DF">
        <w:tc>
          <w:tcPr>
            <w:tcW w:w="8771" w:type="dxa"/>
            <w:tcBorders>
              <w:top w:val="nil"/>
              <w:left w:val="nil"/>
              <w:bottom w:val="single" w:sz="6" w:space="0" w:color="78A22F"/>
              <w:right w:val="nil"/>
            </w:tcBorders>
            <w:shd w:val="clear" w:color="auto" w:fill="auto"/>
          </w:tcPr>
          <w:p w:rsidR="000F005F" w:rsidRPr="00F24D03" w:rsidRDefault="000F005F" w:rsidP="00DD33DF">
            <w:pPr>
              <w:pStyle w:val="Figurespace"/>
            </w:pPr>
          </w:p>
        </w:tc>
      </w:tr>
      <w:tr w:rsidR="000F005F" w:rsidRPr="000863A5" w:rsidTr="00DD33DF">
        <w:tc>
          <w:tcPr>
            <w:tcW w:w="8771" w:type="dxa"/>
            <w:tcBorders>
              <w:top w:val="single" w:sz="6" w:space="0" w:color="78A22F"/>
              <w:left w:val="nil"/>
              <w:bottom w:val="nil"/>
              <w:right w:val="nil"/>
            </w:tcBorders>
          </w:tcPr>
          <w:p w:rsidR="000F005F" w:rsidRPr="00626D32" w:rsidRDefault="000F005F" w:rsidP="00DD33DF">
            <w:pPr>
              <w:pStyle w:val="BoxSpaceBelow"/>
            </w:pPr>
          </w:p>
        </w:tc>
      </w:tr>
    </w:tbl>
    <w:p w:rsidR="001F39F2" w:rsidRPr="00A10BB9" w:rsidRDefault="001F39F2" w:rsidP="00585E2C">
      <w:pPr>
        <w:pStyle w:val="Heading5"/>
      </w:pPr>
      <w:r w:rsidRPr="00A10BB9">
        <w:t xml:space="preserve">Cost per user of State and Territory administered services — government provided accommodation support services </w:t>
      </w:r>
      <w:r w:rsidR="00DF3B3B" w:rsidRPr="00A10BB9">
        <w:t>—</w:t>
      </w:r>
      <w:r w:rsidR="00DF3B3B">
        <w:t xml:space="preserve"> </w:t>
      </w:r>
      <w:r w:rsidRPr="00A10BB9">
        <w:t xml:space="preserve">institutional/residential settings </w:t>
      </w:r>
    </w:p>
    <w:p w:rsidR="001F39F2" w:rsidRPr="00BA1D8F" w:rsidRDefault="001F39F2" w:rsidP="00585E2C">
      <w:pPr>
        <w:pStyle w:val="BodyText"/>
      </w:pPr>
      <w:r w:rsidRPr="00E16D99">
        <w:t>Nationally, estimated annual government expenditure on accommodation support services in institutional/residential settings was $</w:t>
      </w:r>
      <w:r w:rsidR="00E16D99">
        <w:t>162 529</w:t>
      </w:r>
      <w:r w:rsidR="00E16D99" w:rsidRPr="00E16D99">
        <w:t xml:space="preserve"> </w:t>
      </w:r>
      <w:r w:rsidRPr="00E16D99">
        <w:t xml:space="preserve">per service user in </w:t>
      </w:r>
      <w:r w:rsidR="00BA1D8F" w:rsidRPr="003E2B33">
        <w:t>2012</w:t>
      </w:r>
      <w:r w:rsidR="00B84AF2">
        <w:noBreakHyphen/>
      </w:r>
      <w:r w:rsidR="00BA1D8F" w:rsidRPr="003E2B33">
        <w:t>13</w:t>
      </w:r>
      <w:r w:rsidR="004A7205" w:rsidRPr="003E2B33">
        <w:t xml:space="preserve"> </w:t>
      </w:r>
      <w:r w:rsidRPr="00417B0B">
        <w:t>(figure</w:t>
      </w:r>
      <w:r w:rsidR="00AE3578">
        <w:t> </w:t>
      </w:r>
      <w:r w:rsidRPr="00417B0B">
        <w:t>14.</w:t>
      </w:r>
      <w:r w:rsidR="00F20007" w:rsidRPr="00237B77">
        <w:t>3</w:t>
      </w:r>
      <w:r w:rsidR="00FE0B9E">
        <w:t>3</w:t>
      </w:r>
      <w:r w:rsidRPr="00237B77">
        <w:t>).</w:t>
      </w:r>
      <w:r w:rsidRPr="00BA1D8F">
        <w:t xml:space="preserve"> </w:t>
      </w:r>
    </w:p>
    <w:p w:rsidR="00984C70" w:rsidRDefault="00984C70"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84C70" w:rsidRPr="00E16D99" w:rsidTr="00DD33DF">
        <w:tc>
          <w:tcPr>
            <w:tcW w:w="8771" w:type="dxa"/>
            <w:tcBorders>
              <w:top w:val="single" w:sz="6" w:space="0" w:color="78A22F"/>
              <w:left w:val="nil"/>
              <w:bottom w:val="nil"/>
              <w:right w:val="nil"/>
            </w:tcBorders>
            <w:shd w:val="clear" w:color="auto" w:fill="auto"/>
          </w:tcPr>
          <w:p w:rsidR="00984C70" w:rsidRPr="00E16D99" w:rsidRDefault="00984C70" w:rsidP="00BA1D8F">
            <w:pPr>
              <w:pStyle w:val="FigureTitle"/>
            </w:pPr>
            <w:r w:rsidRPr="00E16D99">
              <w:rPr>
                <w:b w:val="0"/>
              </w:rPr>
              <w:t xml:space="preserve">Figure </w:t>
            </w:r>
            <w:r w:rsidR="00321568">
              <w:rPr>
                <w:b w:val="0"/>
              </w:rPr>
              <w:t>14.</w:t>
            </w:r>
            <w:r w:rsidR="0085284B">
              <w:rPr>
                <w:b w:val="0"/>
                <w:noProof/>
              </w:rPr>
              <w:t>33</w:t>
            </w:r>
            <w:r w:rsidRPr="00E16D99">
              <w:tab/>
              <w:t>Estimated annual government expenditure per user of government provided accommodation support services in institutional/residential settings (</w:t>
            </w:r>
            <w:r w:rsidR="00BA1D8F" w:rsidRPr="00E16D99">
              <w:t>2012</w:t>
            </w:r>
            <w:r w:rsidR="00B84AF2">
              <w:noBreakHyphen/>
            </w:r>
            <w:r w:rsidR="00BA1D8F" w:rsidRPr="00E16D99">
              <w:t>13</w:t>
            </w:r>
            <w:r w:rsidRPr="00E16D99">
              <w:t xml:space="preserve"> dollars)</w:t>
            </w:r>
            <w:r w:rsidRPr="00E16D99">
              <w:rPr>
                <w:rStyle w:val="NoteLabel"/>
                <w:b/>
              </w:rPr>
              <w:t>a, b, c, d, e, f, g</w:t>
            </w:r>
          </w:p>
        </w:tc>
      </w:tr>
      <w:tr w:rsidR="00984C70" w:rsidRPr="00E16D99"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984C70" w:rsidRPr="00E16D99" w:rsidTr="00DD33DF">
              <w:trPr>
                <w:jc w:val="center"/>
              </w:trPr>
              <w:tc>
                <w:tcPr>
                  <w:tcW w:w="5000" w:type="pct"/>
                  <w:tcBorders>
                    <w:top w:val="nil"/>
                    <w:bottom w:val="nil"/>
                  </w:tcBorders>
                </w:tcPr>
                <w:p w:rsidR="00984C70" w:rsidRPr="00E16D99" w:rsidRDefault="003F5744" w:rsidP="00DD33DF">
                  <w:pPr>
                    <w:pStyle w:val="Figure"/>
                    <w:spacing w:before="60" w:after="60"/>
                  </w:pPr>
                  <w:r>
                    <w:rPr>
                      <w:noProof/>
                    </w:rPr>
                    <w:drawing>
                      <wp:inline distT="0" distB="0" distL="0" distR="0">
                        <wp:extent cx="5238750" cy="2686050"/>
                        <wp:effectExtent l="0" t="0" r="0" b="0"/>
                        <wp:docPr id="67" name="Picture 67" descr="Figure 14.33 Estimated annual government expenditure per user of government provided accommodation support services in institutional/residential settings (2012-13 dollars)&#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984C70" w:rsidRPr="00E16D99" w:rsidRDefault="00984C70" w:rsidP="00DD33DF">
            <w:pPr>
              <w:pStyle w:val="Figure"/>
            </w:pPr>
          </w:p>
        </w:tc>
      </w:tr>
      <w:tr w:rsidR="00237B77" w:rsidRPr="00E16D99" w:rsidTr="00DD33DF">
        <w:tc>
          <w:tcPr>
            <w:tcW w:w="8771" w:type="dxa"/>
            <w:tcBorders>
              <w:top w:val="nil"/>
              <w:left w:val="nil"/>
              <w:bottom w:val="nil"/>
              <w:right w:val="nil"/>
            </w:tcBorders>
            <w:shd w:val="clear" w:color="auto" w:fill="auto"/>
          </w:tcPr>
          <w:p w:rsidR="00984C70" w:rsidRPr="004810BF" w:rsidRDefault="00984C70" w:rsidP="009F1FFF">
            <w:pPr>
              <w:pStyle w:val="Note"/>
            </w:pPr>
            <w:proofErr w:type="gramStart"/>
            <w:r w:rsidRPr="00E16D99">
              <w:rPr>
                <w:rStyle w:val="NoteLabel"/>
              </w:rPr>
              <w:t>a</w:t>
            </w:r>
            <w:proofErr w:type="gramEnd"/>
            <w:r w:rsidRPr="00E16D99">
              <w:t xml:space="preserve"> </w:t>
            </w:r>
            <w:r w:rsidRPr="007354C8">
              <w:rPr>
                <w:shd w:val="clear" w:color="auto" w:fill="FFFFFF" w:themeFill="background1"/>
              </w:rPr>
              <w:t>See table</w:t>
            </w:r>
            <w:r w:rsidR="00AE3578">
              <w:rPr>
                <w:shd w:val="clear" w:color="auto" w:fill="FFFFFF" w:themeFill="background1"/>
              </w:rPr>
              <w:t> </w:t>
            </w:r>
            <w:r w:rsidRPr="007354C8">
              <w:rPr>
                <w:shd w:val="clear" w:color="auto" w:fill="FFFFFF" w:themeFill="background1"/>
              </w:rPr>
              <w:t>14A.</w:t>
            </w:r>
            <w:r w:rsidR="003478B1" w:rsidRPr="007354C8">
              <w:rPr>
                <w:shd w:val="clear" w:color="auto" w:fill="FFFFFF" w:themeFill="background1"/>
              </w:rPr>
              <w:t>87</w:t>
            </w:r>
            <w:r w:rsidR="00402536" w:rsidRPr="007354C8">
              <w:rPr>
                <w:shd w:val="clear" w:color="auto" w:fill="FFFFFF" w:themeFill="background1"/>
              </w:rPr>
              <w:t xml:space="preserve"> </w:t>
            </w:r>
            <w:r w:rsidRPr="007354C8">
              <w:rPr>
                <w:shd w:val="clear" w:color="auto" w:fill="FFFFFF" w:themeFill="background1"/>
              </w:rPr>
              <w:t xml:space="preserve">for detailed notes relating to these data. </w:t>
            </w:r>
            <w:proofErr w:type="gramStart"/>
            <w:r w:rsidRPr="007354C8">
              <w:rPr>
                <w:rStyle w:val="NoteLabel"/>
                <w:shd w:val="clear" w:color="auto" w:fill="FFFFFF" w:themeFill="background1"/>
              </w:rPr>
              <w:t>b</w:t>
            </w:r>
            <w:proofErr w:type="gramEnd"/>
            <w:r w:rsidRPr="007354C8">
              <w:rPr>
                <w:shd w:val="clear" w:color="auto" w:fill="FFFFFF" w:themeFill="background1"/>
              </w:rPr>
              <w:t xml:space="preserve"> Service user data used to derive this measure have quality issues, so estimates of jurisdictional efficiency need to be interpreted with care. Section 14.6 contains</w:t>
            </w:r>
            <w:r w:rsidRPr="00E16D99">
              <w:t xml:space="preserve"> further information on these quality issues. </w:t>
            </w:r>
            <w:proofErr w:type="gramStart"/>
            <w:r w:rsidRPr="00F24D03">
              <w:rPr>
                <w:rStyle w:val="NoteLabel"/>
              </w:rPr>
              <w:t>c</w:t>
            </w:r>
            <w:proofErr w:type="gramEnd"/>
            <w:r w:rsidRPr="00701720">
              <w:t xml:space="preserve"> Government and non</w:t>
            </w:r>
            <w:r w:rsidR="00B84AF2">
              <w:noBreakHyphen/>
            </w:r>
            <w:r w:rsidRPr="00701720">
              <w:t xml:space="preserve">government sectors have not been accurately recorded in the NSW DS MDS </w:t>
            </w:r>
            <w:r w:rsidRPr="004810BF">
              <w:t>up to 2009</w:t>
            </w:r>
            <w:r w:rsidR="00B84AF2">
              <w:noBreakHyphen/>
            </w:r>
            <w:r w:rsidRPr="004810BF">
              <w:t>10. Some non</w:t>
            </w:r>
            <w:r w:rsidR="00B84AF2">
              <w:noBreakHyphen/>
            </w:r>
            <w:r w:rsidRPr="004810BF">
              <w:t>government providers have been coded as government and this will affect the comparability of the number of service users from government and non</w:t>
            </w:r>
            <w:r w:rsidR="00B84AF2">
              <w:noBreakHyphen/>
            </w:r>
            <w:r w:rsidRPr="004810BF">
              <w:t>government sectors over time.</w:t>
            </w:r>
            <w:r w:rsidRPr="003E2B33">
              <w:rPr>
                <w:rStyle w:val="NoteLabel"/>
              </w:rPr>
              <w:t xml:space="preserve"> </w:t>
            </w:r>
            <w:proofErr w:type="gramStart"/>
            <w:r w:rsidRPr="003E2B33">
              <w:rPr>
                <w:rStyle w:val="NoteLabel"/>
              </w:rPr>
              <w:t>d</w:t>
            </w:r>
            <w:proofErr w:type="gramEnd"/>
            <w:r w:rsidRPr="003E2B33">
              <w:rPr>
                <w:rStyle w:val="NoteLabel"/>
              </w:rPr>
              <w:t xml:space="preserve"> </w:t>
            </w:r>
            <w:r w:rsidRPr="003E2B33">
              <w:t>The increase in NSW expenditure in 2011</w:t>
            </w:r>
            <w:r w:rsidR="00B84AF2">
              <w:noBreakHyphen/>
            </w:r>
            <w:r w:rsidRPr="003E2B33">
              <w:t>12 is partially</w:t>
            </w:r>
            <w:r w:rsidRPr="00417B0B">
              <w:t xml:space="preserve"> the result of a change in the methodology for distributing </w:t>
            </w:r>
            <w:r w:rsidR="00F30597">
              <w:t xml:space="preserve">depreciation </w:t>
            </w:r>
            <w:r w:rsidRPr="00417B0B">
              <w:t xml:space="preserve">expenditure </w:t>
            </w:r>
            <w:r w:rsidR="00556562">
              <w:rPr>
                <w:rStyle w:val="NoteLabel"/>
              </w:rPr>
              <w:t>e </w:t>
            </w:r>
            <w:r w:rsidRPr="00E16D99">
              <w:t xml:space="preserve">Queensland data include funding provided by the Department of Communities only. </w:t>
            </w:r>
            <w:r w:rsidR="00727B3B">
              <w:rPr>
                <w:rStyle w:val="NoteLabel"/>
              </w:rPr>
              <w:t>f </w:t>
            </w:r>
            <w:r w:rsidRPr="00E16D99">
              <w:rPr>
                <w:szCs w:val="26"/>
              </w:rPr>
              <w:t xml:space="preserve">There were no government provided accommodation support services in institutional/residential settings in Tasmania, the ACT or the NT. </w:t>
            </w:r>
            <w:r w:rsidRPr="00E16D99">
              <w:rPr>
                <w:rStyle w:val="NoteLabel"/>
              </w:rPr>
              <w:t>g</w:t>
            </w:r>
            <w:r w:rsidRPr="00556562">
              <w:rPr>
                <w:szCs w:val="26"/>
              </w:rPr>
              <w:t xml:space="preserve"> </w:t>
            </w:r>
            <w:r w:rsidRPr="00E16D99">
              <w:rPr>
                <w:szCs w:val="26"/>
              </w:rPr>
              <w:t xml:space="preserve">Real dollars are previous years’ expenditure in current year’s dollars after basing expenditure on the ABS GGFCE chain price deflator </w:t>
            </w:r>
            <w:r w:rsidR="00E16D99">
              <w:rPr>
                <w:szCs w:val="26"/>
              </w:rPr>
              <w:t>2012</w:t>
            </w:r>
            <w:r w:rsidR="00B84AF2">
              <w:rPr>
                <w:szCs w:val="26"/>
              </w:rPr>
              <w:noBreakHyphen/>
            </w:r>
            <w:r w:rsidR="00E16D99">
              <w:rPr>
                <w:szCs w:val="26"/>
              </w:rPr>
              <w:t>13</w:t>
            </w:r>
            <w:r w:rsidRPr="00E16D99">
              <w:rPr>
                <w:szCs w:val="26"/>
              </w:rPr>
              <w:t>=100 (table</w:t>
            </w:r>
            <w:r w:rsidR="00AE3578">
              <w:rPr>
                <w:szCs w:val="26"/>
              </w:rPr>
              <w:t> </w:t>
            </w:r>
            <w:r w:rsidRPr="00E16D99">
              <w:rPr>
                <w:szCs w:val="26"/>
              </w:rPr>
              <w:t xml:space="preserve">2A.51). </w:t>
            </w:r>
            <w:r w:rsidRPr="00F24D03">
              <w:t xml:space="preserve">See </w:t>
            </w:r>
            <w:r w:rsidR="00B84AF2">
              <w:t>c</w:t>
            </w:r>
            <w:r w:rsidRPr="00F24D03">
              <w:t>hapter 2 (section 2.5) for details.</w:t>
            </w:r>
          </w:p>
        </w:tc>
      </w:tr>
      <w:tr w:rsidR="00237B77" w:rsidRPr="00E16D99" w:rsidTr="00DD33DF">
        <w:tc>
          <w:tcPr>
            <w:tcW w:w="8771" w:type="dxa"/>
            <w:tcBorders>
              <w:top w:val="nil"/>
              <w:left w:val="nil"/>
              <w:bottom w:val="nil"/>
              <w:right w:val="nil"/>
            </w:tcBorders>
            <w:shd w:val="clear" w:color="auto" w:fill="auto"/>
          </w:tcPr>
          <w:p w:rsidR="00984C70" w:rsidRPr="00E16D99" w:rsidRDefault="00984C70" w:rsidP="00402536">
            <w:pPr>
              <w:pStyle w:val="Source"/>
            </w:pPr>
            <w:r w:rsidRPr="00E16D99">
              <w:rPr>
                <w:i/>
              </w:rPr>
              <w:t>Source</w:t>
            </w:r>
            <w:r w:rsidRPr="00E16D99">
              <w:t xml:space="preserve">: AIHW (unpublished) </w:t>
            </w:r>
            <w:r w:rsidRPr="00E16D99">
              <w:rPr>
                <w:i/>
              </w:rPr>
              <w:t>DS NMDS</w:t>
            </w:r>
            <w:r w:rsidR="00DF1129">
              <w:rPr>
                <w:i/>
              </w:rPr>
              <w:t xml:space="preserve"> 2008</w:t>
            </w:r>
            <w:r w:rsidR="00B84AF2">
              <w:rPr>
                <w:i/>
              </w:rPr>
              <w:noBreakHyphen/>
            </w:r>
            <w:r w:rsidR="00DF1129">
              <w:rPr>
                <w:i/>
              </w:rPr>
              <w:t>09 to 2012</w:t>
            </w:r>
            <w:r w:rsidR="00B84AF2">
              <w:rPr>
                <w:i/>
              </w:rPr>
              <w:noBreakHyphen/>
            </w:r>
            <w:r w:rsidR="00DF1129">
              <w:rPr>
                <w:i/>
              </w:rPr>
              <w:t>13</w:t>
            </w:r>
            <w:r w:rsidRPr="00E16D99">
              <w:t>; State and Territory governments (unpublished); table</w:t>
            </w:r>
            <w:r w:rsidR="00AE3578">
              <w:t> </w:t>
            </w:r>
            <w:r w:rsidRPr="00E16D99">
              <w:t>14A.</w:t>
            </w:r>
            <w:r w:rsidR="00402536">
              <w:t>87</w:t>
            </w:r>
            <w:r w:rsidRPr="00E16D99">
              <w:t>.</w:t>
            </w:r>
          </w:p>
        </w:tc>
      </w:tr>
      <w:tr w:rsidR="00984C70" w:rsidRPr="00E16D99" w:rsidTr="00DD33DF">
        <w:tc>
          <w:tcPr>
            <w:tcW w:w="8771" w:type="dxa"/>
            <w:tcBorders>
              <w:top w:val="nil"/>
              <w:left w:val="nil"/>
              <w:bottom w:val="single" w:sz="6" w:space="0" w:color="78A22F"/>
              <w:right w:val="nil"/>
            </w:tcBorders>
            <w:shd w:val="clear" w:color="auto" w:fill="auto"/>
          </w:tcPr>
          <w:p w:rsidR="00984C70" w:rsidRPr="00F24D03" w:rsidRDefault="00984C70" w:rsidP="00DD33DF">
            <w:pPr>
              <w:pStyle w:val="Figurespace"/>
            </w:pPr>
          </w:p>
        </w:tc>
      </w:tr>
      <w:tr w:rsidR="00984C70" w:rsidRPr="000863A5" w:rsidTr="00DD33DF">
        <w:tc>
          <w:tcPr>
            <w:tcW w:w="8771" w:type="dxa"/>
            <w:tcBorders>
              <w:top w:val="single" w:sz="6" w:space="0" w:color="78A22F"/>
              <w:left w:val="nil"/>
              <w:bottom w:val="nil"/>
              <w:right w:val="nil"/>
            </w:tcBorders>
          </w:tcPr>
          <w:p w:rsidR="00984C70" w:rsidRPr="00626D32" w:rsidRDefault="00984C70" w:rsidP="00DD33DF">
            <w:pPr>
              <w:pStyle w:val="BoxSpaceBelow"/>
            </w:pPr>
          </w:p>
        </w:tc>
      </w:tr>
    </w:tbl>
    <w:p w:rsidR="001F39F2" w:rsidRPr="00E16D99" w:rsidRDefault="001F39F2" w:rsidP="00585E2C">
      <w:pPr>
        <w:pStyle w:val="BodyText"/>
      </w:pPr>
      <w:r w:rsidRPr="00E16D99">
        <w:t xml:space="preserve">Estimated annual government expenditure per user of government provided accommodation support services in group homes and other community settings </w:t>
      </w:r>
      <w:r w:rsidR="001A143E" w:rsidRPr="00E16D99">
        <w:t xml:space="preserve">from </w:t>
      </w:r>
      <w:r w:rsidR="00722EEE">
        <w:br/>
      </w:r>
      <w:r w:rsidR="001A143E" w:rsidRPr="00E16D99">
        <w:t>2003</w:t>
      </w:r>
      <w:r w:rsidR="00B84AF2">
        <w:noBreakHyphen/>
      </w:r>
      <w:r w:rsidR="001A143E" w:rsidRPr="00E16D99">
        <w:t>04 to</w:t>
      </w:r>
      <w:r w:rsidRPr="00E16D99">
        <w:t xml:space="preserve"> </w:t>
      </w:r>
      <w:r w:rsidR="00BA1D8F" w:rsidRPr="00E16D99">
        <w:t>2012</w:t>
      </w:r>
      <w:r w:rsidR="00B84AF2">
        <w:noBreakHyphen/>
      </w:r>
      <w:r w:rsidR="00BA1D8F" w:rsidRPr="00E16D99">
        <w:t>13</w:t>
      </w:r>
      <w:r w:rsidRPr="00E16D99">
        <w:t xml:space="preserve"> are reported in table</w:t>
      </w:r>
      <w:r w:rsidR="00AE3578">
        <w:t> </w:t>
      </w:r>
      <w:r w:rsidRPr="00E16D99">
        <w:t>14A.</w:t>
      </w:r>
      <w:r w:rsidR="00402536">
        <w:t>87</w:t>
      </w:r>
      <w:r w:rsidRPr="00E16D99">
        <w:t>.</w:t>
      </w:r>
    </w:p>
    <w:p w:rsidR="001F39F2" w:rsidRPr="000E51C9" w:rsidRDefault="001F39F2" w:rsidP="00585E2C">
      <w:pPr>
        <w:pStyle w:val="Heading4"/>
      </w:pPr>
      <w:r w:rsidRPr="000E51C9">
        <w:t xml:space="preserve">Efficiency — administrative cost </w:t>
      </w:r>
    </w:p>
    <w:p w:rsidR="001F39F2" w:rsidRPr="000E51C9" w:rsidRDefault="001F39F2" w:rsidP="00585E2C">
      <w:pPr>
        <w:pStyle w:val="Heading5"/>
      </w:pPr>
      <w:r w:rsidRPr="000E51C9">
        <w:t>Administrative expenditure as a proportion of total recurrent expenditure</w:t>
      </w:r>
    </w:p>
    <w:p w:rsidR="001F39F2" w:rsidRPr="00E16D99" w:rsidRDefault="001F39F2" w:rsidP="00585E2C">
      <w:pPr>
        <w:pStyle w:val="BodyText"/>
        <w:tabs>
          <w:tab w:val="left" w:pos="3261"/>
        </w:tabs>
      </w:pPr>
      <w:r w:rsidRPr="00BA1D8F">
        <w:t>‘Administrative expenditure as a proportion of total recurrent expenditure’ is an indicator of governments’ objective to provide specialist disability services in an efficient manner (box</w:t>
      </w:r>
      <w:r w:rsidR="00AE3578">
        <w:t> </w:t>
      </w:r>
      <w:r w:rsidRPr="00BA1D8F">
        <w:t>14.</w:t>
      </w:r>
      <w:r w:rsidR="002C1E65">
        <w:t>19</w:t>
      </w:r>
      <w:r w:rsidRPr="00BA1D8F">
        <w:t>). The proportion of total expenditure on administration is not yet comparable across jurisdictions</w:t>
      </w:r>
      <w:r w:rsidR="000E231C" w:rsidRPr="00BA1D8F">
        <w:t>,</w:t>
      </w:r>
      <w:r w:rsidRPr="00BA1D8F">
        <w:t xml:space="preserve"> as it is apportioned by jurisdictions using different methods</w:t>
      </w:r>
      <w:r w:rsidR="00BA1D8F" w:rsidRPr="00BA1D8F">
        <w:t xml:space="preserve"> </w:t>
      </w:r>
      <w:r w:rsidRPr="00BA1D8F">
        <w:lastRenderedPageBreak/>
        <w:t>(table</w:t>
      </w:r>
      <w:r w:rsidR="00556562">
        <w:t> </w:t>
      </w:r>
      <w:r w:rsidRPr="00BA1D8F">
        <w:t>14A.</w:t>
      </w:r>
      <w:r w:rsidR="00402536">
        <w:t>9</w:t>
      </w:r>
      <w:r w:rsidR="00604140">
        <w:t>1</w:t>
      </w:r>
      <w:r w:rsidRPr="00BA1D8F">
        <w:t xml:space="preserve">). </w:t>
      </w:r>
      <w:r w:rsidRPr="00722EEE">
        <w:t xml:space="preserve">However, administrative expenditure data can indicate trends </w:t>
      </w:r>
      <w:r w:rsidR="000874CB" w:rsidRPr="00722EEE">
        <w:t>within jurisdictions over time.</w:t>
      </w:r>
    </w:p>
    <w:p w:rsidR="000874CB" w:rsidRDefault="000874C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74CB" w:rsidTr="00C827D5">
        <w:tc>
          <w:tcPr>
            <w:tcW w:w="8771" w:type="dxa"/>
            <w:tcBorders>
              <w:top w:val="single" w:sz="6" w:space="0" w:color="78A22F"/>
              <w:left w:val="nil"/>
              <w:bottom w:val="nil"/>
              <w:right w:val="nil"/>
            </w:tcBorders>
            <w:shd w:val="clear" w:color="auto" w:fill="F2F2F2"/>
          </w:tcPr>
          <w:p w:rsidR="000874CB" w:rsidRDefault="000874CB" w:rsidP="000874CB">
            <w:pPr>
              <w:pStyle w:val="BoxTitle"/>
            </w:pPr>
            <w:r>
              <w:rPr>
                <w:b w:val="0"/>
              </w:rPr>
              <w:t xml:space="preserve">Box </w:t>
            </w:r>
            <w:r w:rsidR="00321568">
              <w:rPr>
                <w:b w:val="0"/>
              </w:rPr>
              <w:t>14.</w:t>
            </w:r>
            <w:r w:rsidR="0085284B">
              <w:rPr>
                <w:b w:val="0"/>
                <w:noProof/>
              </w:rPr>
              <w:t>19</w:t>
            </w:r>
            <w:r>
              <w:tab/>
            </w:r>
            <w:r w:rsidRPr="000E51C9">
              <w:t>Administrative expenditure as a proportion of total recurrent expenditure</w:t>
            </w:r>
          </w:p>
        </w:tc>
      </w:tr>
      <w:tr w:rsidR="000874CB" w:rsidTr="00C827D5">
        <w:trPr>
          <w:cantSplit/>
        </w:trPr>
        <w:tc>
          <w:tcPr>
            <w:tcW w:w="8771" w:type="dxa"/>
            <w:tcBorders>
              <w:top w:val="nil"/>
              <w:left w:val="nil"/>
              <w:bottom w:val="nil"/>
              <w:right w:val="nil"/>
            </w:tcBorders>
            <w:shd w:val="clear" w:color="auto" w:fill="F2F2F2"/>
          </w:tcPr>
          <w:p w:rsidR="000874CB" w:rsidRPr="00E44170" w:rsidRDefault="000874CB" w:rsidP="000874CB">
            <w:pPr>
              <w:pStyle w:val="Box"/>
            </w:pPr>
            <w:r w:rsidRPr="00E44170">
              <w:t>‘Administrative expenditure as a proportion of total recurrent expenditure’ is defined as government expenditure on administration as a proportion of total recurrent NDA expenditure. Major capital grants to non</w:t>
            </w:r>
            <w:r w:rsidR="00B84AF2">
              <w:noBreakHyphen/>
            </w:r>
            <w:r w:rsidRPr="00E44170">
              <w:t>government service providers are excluded to improve comparability across jurisdictions and over time.</w:t>
            </w:r>
          </w:p>
          <w:p w:rsidR="000874CB" w:rsidRPr="00E44170" w:rsidRDefault="000874CB" w:rsidP="000874CB">
            <w:pPr>
              <w:pStyle w:val="Box"/>
            </w:pPr>
            <w:r w:rsidRPr="00E44170">
              <w:t>Holding other factors constant (such as service quality and accessibility), lower or decreasing administrative expenditure as a proportion of total recurrent NDA expenditure might reflect an increase in administrative efficiency.</w:t>
            </w:r>
          </w:p>
          <w:p w:rsidR="000874CB" w:rsidRPr="00E44170" w:rsidRDefault="000874CB" w:rsidP="000874CB">
            <w:pPr>
              <w:pStyle w:val="Box"/>
            </w:pPr>
            <w:r w:rsidRPr="00E44170">
              <w:t>Efficiency data are difficult to interpret. Although high or increasing administrative expenditure as a proportion of total expenditure may reflect deteriorating efficiency, it may also reflect improvements in the quality or attributes of the administrative services provided. Similarly, low or decreasing administrative expenditure as a proportion of total expenditure may reflect improving efficiency, or lower quality and less effective administrative services. This may in turn affect service delivery effectiveness. Efficiency data therefore should be interpreted within the context of the effectiveness and equity indicators to derive a holistic view of performance.</w:t>
            </w:r>
          </w:p>
          <w:p w:rsidR="000874CB" w:rsidRPr="00E44170" w:rsidRDefault="000874CB" w:rsidP="000874CB">
            <w:pPr>
              <w:pStyle w:val="Box"/>
            </w:pPr>
            <w:r w:rsidRPr="00E44170">
              <w:t>Data reported for this measure are:</w:t>
            </w:r>
          </w:p>
          <w:p w:rsidR="000874CB" w:rsidRPr="00E44170" w:rsidRDefault="000874CB" w:rsidP="000874CB">
            <w:pPr>
              <w:pStyle w:val="BoxListBullet"/>
              <w:keepLines/>
            </w:pPr>
            <w:r w:rsidRPr="00E44170">
              <w:t>comparable (subject to caveats) within some jurisdictions over time but are not comparable across jurisdictions or over time for other jurisdictions (see caveats in attachment tables for specific jurisdictions)</w:t>
            </w:r>
          </w:p>
          <w:p w:rsidR="000874CB" w:rsidRPr="00756294" w:rsidRDefault="000874CB" w:rsidP="000874CB">
            <w:pPr>
              <w:pStyle w:val="BoxListBullet"/>
              <w:keepLines/>
            </w:pPr>
            <w:proofErr w:type="gramStart"/>
            <w:r w:rsidRPr="00756294">
              <w:t>complete</w:t>
            </w:r>
            <w:proofErr w:type="gramEnd"/>
            <w:r w:rsidRPr="00756294">
              <w:t xml:space="preserve"> (subject to caveats) for the current reporting period. All required </w:t>
            </w:r>
            <w:r w:rsidR="00E44170" w:rsidRPr="00756294">
              <w:t>2012</w:t>
            </w:r>
            <w:r w:rsidR="00B84AF2">
              <w:noBreakHyphen/>
            </w:r>
            <w:r w:rsidR="00E44170" w:rsidRPr="00756294">
              <w:t>13</w:t>
            </w:r>
            <w:r w:rsidRPr="00756294">
              <w:t xml:space="preserve"> data are available for all jurisdictions.</w:t>
            </w:r>
          </w:p>
          <w:p w:rsidR="000874CB" w:rsidRDefault="000874CB" w:rsidP="000874CB">
            <w:pPr>
              <w:pStyle w:val="Box"/>
            </w:pPr>
            <w:r w:rsidRPr="00E44170">
              <w:t>Data quality information for this indicator is under development.</w:t>
            </w:r>
          </w:p>
        </w:tc>
      </w:tr>
      <w:tr w:rsidR="000874CB" w:rsidTr="00C827D5">
        <w:trPr>
          <w:cantSplit/>
        </w:trPr>
        <w:tc>
          <w:tcPr>
            <w:tcW w:w="8771" w:type="dxa"/>
            <w:tcBorders>
              <w:top w:val="nil"/>
              <w:left w:val="nil"/>
              <w:bottom w:val="single" w:sz="6" w:space="0" w:color="78A22F"/>
              <w:right w:val="nil"/>
            </w:tcBorders>
            <w:shd w:val="clear" w:color="auto" w:fill="F2F2F2"/>
          </w:tcPr>
          <w:p w:rsidR="000874CB" w:rsidRDefault="000874CB">
            <w:pPr>
              <w:pStyle w:val="Box"/>
              <w:spacing w:before="0" w:line="120" w:lineRule="exact"/>
            </w:pPr>
          </w:p>
        </w:tc>
      </w:tr>
      <w:tr w:rsidR="000874CB" w:rsidRPr="000863A5" w:rsidTr="00C827D5">
        <w:tc>
          <w:tcPr>
            <w:tcW w:w="8771" w:type="dxa"/>
            <w:tcBorders>
              <w:top w:val="single" w:sz="6" w:space="0" w:color="78A22F"/>
              <w:left w:val="nil"/>
              <w:bottom w:val="nil"/>
              <w:right w:val="nil"/>
            </w:tcBorders>
          </w:tcPr>
          <w:p w:rsidR="000874CB" w:rsidRPr="00626D32" w:rsidRDefault="000874CB" w:rsidP="00C827D5">
            <w:pPr>
              <w:pStyle w:val="BoxSpaceBelow"/>
            </w:pPr>
          </w:p>
        </w:tc>
      </w:tr>
    </w:tbl>
    <w:p w:rsidR="001F39F2" w:rsidRPr="00AE3578" w:rsidRDefault="001F39F2" w:rsidP="00585E2C">
      <w:pPr>
        <w:pStyle w:val="BodyText"/>
      </w:pPr>
      <w:r w:rsidRPr="003279F9">
        <w:t xml:space="preserve">Nationally, administrative expenditure as a proportion of total government expenditure on specialist disability services (excluding </w:t>
      </w:r>
      <w:r w:rsidR="008F638F" w:rsidRPr="0097194C">
        <w:t xml:space="preserve">actual and imputed </w:t>
      </w:r>
      <w:r w:rsidRPr="0097194C">
        <w:t>payroll</w:t>
      </w:r>
      <w:r w:rsidR="008F638F" w:rsidRPr="0097194C">
        <w:t> </w:t>
      </w:r>
      <w:r w:rsidRPr="0097194C">
        <w:t xml:space="preserve">tax) </w:t>
      </w:r>
      <w:r w:rsidR="008F638F" w:rsidRPr="0097194C">
        <w:t>decreased</w:t>
      </w:r>
      <w:r w:rsidR="000E231C" w:rsidRPr="0097194C">
        <w:t xml:space="preserve"> </w:t>
      </w:r>
      <w:r w:rsidRPr="0097194C">
        <w:t xml:space="preserve">from </w:t>
      </w:r>
      <w:r w:rsidR="0097194C">
        <w:t>6.7</w:t>
      </w:r>
      <w:r w:rsidR="008F638F" w:rsidRPr="0097194C">
        <w:t> </w:t>
      </w:r>
      <w:r w:rsidRPr="0097194C">
        <w:t>per</w:t>
      </w:r>
      <w:r w:rsidR="008F638F" w:rsidRPr="0097194C">
        <w:t> </w:t>
      </w:r>
      <w:r w:rsidRPr="0097194C">
        <w:t xml:space="preserve">cent in </w:t>
      </w:r>
      <w:r w:rsidR="00476310">
        <w:t>2012</w:t>
      </w:r>
      <w:r w:rsidR="00B84AF2">
        <w:noBreakHyphen/>
      </w:r>
      <w:r w:rsidR="00476310">
        <w:t>13</w:t>
      </w:r>
      <w:r w:rsidR="0019455A">
        <w:t xml:space="preserve"> </w:t>
      </w:r>
      <w:r w:rsidRPr="00701720">
        <w:t xml:space="preserve">to </w:t>
      </w:r>
      <w:r w:rsidR="0097194C">
        <w:t>6.6</w:t>
      </w:r>
      <w:r w:rsidR="008F638F" w:rsidRPr="0097194C">
        <w:t> </w:t>
      </w:r>
      <w:r w:rsidRPr="0097194C">
        <w:t>per</w:t>
      </w:r>
      <w:r w:rsidR="008F638F" w:rsidRPr="0097194C">
        <w:t> </w:t>
      </w:r>
      <w:r w:rsidRPr="0097194C">
        <w:t xml:space="preserve">cent in </w:t>
      </w:r>
      <w:r w:rsidR="00476310">
        <w:t>2013</w:t>
      </w:r>
      <w:r w:rsidR="00B84AF2">
        <w:noBreakHyphen/>
      </w:r>
      <w:r w:rsidR="00476310">
        <w:t>14</w:t>
      </w:r>
      <w:r w:rsidR="00D57B98" w:rsidRPr="00F24D03">
        <w:t xml:space="preserve"> </w:t>
      </w:r>
      <w:r w:rsidRPr="00701720">
        <w:t>(figure</w:t>
      </w:r>
      <w:r w:rsidR="008F638F" w:rsidRPr="00701720">
        <w:t> </w:t>
      </w:r>
      <w:r w:rsidRPr="00701720">
        <w:t>14.</w:t>
      </w:r>
      <w:r w:rsidR="00945E40" w:rsidRPr="004810BF">
        <w:t>3</w:t>
      </w:r>
      <w:r w:rsidR="00FE0B9E">
        <w:t>4</w:t>
      </w:r>
      <w:r w:rsidRPr="003E2B33">
        <w:t xml:space="preserve">). When actual or imputed payroll tax is included, the average national administrative expenditure as a proportion of total NDA expenditure was </w:t>
      </w:r>
      <w:r w:rsidR="0097194C">
        <w:t>6.5</w:t>
      </w:r>
      <w:r w:rsidR="008F638F" w:rsidRPr="00F24D03">
        <w:t> </w:t>
      </w:r>
      <w:r w:rsidRPr="00701720">
        <w:t>per</w:t>
      </w:r>
      <w:r w:rsidR="008F638F" w:rsidRPr="00701720">
        <w:t> </w:t>
      </w:r>
      <w:r w:rsidRPr="00701720">
        <w:t xml:space="preserve">cent in </w:t>
      </w:r>
      <w:r w:rsidR="00E44170" w:rsidRPr="00417B0B">
        <w:t>2013</w:t>
      </w:r>
      <w:r w:rsidR="00B84AF2">
        <w:noBreakHyphen/>
      </w:r>
      <w:r w:rsidR="00E44170" w:rsidRPr="00417B0B">
        <w:t>14</w:t>
      </w:r>
      <w:r w:rsidR="00D57B98" w:rsidRPr="003279F9">
        <w:t xml:space="preserve"> </w:t>
      </w:r>
      <w:r w:rsidRPr="003279F9">
        <w:t>(table</w:t>
      </w:r>
      <w:r w:rsidR="00AE3578">
        <w:t> </w:t>
      </w:r>
      <w:r w:rsidRPr="003279F9">
        <w:t>14A.</w:t>
      </w:r>
      <w:r w:rsidR="00402536">
        <w:t>91</w:t>
      </w:r>
      <w:r w:rsidRPr="003279F9">
        <w:t>). Real total NDA expenditure is reported in table</w:t>
      </w:r>
      <w:r w:rsidR="00AE3578">
        <w:t> </w:t>
      </w:r>
      <w:r w:rsidRPr="003279F9">
        <w:t>14A.</w:t>
      </w:r>
      <w:r w:rsidR="00402536">
        <w:t>9</w:t>
      </w:r>
      <w:r w:rsidRPr="003279F9">
        <w:t>, both excluding and including actual or imputed payroll tax amounts.</w:t>
      </w:r>
      <w:r w:rsidR="00983609">
        <w:t xml:space="preserve"> </w:t>
      </w:r>
    </w:p>
    <w:p w:rsidR="00984C70" w:rsidRDefault="00984C70"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84C70" w:rsidRPr="00886762" w:rsidTr="00DD33DF">
        <w:tc>
          <w:tcPr>
            <w:tcW w:w="8771" w:type="dxa"/>
            <w:tcBorders>
              <w:top w:val="single" w:sz="6" w:space="0" w:color="78A22F"/>
              <w:left w:val="nil"/>
              <w:bottom w:val="nil"/>
              <w:right w:val="nil"/>
            </w:tcBorders>
            <w:shd w:val="clear" w:color="auto" w:fill="auto"/>
          </w:tcPr>
          <w:p w:rsidR="00984C70" w:rsidRPr="00886762" w:rsidRDefault="00984C70" w:rsidP="00984C70">
            <w:pPr>
              <w:pStyle w:val="FigureTitle"/>
            </w:pPr>
            <w:r w:rsidRPr="00F24D03">
              <w:rPr>
                <w:b w:val="0"/>
              </w:rPr>
              <w:t xml:space="preserve">Figure </w:t>
            </w:r>
            <w:r w:rsidR="00321568">
              <w:rPr>
                <w:b w:val="0"/>
              </w:rPr>
              <w:t>14.</w:t>
            </w:r>
            <w:r w:rsidR="0085284B">
              <w:rPr>
                <w:b w:val="0"/>
                <w:noProof/>
              </w:rPr>
              <w:t>34</w:t>
            </w:r>
            <w:r w:rsidRPr="00886762">
              <w:tab/>
              <w:t>Administrative expenditure as a proportion of total recurrent expenditure</w:t>
            </w:r>
            <w:r w:rsidRPr="00886762">
              <w:rPr>
                <w:rStyle w:val="NoteLabel"/>
                <w:b/>
              </w:rPr>
              <w:t>a, b, c, d, e</w:t>
            </w:r>
          </w:p>
        </w:tc>
      </w:tr>
      <w:tr w:rsidR="00984C70" w:rsidRPr="00886762"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984C70" w:rsidRPr="00886762" w:rsidTr="00DD33DF">
              <w:trPr>
                <w:jc w:val="center"/>
              </w:trPr>
              <w:tc>
                <w:tcPr>
                  <w:tcW w:w="5000" w:type="pct"/>
                  <w:tcBorders>
                    <w:top w:val="nil"/>
                    <w:bottom w:val="nil"/>
                  </w:tcBorders>
                </w:tcPr>
                <w:p w:rsidR="00984C70" w:rsidRPr="00F24D03" w:rsidRDefault="003F5744" w:rsidP="00DD33DF">
                  <w:pPr>
                    <w:pStyle w:val="Figure"/>
                    <w:spacing w:before="60" w:after="60"/>
                  </w:pPr>
                  <w:r>
                    <w:rPr>
                      <w:noProof/>
                    </w:rPr>
                    <w:drawing>
                      <wp:inline distT="0" distB="0" distL="0" distR="0">
                        <wp:extent cx="5276850" cy="2705100"/>
                        <wp:effectExtent l="0" t="0" r="0" b="0"/>
                        <wp:docPr id="68" name="Picture 68" descr="Figure 14.34 Administrative expenditure as a proportion of total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276850" cy="2705100"/>
                                </a:xfrm>
                                <a:prstGeom prst="rect">
                                  <a:avLst/>
                                </a:prstGeom>
                                <a:noFill/>
                                <a:ln>
                                  <a:noFill/>
                                </a:ln>
                              </pic:spPr>
                            </pic:pic>
                          </a:graphicData>
                        </a:graphic>
                      </wp:inline>
                    </w:drawing>
                  </w:r>
                </w:p>
              </w:tc>
            </w:tr>
          </w:tbl>
          <w:p w:rsidR="00984C70" w:rsidRPr="00886762" w:rsidRDefault="00984C70" w:rsidP="00DD33DF">
            <w:pPr>
              <w:pStyle w:val="Figure"/>
            </w:pPr>
          </w:p>
        </w:tc>
      </w:tr>
      <w:tr w:rsidR="00886762" w:rsidRPr="00886762" w:rsidTr="00DD33DF">
        <w:tc>
          <w:tcPr>
            <w:tcW w:w="8771" w:type="dxa"/>
            <w:tcBorders>
              <w:top w:val="nil"/>
              <w:left w:val="nil"/>
              <w:bottom w:val="nil"/>
              <w:right w:val="nil"/>
            </w:tcBorders>
            <w:shd w:val="clear" w:color="auto" w:fill="auto"/>
          </w:tcPr>
          <w:p w:rsidR="00984C70" w:rsidRPr="00147FD2" w:rsidRDefault="00984C70" w:rsidP="00556562">
            <w:pPr>
              <w:pStyle w:val="Note"/>
              <w:ind w:hanging="22"/>
            </w:pPr>
            <w:proofErr w:type="gramStart"/>
            <w:r w:rsidRPr="00147FD2">
              <w:rPr>
                <w:rStyle w:val="NoteLabel"/>
              </w:rPr>
              <w:t>a</w:t>
            </w:r>
            <w:proofErr w:type="gramEnd"/>
            <w:r w:rsidRPr="00147FD2">
              <w:sym w:font="Symbol" w:char="F020"/>
            </w:r>
            <w:r w:rsidRPr="00147FD2">
              <w:t xml:space="preserve"> See table 14A.</w:t>
            </w:r>
            <w:r w:rsidR="000748BE">
              <w:t>91</w:t>
            </w:r>
            <w:r w:rsidR="000748BE" w:rsidRPr="00147FD2">
              <w:t xml:space="preserve"> </w:t>
            </w:r>
            <w:r w:rsidRPr="00147FD2">
              <w:t>for an explanation of different methods of apportioning departmental costs.</w:t>
            </w:r>
            <w:r w:rsidRPr="00147FD2">
              <w:sym w:font="Symbol" w:char="F020"/>
            </w:r>
            <w:r w:rsidRPr="00147FD2">
              <w:t xml:space="preserve"> </w:t>
            </w:r>
            <w:proofErr w:type="gramStart"/>
            <w:r w:rsidRPr="00147FD2">
              <w:rPr>
                <w:rStyle w:val="NoteLabel"/>
              </w:rPr>
              <w:t>b</w:t>
            </w:r>
            <w:proofErr w:type="gramEnd"/>
            <w:r w:rsidRPr="00147FD2">
              <w:rPr>
                <w:rStyle w:val="NoteLabel"/>
              </w:rPr>
              <w:t> </w:t>
            </w:r>
            <w:r w:rsidRPr="00147FD2">
              <w:t xml:space="preserve">Data exclude payroll tax. </w:t>
            </w:r>
            <w:proofErr w:type="gramStart"/>
            <w:r w:rsidRPr="00147FD2">
              <w:rPr>
                <w:rStyle w:val="NoteLabel"/>
              </w:rPr>
              <w:t>c</w:t>
            </w:r>
            <w:proofErr w:type="gramEnd"/>
            <w:r w:rsidRPr="00147FD2">
              <w:rPr>
                <w:rStyle w:val="NoteLabel"/>
              </w:rPr>
              <w:t> </w:t>
            </w:r>
            <w:r w:rsidRPr="00147FD2">
              <w:t xml:space="preserve">Australian Government administrative expenditure is an estimate, based on average staffing levels. </w:t>
            </w:r>
            <w:proofErr w:type="gramStart"/>
            <w:r w:rsidRPr="00147FD2">
              <w:rPr>
                <w:rStyle w:val="NoteLabel"/>
              </w:rPr>
              <w:t>d</w:t>
            </w:r>
            <w:proofErr w:type="gramEnd"/>
            <w:r w:rsidRPr="00147FD2">
              <w:t xml:space="preserve"> The decrease in NSW administration expenditure in 2012</w:t>
            </w:r>
            <w:r w:rsidR="00B84AF2">
              <w:noBreakHyphen/>
            </w:r>
            <w:r w:rsidRPr="00147FD2">
              <w:t>13 results from a change to the way in which administration expenditure has been calculated and from efficiency savings arising fro</w:t>
            </w:r>
            <w:r w:rsidR="00F30597">
              <w:t>m an organisational restructure</w:t>
            </w:r>
            <w:r w:rsidRPr="00147FD2">
              <w:t xml:space="preserve">. </w:t>
            </w:r>
            <w:proofErr w:type="gramStart"/>
            <w:r w:rsidRPr="00147FD2">
              <w:rPr>
                <w:rStyle w:val="NoteLabel"/>
              </w:rPr>
              <w:t>e</w:t>
            </w:r>
            <w:proofErr w:type="gramEnd"/>
            <w:r w:rsidRPr="00147FD2">
              <w:t xml:space="preserve"> </w:t>
            </w:r>
            <w:r w:rsidRPr="00FA3CF6">
              <w:t>In Tasmania,</w:t>
            </w:r>
            <w:r w:rsidR="00556562">
              <w:t xml:space="preserve"> </w:t>
            </w:r>
            <w:r w:rsidR="00FA3CF6">
              <w:t>i</w:t>
            </w:r>
            <w:r w:rsidRPr="00147FD2">
              <w:t>n 2012</w:t>
            </w:r>
            <w:r w:rsidR="00B84AF2">
              <w:noBreakHyphen/>
            </w:r>
            <w:r w:rsidRPr="00147FD2">
              <w:t xml:space="preserve">13 </w:t>
            </w:r>
            <w:r w:rsidR="007F5C64">
              <w:t>and 2013</w:t>
            </w:r>
            <w:r w:rsidR="00B84AF2">
              <w:noBreakHyphen/>
            </w:r>
            <w:r w:rsidR="007F5C64">
              <w:t>14</w:t>
            </w:r>
            <w:r w:rsidR="00CD4006">
              <w:t>,</w:t>
            </w:r>
            <w:r w:rsidR="007F5C64">
              <w:t xml:space="preserve"> </w:t>
            </w:r>
            <w:r w:rsidRPr="00147FD2">
              <w:t>administrative expenditure increased due to a change in methodology for allocating corporate and divisional overheads.</w:t>
            </w:r>
          </w:p>
        </w:tc>
      </w:tr>
      <w:tr w:rsidR="00984C70" w:rsidRPr="00886762" w:rsidTr="00DD33DF">
        <w:tc>
          <w:tcPr>
            <w:tcW w:w="8771" w:type="dxa"/>
            <w:tcBorders>
              <w:top w:val="nil"/>
              <w:left w:val="nil"/>
              <w:bottom w:val="nil"/>
              <w:right w:val="nil"/>
            </w:tcBorders>
            <w:shd w:val="clear" w:color="auto" w:fill="auto"/>
          </w:tcPr>
          <w:p w:rsidR="00984C70" w:rsidRPr="00147FD2" w:rsidRDefault="00984C70" w:rsidP="000748BE">
            <w:pPr>
              <w:pStyle w:val="Source"/>
            </w:pPr>
            <w:r w:rsidRPr="00147FD2">
              <w:rPr>
                <w:i/>
              </w:rPr>
              <w:t>Source</w:t>
            </w:r>
            <w:r w:rsidRPr="00147FD2">
              <w:t>: Australian, State and Territory governments (unpublished); table 14A.</w:t>
            </w:r>
            <w:r w:rsidR="000748BE">
              <w:t>91</w:t>
            </w:r>
            <w:r w:rsidRPr="00147FD2">
              <w:t>.</w:t>
            </w:r>
          </w:p>
        </w:tc>
      </w:tr>
      <w:tr w:rsidR="00886762" w:rsidRPr="00886762" w:rsidTr="00DD33DF">
        <w:tc>
          <w:tcPr>
            <w:tcW w:w="8771" w:type="dxa"/>
            <w:tcBorders>
              <w:top w:val="nil"/>
              <w:left w:val="nil"/>
              <w:bottom w:val="single" w:sz="6" w:space="0" w:color="78A22F"/>
              <w:right w:val="nil"/>
            </w:tcBorders>
            <w:shd w:val="clear" w:color="auto" w:fill="auto"/>
          </w:tcPr>
          <w:p w:rsidR="00984C70" w:rsidRPr="00886762" w:rsidRDefault="00984C70" w:rsidP="00DD33DF">
            <w:pPr>
              <w:pStyle w:val="Figurespace"/>
            </w:pPr>
          </w:p>
        </w:tc>
      </w:tr>
      <w:tr w:rsidR="00984C70" w:rsidRPr="000863A5" w:rsidTr="00DD33DF">
        <w:tc>
          <w:tcPr>
            <w:tcW w:w="8771" w:type="dxa"/>
            <w:tcBorders>
              <w:top w:val="single" w:sz="6" w:space="0" w:color="78A22F"/>
              <w:left w:val="nil"/>
              <w:bottom w:val="nil"/>
              <w:right w:val="nil"/>
            </w:tcBorders>
          </w:tcPr>
          <w:p w:rsidR="00984C70" w:rsidRPr="00626D32" w:rsidRDefault="00984C70" w:rsidP="00DD33DF">
            <w:pPr>
              <w:pStyle w:val="BoxSpaceBelow"/>
            </w:pPr>
          </w:p>
        </w:tc>
      </w:tr>
    </w:tbl>
    <w:p w:rsidR="001F39F2" w:rsidRPr="000E51C9" w:rsidRDefault="001F39F2" w:rsidP="00585E2C">
      <w:pPr>
        <w:pStyle w:val="Heading3"/>
      </w:pPr>
      <w:r w:rsidRPr="000E51C9">
        <w:t>Outcomes</w:t>
      </w:r>
    </w:p>
    <w:p w:rsidR="001F39F2" w:rsidRPr="000E51C9" w:rsidRDefault="001F39F2" w:rsidP="00585E2C">
      <w:pPr>
        <w:pStyle w:val="BodyText"/>
        <w:rPr>
          <w:szCs w:val="26"/>
        </w:rPr>
      </w:pPr>
      <w:r w:rsidRPr="000E51C9">
        <w:rPr>
          <w:szCs w:val="26"/>
        </w:rPr>
        <w:t>Outcomes are the impact of services on the status of an individual or group (while outputs are the services delivered) (see chapter 1, section 1.5).</w:t>
      </w:r>
    </w:p>
    <w:p w:rsidR="001F39F2" w:rsidRPr="000E51C9" w:rsidRDefault="001F39F2" w:rsidP="00585E2C">
      <w:pPr>
        <w:pStyle w:val="BodyText"/>
        <w:rPr>
          <w:szCs w:val="26"/>
        </w:rPr>
      </w:pPr>
      <w:r w:rsidRPr="000E51C9">
        <w:rPr>
          <w:szCs w:val="26"/>
        </w:rPr>
        <w:t>The following outcome indicators are included in the performance framework:</w:t>
      </w:r>
    </w:p>
    <w:p w:rsidR="001F39F2" w:rsidRPr="000E51C9" w:rsidRDefault="001F39F2" w:rsidP="00585E2C">
      <w:pPr>
        <w:pStyle w:val="ListBullet"/>
      </w:pPr>
      <w:r w:rsidRPr="000E51C9">
        <w:t>‘</w:t>
      </w:r>
      <w:r w:rsidR="00DA3101" w:rsidRPr="000E51C9">
        <w:t>l</w:t>
      </w:r>
      <w:r w:rsidRPr="000E51C9">
        <w:t>abour force participation and employment of people with disability’</w:t>
      </w:r>
      <w:r w:rsidR="000E231C" w:rsidRPr="000E51C9">
        <w:t xml:space="preserve"> </w:t>
      </w:r>
    </w:p>
    <w:p w:rsidR="001F39F2" w:rsidRPr="000E51C9" w:rsidRDefault="001F39F2" w:rsidP="00585E2C">
      <w:pPr>
        <w:pStyle w:val="ListBullet"/>
      </w:pPr>
      <w:r w:rsidRPr="000E51C9">
        <w:t>‘</w:t>
      </w:r>
      <w:r w:rsidR="00DA3101" w:rsidRPr="000E51C9">
        <w:t>l</w:t>
      </w:r>
      <w:r w:rsidRPr="000E51C9">
        <w:t>abour force participation of primary carers of people with disability’</w:t>
      </w:r>
      <w:r w:rsidR="000E231C" w:rsidRPr="000E51C9">
        <w:t xml:space="preserve"> </w:t>
      </w:r>
    </w:p>
    <w:p w:rsidR="001F39F2" w:rsidRPr="000E51C9" w:rsidRDefault="001F39F2" w:rsidP="00585E2C">
      <w:pPr>
        <w:pStyle w:val="ListBullet"/>
      </w:pPr>
      <w:r w:rsidRPr="000E51C9">
        <w:t>‘</w:t>
      </w:r>
      <w:r w:rsidR="00DA3101" w:rsidRPr="000E51C9">
        <w:t>s</w:t>
      </w:r>
      <w:r w:rsidRPr="000E51C9">
        <w:t>ocial participation of people with disability’</w:t>
      </w:r>
      <w:r w:rsidR="000E231C" w:rsidRPr="000E51C9">
        <w:t xml:space="preserve"> </w:t>
      </w:r>
    </w:p>
    <w:p w:rsidR="001F39F2" w:rsidRPr="000E51C9" w:rsidRDefault="001F39F2" w:rsidP="00585E2C">
      <w:pPr>
        <w:pStyle w:val="ListBullet"/>
      </w:pPr>
      <w:r w:rsidRPr="000E51C9">
        <w:t>‘</w:t>
      </w:r>
      <w:proofErr w:type="gramStart"/>
      <w:r w:rsidR="00DA3101" w:rsidRPr="000E51C9">
        <w:t>u</w:t>
      </w:r>
      <w:r w:rsidRPr="000E51C9">
        <w:t>se</w:t>
      </w:r>
      <w:proofErr w:type="gramEnd"/>
      <w:r w:rsidRPr="000E51C9">
        <w:t xml:space="preserve"> of other services by people with disability’.</w:t>
      </w:r>
    </w:p>
    <w:p w:rsidR="001F39F2" w:rsidRPr="000E51C9" w:rsidRDefault="001F39F2" w:rsidP="00585E2C">
      <w:pPr>
        <w:pStyle w:val="Heading4"/>
      </w:pPr>
      <w:r w:rsidRPr="000E51C9">
        <w:t xml:space="preserve">Interpreting data for some outcome indicators </w:t>
      </w:r>
    </w:p>
    <w:p w:rsidR="001F39F2" w:rsidRPr="00E44170" w:rsidRDefault="001F39F2" w:rsidP="00585E2C">
      <w:pPr>
        <w:pStyle w:val="BodyText"/>
        <w:rPr>
          <w:szCs w:val="26"/>
        </w:rPr>
      </w:pPr>
      <w:r w:rsidRPr="00E44170">
        <w:rPr>
          <w:szCs w:val="26"/>
        </w:rPr>
        <w:t xml:space="preserve">For the outcome indicators </w:t>
      </w:r>
      <w:r w:rsidR="00DA3101" w:rsidRPr="00E44170">
        <w:rPr>
          <w:szCs w:val="26"/>
        </w:rPr>
        <w:t xml:space="preserve">reported </w:t>
      </w:r>
      <w:r w:rsidRPr="00E44170">
        <w:rPr>
          <w:szCs w:val="26"/>
        </w:rPr>
        <w:t xml:space="preserve">using survey data, 95 per cent confidence intervals are presented. These intervals assist with making comparisons across jurisdictions, and across different disability status groups. Confidence intervals are a standard way of expressing the degree of uncertainty associated with survey estimates. An estimate of 80 with a </w:t>
      </w:r>
      <w:r w:rsidRPr="00E44170">
        <w:rPr>
          <w:szCs w:val="26"/>
        </w:rPr>
        <w:lastRenderedPageBreak/>
        <w:t xml:space="preserve">confidence interval of ± 4, for example, means that if another sample had been drawn there is a 95 per cent chance that the result would </w:t>
      </w:r>
      <w:proofErr w:type="gramStart"/>
      <w:r w:rsidRPr="00E44170">
        <w:rPr>
          <w:szCs w:val="26"/>
        </w:rPr>
        <w:t>lie</w:t>
      </w:r>
      <w:proofErr w:type="gramEnd"/>
      <w:r w:rsidRPr="00E44170">
        <w:rPr>
          <w:szCs w:val="26"/>
        </w:rPr>
        <w:t xml:space="preserve"> between 76 and 84. Where ranges do not overlap, there is a statistically significant difference. If one jurisdiction’s results range from 78–80 and another’s from 82–89, then it is possible to say that one differs from the other (because there is a statistically significant difference). To say that there is a statistically significant difference means there is a high probability that there is an actual difference — it does not imply that the difference is necessarily large or important.</w:t>
      </w:r>
    </w:p>
    <w:p w:rsidR="001F39F2" w:rsidRPr="000E51C9" w:rsidRDefault="001F39F2" w:rsidP="006C5F8E">
      <w:pPr>
        <w:pStyle w:val="Heading5"/>
        <w:rPr>
          <w:sz w:val="20"/>
        </w:rPr>
      </w:pPr>
      <w:r w:rsidRPr="000E51C9">
        <w:t xml:space="preserve">Labour force participation and employment of people with disability </w:t>
      </w:r>
    </w:p>
    <w:p w:rsidR="00F02BED" w:rsidRDefault="001F39F2" w:rsidP="00F02BED">
      <w:pPr>
        <w:pStyle w:val="BodyText"/>
        <w:rPr>
          <w:szCs w:val="26"/>
        </w:rPr>
      </w:pPr>
      <w:r w:rsidRPr="000E51C9">
        <w:rPr>
          <w:szCs w:val="26"/>
        </w:rPr>
        <w:t xml:space="preserve">‘Labour force participation and employment of people with disability’ is an indicator of governments’ objective of assisting people with disability to participate fully in the community </w:t>
      </w:r>
      <w:r w:rsidRPr="000E51C9">
        <w:t>(box</w:t>
      </w:r>
      <w:r w:rsidR="00AE3578">
        <w:t> </w:t>
      </w:r>
      <w:r w:rsidRPr="000E51C9">
        <w:t>14.</w:t>
      </w:r>
      <w:r w:rsidR="00525A0A" w:rsidRPr="000E51C9">
        <w:t>20</w:t>
      </w:r>
      <w:r w:rsidRPr="000E51C9">
        <w:t>).</w:t>
      </w:r>
      <w:r w:rsidRPr="000E51C9">
        <w:rPr>
          <w:szCs w:val="26"/>
        </w:rPr>
        <w:t xml:space="preserve"> Participation in the labour force and employment is important to the overall wellbeing of people with disability, providing opportunities for </w:t>
      </w:r>
      <w:r w:rsidR="000E231C" w:rsidRPr="000E51C9">
        <w:rPr>
          <w:szCs w:val="26"/>
        </w:rPr>
        <w:t>personal</w:t>
      </w:r>
      <w:r w:rsidRPr="000E51C9">
        <w:rPr>
          <w:szCs w:val="26"/>
        </w:rPr>
        <w:t xml:space="preserve"> development and financial independence.</w:t>
      </w:r>
    </w:p>
    <w:p w:rsidR="000874CB" w:rsidRDefault="000874C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74CB" w:rsidTr="00C827D5">
        <w:tc>
          <w:tcPr>
            <w:tcW w:w="8771" w:type="dxa"/>
            <w:tcBorders>
              <w:top w:val="single" w:sz="6" w:space="0" w:color="78A22F"/>
              <w:left w:val="nil"/>
              <w:bottom w:val="nil"/>
              <w:right w:val="nil"/>
            </w:tcBorders>
            <w:shd w:val="clear" w:color="auto" w:fill="F2F2F2"/>
          </w:tcPr>
          <w:p w:rsidR="000874CB" w:rsidRDefault="000874CB" w:rsidP="000874CB">
            <w:pPr>
              <w:pStyle w:val="BoxTitle"/>
            </w:pPr>
            <w:r>
              <w:rPr>
                <w:b w:val="0"/>
              </w:rPr>
              <w:t xml:space="preserve">Box </w:t>
            </w:r>
            <w:r w:rsidR="00321568">
              <w:rPr>
                <w:b w:val="0"/>
              </w:rPr>
              <w:t>14.</w:t>
            </w:r>
            <w:r w:rsidR="0085284B">
              <w:rPr>
                <w:b w:val="0"/>
                <w:noProof/>
              </w:rPr>
              <w:t>20</w:t>
            </w:r>
            <w:r>
              <w:tab/>
            </w:r>
            <w:r w:rsidRPr="000E51C9">
              <w:t>Labour force participation and employment of people with disability</w:t>
            </w:r>
          </w:p>
        </w:tc>
      </w:tr>
      <w:tr w:rsidR="000874CB" w:rsidTr="00C827D5">
        <w:trPr>
          <w:cantSplit/>
        </w:trPr>
        <w:tc>
          <w:tcPr>
            <w:tcW w:w="8771" w:type="dxa"/>
            <w:tcBorders>
              <w:top w:val="nil"/>
              <w:left w:val="nil"/>
              <w:bottom w:val="nil"/>
              <w:right w:val="nil"/>
            </w:tcBorders>
            <w:shd w:val="clear" w:color="auto" w:fill="F2F2F2"/>
          </w:tcPr>
          <w:p w:rsidR="000874CB" w:rsidRPr="000E51C9" w:rsidRDefault="000874CB" w:rsidP="000874CB">
            <w:pPr>
              <w:pStyle w:val="Box"/>
            </w:pPr>
            <w:r w:rsidRPr="000E51C9">
              <w:t>‘Labour force participation and employment of people with disability’ is defined as the labour force participation and employment rates of people aged 15–64 years with a profound or severe core activity limitation. Labour force participation rates and employment rates of people aged 15–64 years without a profound or severe core activity limitation are also reported.</w:t>
            </w:r>
          </w:p>
          <w:p w:rsidR="000874CB" w:rsidRPr="000E51C9" w:rsidRDefault="00966883" w:rsidP="000874CB">
            <w:pPr>
              <w:pStyle w:val="Box"/>
            </w:pPr>
            <w:r>
              <w:t>T</w:t>
            </w:r>
            <w:r w:rsidR="00F30597">
              <w:t>w</w:t>
            </w:r>
            <w:r>
              <w:t>o measures are reported</w:t>
            </w:r>
            <w:r w:rsidR="000874CB" w:rsidRPr="000E51C9">
              <w:t>:</w:t>
            </w:r>
          </w:p>
          <w:p w:rsidR="000874CB" w:rsidRPr="00AE3578" w:rsidRDefault="000874CB" w:rsidP="00AE3578">
            <w:pPr>
              <w:pStyle w:val="BoxListBullet"/>
            </w:pPr>
            <w:r w:rsidRPr="00AE3578">
              <w:t xml:space="preserve">employment to population rate for people with disability aged 15–64 years, by disability status </w:t>
            </w:r>
          </w:p>
          <w:p w:rsidR="000874CB" w:rsidRPr="00AE3578" w:rsidRDefault="000874CB" w:rsidP="00AE3578">
            <w:pPr>
              <w:pStyle w:val="BoxListBullet"/>
            </w:pPr>
            <w:proofErr w:type="gramStart"/>
            <w:r w:rsidRPr="00AE3578">
              <w:t>unemployment</w:t>
            </w:r>
            <w:proofErr w:type="gramEnd"/>
            <w:r w:rsidRPr="00AE3578">
              <w:t xml:space="preserve"> rate for people with disability aged 15–64 years, all with reported disability, by disability status.</w:t>
            </w:r>
          </w:p>
          <w:p w:rsidR="000874CB" w:rsidRPr="00DF5879" w:rsidRDefault="000874CB" w:rsidP="000874CB">
            <w:pPr>
              <w:pStyle w:val="Box"/>
            </w:pPr>
            <w:r w:rsidRPr="00DF5879">
              <w:t>High or increasing labour force participation and employment rates for people with disability are desirable. Higher rates are likely to increase the quality of life of people with disability by providing greater opportunities for self</w:t>
            </w:r>
            <w:r w:rsidRPr="00DF5879">
              <w:noBreakHyphen/>
              <w:t xml:space="preserve">development and for </w:t>
            </w:r>
            <w:r w:rsidRPr="00DF5879">
              <w:rPr>
                <w:szCs w:val="22"/>
              </w:rPr>
              <w:t>economic and social participation</w:t>
            </w:r>
            <w:r w:rsidRPr="00DF5879">
              <w:t xml:space="preserve">. </w:t>
            </w:r>
          </w:p>
          <w:p w:rsidR="000874CB" w:rsidRPr="00DF5879" w:rsidRDefault="000874CB" w:rsidP="000874CB">
            <w:pPr>
              <w:pStyle w:val="Box"/>
            </w:pPr>
            <w:r w:rsidRPr="00DF5879">
              <w:t>This indicator does not provide information on why people choose not to participate in the labour force and why people are not employed. It also does not provide information on whether the employment positions are appropriate or fulfilling.</w:t>
            </w:r>
          </w:p>
          <w:p w:rsidR="00265FEB" w:rsidRPr="003649E8" w:rsidRDefault="00021B2E" w:rsidP="00265FEB">
            <w:pPr>
              <w:pStyle w:val="Box"/>
            </w:pPr>
            <w:r>
              <w:t xml:space="preserve"> </w:t>
            </w:r>
            <w:r w:rsidR="00265FEB">
              <w:t>D</w:t>
            </w:r>
            <w:r w:rsidR="00265FEB" w:rsidRPr="00DF5879">
              <w:t xml:space="preserve">ata </w:t>
            </w:r>
            <w:r w:rsidR="00265FEB" w:rsidRPr="00060ADF">
              <w:t xml:space="preserve">reported for </w:t>
            </w:r>
            <w:r w:rsidR="00265FEB" w:rsidRPr="00E340C1">
              <w:t>this measure are</w:t>
            </w:r>
            <w:r w:rsidR="00265FEB" w:rsidRPr="003649E8">
              <w:t>:</w:t>
            </w:r>
          </w:p>
          <w:p w:rsidR="00265FEB" w:rsidRPr="00AE3578" w:rsidRDefault="00265FEB" w:rsidP="00265FEB">
            <w:pPr>
              <w:pStyle w:val="BoxListBullet"/>
            </w:pPr>
            <w:r w:rsidRPr="00B6625A">
              <w:rPr>
                <w:lang w:eastAsia="en-US"/>
              </w:rPr>
              <w:t xml:space="preserve">comparable </w:t>
            </w:r>
            <w:r>
              <w:rPr>
                <w:lang w:eastAsia="en-US"/>
              </w:rPr>
              <w:t>across</w:t>
            </w:r>
            <w:r w:rsidRPr="00B6625A">
              <w:rPr>
                <w:lang w:eastAsia="en-US"/>
              </w:rPr>
              <w:t xml:space="preserve"> jurisdictions </w:t>
            </w:r>
            <w:r>
              <w:rPr>
                <w:lang w:eastAsia="en-US"/>
              </w:rPr>
              <w:t xml:space="preserve">and over time </w:t>
            </w:r>
          </w:p>
          <w:p w:rsidR="00265FEB" w:rsidRPr="00E340C1" w:rsidRDefault="00265FEB" w:rsidP="00265FEB">
            <w:pPr>
              <w:pStyle w:val="BoxListBullet"/>
              <w:rPr>
                <w:lang w:eastAsia="en-US"/>
              </w:rPr>
            </w:pPr>
            <w:proofErr w:type="gramStart"/>
            <w:r w:rsidRPr="00E340C1">
              <w:rPr>
                <w:lang w:eastAsia="en-US"/>
              </w:rPr>
              <w:t>complete</w:t>
            </w:r>
            <w:proofErr w:type="gramEnd"/>
            <w:r w:rsidRPr="00E340C1">
              <w:rPr>
                <w:lang w:eastAsia="en-US"/>
              </w:rPr>
              <w:t xml:space="preserve"> (subject to caveats) for the current reporting period. </w:t>
            </w:r>
          </w:p>
          <w:p w:rsidR="000874CB" w:rsidRDefault="00802A7D" w:rsidP="000874CB">
            <w:pPr>
              <w:pStyle w:val="Box"/>
            </w:pPr>
            <w:r w:rsidRPr="00802A7D">
              <w:t>Data quality information for this in</w:t>
            </w:r>
            <w:r w:rsidR="0028432F">
              <w:t>dicator is at www.pc.gov.au</w:t>
            </w:r>
            <w:r w:rsidRPr="00802A7D">
              <w:t>/rogs/2015.</w:t>
            </w:r>
          </w:p>
        </w:tc>
      </w:tr>
      <w:tr w:rsidR="000874CB" w:rsidTr="00C827D5">
        <w:trPr>
          <w:cantSplit/>
        </w:trPr>
        <w:tc>
          <w:tcPr>
            <w:tcW w:w="8771" w:type="dxa"/>
            <w:tcBorders>
              <w:top w:val="nil"/>
              <w:left w:val="nil"/>
              <w:bottom w:val="single" w:sz="6" w:space="0" w:color="78A22F"/>
              <w:right w:val="nil"/>
            </w:tcBorders>
            <w:shd w:val="clear" w:color="auto" w:fill="F2F2F2"/>
          </w:tcPr>
          <w:p w:rsidR="000874CB" w:rsidRDefault="000874CB">
            <w:pPr>
              <w:pStyle w:val="Box"/>
              <w:spacing w:before="0" w:line="120" w:lineRule="exact"/>
            </w:pPr>
          </w:p>
        </w:tc>
      </w:tr>
      <w:tr w:rsidR="000874CB" w:rsidRPr="000863A5" w:rsidTr="00C827D5">
        <w:tc>
          <w:tcPr>
            <w:tcW w:w="8771" w:type="dxa"/>
            <w:tcBorders>
              <w:top w:val="single" w:sz="6" w:space="0" w:color="78A22F"/>
              <w:left w:val="nil"/>
              <w:bottom w:val="nil"/>
              <w:right w:val="nil"/>
            </w:tcBorders>
          </w:tcPr>
          <w:p w:rsidR="000874CB" w:rsidRPr="00626D32" w:rsidRDefault="000874CB" w:rsidP="00C827D5">
            <w:pPr>
              <w:pStyle w:val="BoxSpaceBelow"/>
            </w:pPr>
          </w:p>
        </w:tc>
      </w:tr>
    </w:tbl>
    <w:p w:rsidR="003A5C1F" w:rsidRPr="00F02BED" w:rsidRDefault="003A5C1F" w:rsidP="00626A1F">
      <w:pPr>
        <w:pStyle w:val="BodyText"/>
        <w:tabs>
          <w:tab w:val="left" w:pos="6946"/>
        </w:tabs>
        <w:rPr>
          <w:szCs w:val="26"/>
        </w:rPr>
      </w:pPr>
      <w:bookmarkStart w:id="17" w:name="OLE_LINK6"/>
      <w:r w:rsidRPr="00F02BED">
        <w:rPr>
          <w:szCs w:val="26"/>
        </w:rPr>
        <w:t>Nationally, in 2012, the estimated employment rate of people aged 15–64 years with a profound or severe core activity limitation (</w:t>
      </w:r>
      <w:r w:rsidR="00973203" w:rsidRPr="00F02BED">
        <w:rPr>
          <w:szCs w:val="26"/>
        </w:rPr>
        <w:t>26.4</w:t>
      </w:r>
      <w:r w:rsidRPr="00F02BED">
        <w:rPr>
          <w:szCs w:val="26"/>
        </w:rPr>
        <w:t xml:space="preserve"> ± </w:t>
      </w:r>
      <w:r w:rsidR="00973203" w:rsidRPr="00F02BED">
        <w:rPr>
          <w:szCs w:val="26"/>
        </w:rPr>
        <w:t>2.5</w:t>
      </w:r>
      <w:r w:rsidRPr="00F02BED">
        <w:rPr>
          <w:szCs w:val="26"/>
        </w:rPr>
        <w:t xml:space="preserve"> per cent) was lower than the rate for people </w:t>
      </w:r>
      <w:r w:rsidR="00364A2E" w:rsidRPr="00F02BED">
        <w:rPr>
          <w:szCs w:val="26"/>
        </w:rPr>
        <w:t xml:space="preserve">with disability excluding those with a profound or severe core activity limitation </w:t>
      </w:r>
      <w:r w:rsidRPr="00F02BED">
        <w:rPr>
          <w:szCs w:val="26"/>
        </w:rPr>
        <w:lastRenderedPageBreak/>
        <w:t>(</w:t>
      </w:r>
      <w:r w:rsidR="00973203" w:rsidRPr="00F02BED">
        <w:rPr>
          <w:szCs w:val="26"/>
        </w:rPr>
        <w:t>54.7</w:t>
      </w:r>
      <w:r w:rsidRPr="00F02BED">
        <w:rPr>
          <w:szCs w:val="26"/>
        </w:rPr>
        <w:t>± 1.</w:t>
      </w:r>
      <w:r w:rsidR="00973203" w:rsidRPr="00F02BED">
        <w:rPr>
          <w:szCs w:val="26"/>
        </w:rPr>
        <w:t>5</w:t>
      </w:r>
      <w:r w:rsidRPr="00F02BED">
        <w:rPr>
          <w:szCs w:val="26"/>
        </w:rPr>
        <w:t xml:space="preserve"> per cent) and the rate for </w:t>
      </w:r>
      <w:r w:rsidR="00973203" w:rsidRPr="00F02BED">
        <w:rPr>
          <w:szCs w:val="26"/>
        </w:rPr>
        <w:t xml:space="preserve">people with no disability </w:t>
      </w:r>
      <w:r w:rsidRPr="00F02BED">
        <w:rPr>
          <w:szCs w:val="26"/>
        </w:rPr>
        <w:t>(</w:t>
      </w:r>
      <w:r w:rsidR="00973203" w:rsidRPr="00F02BED">
        <w:rPr>
          <w:szCs w:val="26"/>
        </w:rPr>
        <w:t>78.5</w:t>
      </w:r>
      <w:r w:rsidRPr="00F02BED">
        <w:rPr>
          <w:szCs w:val="26"/>
        </w:rPr>
        <w:t> ± </w:t>
      </w:r>
      <w:r w:rsidR="00973203" w:rsidRPr="00F02BED">
        <w:rPr>
          <w:szCs w:val="26"/>
        </w:rPr>
        <w:t>0.4</w:t>
      </w:r>
      <w:r w:rsidRPr="00F02BED">
        <w:rPr>
          <w:szCs w:val="26"/>
        </w:rPr>
        <w:t> per cent) (figure</w:t>
      </w:r>
      <w:r w:rsidR="00966883">
        <w:rPr>
          <w:szCs w:val="26"/>
        </w:rPr>
        <w:t> </w:t>
      </w:r>
      <w:r w:rsidRPr="00F02BED">
        <w:rPr>
          <w:szCs w:val="26"/>
        </w:rPr>
        <w:t>14.3</w:t>
      </w:r>
      <w:r w:rsidR="00FE0B9E">
        <w:rPr>
          <w:szCs w:val="26"/>
        </w:rPr>
        <w:t>5</w:t>
      </w:r>
      <w:r w:rsidRPr="00F02BED">
        <w:rPr>
          <w:szCs w:val="26"/>
        </w:rPr>
        <w:t xml:space="preserve">). </w:t>
      </w:r>
    </w:p>
    <w:p w:rsidR="00382CD2" w:rsidRPr="00AE3578" w:rsidRDefault="003A5C1F" w:rsidP="00626A1F">
      <w:pPr>
        <w:pStyle w:val="BodyText"/>
        <w:rPr>
          <w:szCs w:val="26"/>
        </w:rPr>
      </w:pPr>
      <w:r w:rsidRPr="000E51C9">
        <w:t xml:space="preserve">Detailed definitions of the employment rate and its calculation method are provided in section </w:t>
      </w:r>
      <w:r w:rsidRPr="00722EEE">
        <w:t xml:space="preserve">14.7. </w:t>
      </w:r>
      <w:r w:rsidRPr="00DF5879">
        <w:t xml:space="preserve">Employment rates should be interpreted in conjunction with labour force participation rates. </w:t>
      </w:r>
      <w:r w:rsidRPr="00DF5879">
        <w:rPr>
          <w:szCs w:val="26"/>
        </w:rPr>
        <w:t>Other data on the employment of people with disability</w:t>
      </w:r>
      <w:r w:rsidR="00301DDD" w:rsidRPr="00DF5879">
        <w:rPr>
          <w:szCs w:val="26"/>
        </w:rPr>
        <w:t>,</w:t>
      </w:r>
      <w:r w:rsidR="009928E0" w:rsidRPr="00DF5879">
        <w:rPr>
          <w:szCs w:val="26"/>
        </w:rPr>
        <w:t xml:space="preserve"> including labour force participation rates</w:t>
      </w:r>
      <w:r w:rsidRPr="00DF5879">
        <w:rPr>
          <w:szCs w:val="26"/>
        </w:rPr>
        <w:t xml:space="preserve"> are reported in </w:t>
      </w:r>
      <w:proofErr w:type="gramStart"/>
      <w:r w:rsidRPr="00DF5879">
        <w:rPr>
          <w:szCs w:val="26"/>
        </w:rPr>
        <w:t>tables</w:t>
      </w:r>
      <w:proofErr w:type="gramEnd"/>
      <w:r w:rsidR="00AE3578">
        <w:rPr>
          <w:szCs w:val="26"/>
        </w:rPr>
        <w:t> </w:t>
      </w:r>
      <w:r w:rsidRPr="00DF5879">
        <w:rPr>
          <w:szCs w:val="26"/>
        </w:rPr>
        <w:t>14A.</w:t>
      </w:r>
      <w:r w:rsidR="000748BE">
        <w:rPr>
          <w:szCs w:val="26"/>
        </w:rPr>
        <w:t>92</w:t>
      </w:r>
      <w:r w:rsidRPr="00DF5879">
        <w:t>–</w:t>
      </w:r>
      <w:r w:rsidR="002B526C">
        <w:t>10</w:t>
      </w:r>
      <w:r w:rsidR="000748BE">
        <w:t>9</w:t>
      </w:r>
      <w:r w:rsidR="002B526C" w:rsidRPr="00983609">
        <w:t>.</w:t>
      </w:r>
    </w:p>
    <w:p w:rsidR="006B540B" w:rsidRDefault="006B540B"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B540B" w:rsidTr="00DD33DF">
        <w:tc>
          <w:tcPr>
            <w:tcW w:w="8771" w:type="dxa"/>
            <w:tcBorders>
              <w:top w:val="single" w:sz="6" w:space="0" w:color="78A22F"/>
              <w:left w:val="nil"/>
              <w:bottom w:val="nil"/>
              <w:right w:val="nil"/>
            </w:tcBorders>
            <w:shd w:val="clear" w:color="auto" w:fill="auto"/>
          </w:tcPr>
          <w:p w:rsidR="006B540B" w:rsidRPr="00176D3F" w:rsidRDefault="006B540B" w:rsidP="00BD1F59">
            <w:pPr>
              <w:pStyle w:val="FigureTitle"/>
            </w:pPr>
            <w:r w:rsidRPr="00784A05">
              <w:rPr>
                <w:b w:val="0"/>
              </w:rPr>
              <w:t xml:space="preserve">Figure </w:t>
            </w:r>
            <w:r w:rsidR="00321568">
              <w:rPr>
                <w:b w:val="0"/>
              </w:rPr>
              <w:t>14.</w:t>
            </w:r>
            <w:r w:rsidR="0085284B">
              <w:rPr>
                <w:b w:val="0"/>
                <w:noProof/>
              </w:rPr>
              <w:t>35</w:t>
            </w:r>
            <w:r>
              <w:tab/>
            </w:r>
            <w:r w:rsidRPr="00AC1840">
              <w:t xml:space="preserve">Estimated employment rate for people aged </w:t>
            </w:r>
            <w:r w:rsidRPr="00AC1840">
              <w:br/>
              <w:t>15–64 years, by disability status, 2012</w:t>
            </w:r>
            <w:r w:rsidRPr="00AC1840">
              <w:rPr>
                <w:rStyle w:val="NoteLabel"/>
                <w:b/>
              </w:rPr>
              <w:t>a, b, c</w:t>
            </w:r>
          </w:p>
        </w:tc>
      </w:tr>
      <w:tr w:rsidR="006B540B"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tblCellMar>
              <w:tblLook w:val="0000" w:firstRow="0" w:lastRow="0" w:firstColumn="0" w:lastColumn="0" w:noHBand="0" w:noVBand="0"/>
            </w:tblPr>
            <w:tblGrid>
              <w:gridCol w:w="8504"/>
            </w:tblGrid>
            <w:tr w:rsidR="006B540B" w:rsidTr="00C83EFD">
              <w:trPr>
                <w:jc w:val="center"/>
              </w:trPr>
              <w:tc>
                <w:tcPr>
                  <w:tcW w:w="8504" w:type="dxa"/>
                  <w:tcBorders>
                    <w:top w:val="nil"/>
                    <w:bottom w:val="nil"/>
                  </w:tcBorders>
                </w:tcPr>
                <w:p w:rsidR="006B540B" w:rsidRDefault="003F5744" w:rsidP="00DD33DF">
                  <w:pPr>
                    <w:pStyle w:val="Figure"/>
                    <w:spacing w:before="60" w:after="60"/>
                  </w:pPr>
                  <w:r>
                    <w:rPr>
                      <w:noProof/>
                    </w:rPr>
                    <w:drawing>
                      <wp:inline distT="0" distB="0" distL="0" distR="0">
                        <wp:extent cx="5238750" cy="2686050"/>
                        <wp:effectExtent l="0" t="0" r="0" b="0"/>
                        <wp:docPr id="69" name="Picture 69" descr="Figure 14.35 Estimated employment rate for people aged &#10;15–64 years, by disability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6B540B" w:rsidRDefault="006B540B" w:rsidP="00DD33DF">
            <w:pPr>
              <w:pStyle w:val="Figure"/>
            </w:pPr>
          </w:p>
        </w:tc>
      </w:tr>
      <w:tr w:rsidR="006B540B" w:rsidRPr="00176D3F" w:rsidTr="00DD33DF">
        <w:tc>
          <w:tcPr>
            <w:tcW w:w="8771" w:type="dxa"/>
            <w:tcBorders>
              <w:top w:val="nil"/>
              <w:left w:val="nil"/>
              <w:bottom w:val="nil"/>
              <w:right w:val="nil"/>
            </w:tcBorders>
            <w:shd w:val="clear" w:color="auto" w:fill="auto"/>
          </w:tcPr>
          <w:p w:rsidR="006B540B" w:rsidRPr="006B540B" w:rsidRDefault="006B540B" w:rsidP="00DD33DF">
            <w:pPr>
              <w:pStyle w:val="Note"/>
              <w:rPr>
                <w:b/>
              </w:rPr>
            </w:pPr>
            <w:bookmarkStart w:id="18" w:name="OLE_LINK17"/>
            <w:bookmarkStart w:id="19" w:name="OLE_LINK18"/>
            <w:proofErr w:type="gramStart"/>
            <w:r>
              <w:rPr>
                <w:rStyle w:val="NoteLabel"/>
              </w:rPr>
              <w:t>a</w:t>
            </w:r>
            <w:proofErr w:type="gramEnd"/>
            <w:r w:rsidRPr="00AC1840">
              <w:rPr>
                <w:rStyle w:val="NoteLabel"/>
              </w:rPr>
              <w:t xml:space="preserve"> </w:t>
            </w:r>
            <w:bookmarkEnd w:id="18"/>
            <w:bookmarkEnd w:id="19"/>
            <w:r w:rsidRPr="00AC1840">
              <w:t>For people aged 15</w:t>
            </w:r>
            <w:r w:rsidRPr="00AC1840">
              <w:rPr>
                <w:szCs w:val="26"/>
              </w:rPr>
              <w:t>–</w:t>
            </w:r>
            <w:r w:rsidRPr="00AC1840">
              <w:t xml:space="preserve">64 years, living in households. </w:t>
            </w:r>
            <w:proofErr w:type="gramStart"/>
            <w:r w:rsidRPr="00AC1840">
              <w:rPr>
                <w:rStyle w:val="NoteLabel"/>
              </w:rPr>
              <w:t>b</w:t>
            </w:r>
            <w:proofErr w:type="gramEnd"/>
            <w:r w:rsidRPr="00AC1840">
              <w:t xml:space="preserve"> Profound or severe core activity limitation refers to always or sometimes needing assistance with one or more of the core activities. Core activities comprise communication, mobility and self care. </w:t>
            </w:r>
            <w:proofErr w:type="gramStart"/>
            <w:r w:rsidRPr="00AC1840">
              <w:rPr>
                <w:rStyle w:val="NoteLabel"/>
              </w:rPr>
              <w:t>c</w:t>
            </w:r>
            <w:proofErr w:type="gramEnd"/>
            <w:r w:rsidRPr="00AC1840">
              <w:t xml:space="preserve"> Error bars represent the 95 per cent confidence interval associated with each point estimate.</w:t>
            </w:r>
          </w:p>
        </w:tc>
      </w:tr>
      <w:tr w:rsidR="006B540B" w:rsidRPr="00176D3F" w:rsidTr="00DD33DF">
        <w:tc>
          <w:tcPr>
            <w:tcW w:w="8771" w:type="dxa"/>
            <w:tcBorders>
              <w:top w:val="nil"/>
              <w:left w:val="nil"/>
              <w:bottom w:val="nil"/>
              <w:right w:val="nil"/>
            </w:tcBorders>
            <w:shd w:val="clear" w:color="auto" w:fill="auto"/>
          </w:tcPr>
          <w:p w:rsidR="006B540B" w:rsidRPr="00176D3F" w:rsidRDefault="006B540B" w:rsidP="002B526C">
            <w:pPr>
              <w:pStyle w:val="Source"/>
            </w:pPr>
            <w:r w:rsidRPr="00AC1840">
              <w:rPr>
                <w:i/>
              </w:rPr>
              <w:t>Source</w:t>
            </w:r>
            <w:r w:rsidRPr="00AC1840">
              <w:t xml:space="preserve">: ABS (unpublished) </w:t>
            </w:r>
            <w:r w:rsidRPr="00AC1840">
              <w:rPr>
                <w:i/>
              </w:rPr>
              <w:t>Survey of Disability, Ageing and Carers, 2012</w:t>
            </w:r>
            <w:r w:rsidRPr="00AC1840">
              <w:t>; table</w:t>
            </w:r>
            <w:r w:rsidR="00AE3578">
              <w:t> </w:t>
            </w:r>
            <w:r w:rsidRPr="00AC1840">
              <w:t>14A.</w:t>
            </w:r>
            <w:r w:rsidR="002B526C">
              <w:t>9</w:t>
            </w:r>
            <w:r w:rsidR="000748BE">
              <w:t>4</w:t>
            </w:r>
            <w:r>
              <w:t>.</w:t>
            </w:r>
          </w:p>
        </w:tc>
      </w:tr>
      <w:tr w:rsidR="006B540B" w:rsidTr="00DD33DF">
        <w:tc>
          <w:tcPr>
            <w:tcW w:w="8771" w:type="dxa"/>
            <w:tcBorders>
              <w:top w:val="nil"/>
              <w:left w:val="nil"/>
              <w:bottom w:val="single" w:sz="6" w:space="0" w:color="78A22F"/>
              <w:right w:val="nil"/>
            </w:tcBorders>
            <w:shd w:val="clear" w:color="auto" w:fill="auto"/>
          </w:tcPr>
          <w:p w:rsidR="006B540B" w:rsidRDefault="006B540B" w:rsidP="00DD33DF">
            <w:pPr>
              <w:pStyle w:val="Figurespace"/>
            </w:pPr>
          </w:p>
        </w:tc>
      </w:tr>
      <w:tr w:rsidR="006B540B" w:rsidRPr="000863A5" w:rsidTr="00DD33DF">
        <w:tc>
          <w:tcPr>
            <w:tcW w:w="8771" w:type="dxa"/>
            <w:tcBorders>
              <w:top w:val="single" w:sz="6" w:space="0" w:color="78A22F"/>
              <w:left w:val="nil"/>
              <w:bottom w:val="nil"/>
              <w:right w:val="nil"/>
            </w:tcBorders>
          </w:tcPr>
          <w:p w:rsidR="006B540B" w:rsidRPr="00626D32" w:rsidRDefault="006B540B" w:rsidP="00DD33DF">
            <w:pPr>
              <w:pStyle w:val="BoxSpaceBelow"/>
            </w:pPr>
          </w:p>
        </w:tc>
      </w:tr>
    </w:tbl>
    <w:p w:rsidR="00382CD2" w:rsidRPr="00AC1840" w:rsidRDefault="00382CD2" w:rsidP="00626A1F">
      <w:pPr>
        <w:pStyle w:val="BodyText"/>
        <w:tabs>
          <w:tab w:val="left" w:pos="6946"/>
        </w:tabs>
        <w:rPr>
          <w:szCs w:val="26"/>
        </w:rPr>
      </w:pPr>
      <w:r w:rsidRPr="00AC1840">
        <w:rPr>
          <w:szCs w:val="26"/>
        </w:rPr>
        <w:t>Nationally, in 20</w:t>
      </w:r>
      <w:r w:rsidR="00697867" w:rsidRPr="00AC1840">
        <w:rPr>
          <w:szCs w:val="26"/>
        </w:rPr>
        <w:t>12</w:t>
      </w:r>
      <w:r w:rsidRPr="00AC1840">
        <w:rPr>
          <w:szCs w:val="26"/>
        </w:rPr>
        <w:t xml:space="preserve">, the estimated </w:t>
      </w:r>
      <w:r w:rsidR="008C7B98" w:rsidRPr="00AC1840">
        <w:rPr>
          <w:szCs w:val="26"/>
        </w:rPr>
        <w:t>un</w:t>
      </w:r>
      <w:r w:rsidRPr="00AC1840">
        <w:rPr>
          <w:szCs w:val="26"/>
        </w:rPr>
        <w:t>employment rate of people aged 15–64 years with a profound or severe core activity limitation (</w:t>
      </w:r>
      <w:r w:rsidR="008C7B98" w:rsidRPr="00AC1840">
        <w:rPr>
          <w:szCs w:val="26"/>
        </w:rPr>
        <w:t>10.3</w:t>
      </w:r>
      <w:r w:rsidRPr="00AC1840">
        <w:rPr>
          <w:szCs w:val="26"/>
        </w:rPr>
        <w:t xml:space="preserve"> ± </w:t>
      </w:r>
      <w:r w:rsidR="008C7B98" w:rsidRPr="00AC1840">
        <w:rPr>
          <w:szCs w:val="26"/>
        </w:rPr>
        <w:t>3.3</w:t>
      </w:r>
      <w:r w:rsidRPr="00AC1840">
        <w:rPr>
          <w:szCs w:val="26"/>
        </w:rPr>
        <w:t xml:space="preserve"> per cent) was </w:t>
      </w:r>
      <w:r w:rsidR="008C7B98" w:rsidRPr="00AC1840">
        <w:rPr>
          <w:szCs w:val="26"/>
        </w:rPr>
        <w:t>higher</w:t>
      </w:r>
      <w:r w:rsidRPr="00AC1840">
        <w:rPr>
          <w:szCs w:val="26"/>
        </w:rPr>
        <w:t xml:space="preserve"> than the rate for people </w:t>
      </w:r>
      <w:r w:rsidR="00364A2E" w:rsidRPr="00AC1840">
        <w:rPr>
          <w:szCs w:val="26"/>
        </w:rPr>
        <w:t xml:space="preserve">with disability </w:t>
      </w:r>
      <w:r w:rsidRPr="00AC1840">
        <w:rPr>
          <w:szCs w:val="26"/>
        </w:rPr>
        <w:t>excluding those with a profound or severe core activity limitation (</w:t>
      </w:r>
      <w:r w:rsidR="008C7B98" w:rsidRPr="00AC1840">
        <w:rPr>
          <w:szCs w:val="26"/>
        </w:rPr>
        <w:t>9.2</w:t>
      </w:r>
      <w:r w:rsidRPr="00AC1840">
        <w:rPr>
          <w:szCs w:val="26"/>
        </w:rPr>
        <w:t xml:space="preserve"> ± 1.</w:t>
      </w:r>
      <w:r w:rsidR="008C7B98" w:rsidRPr="00AC1840">
        <w:rPr>
          <w:szCs w:val="26"/>
        </w:rPr>
        <w:t>2</w:t>
      </w:r>
      <w:r w:rsidRPr="00AC1840">
        <w:rPr>
          <w:szCs w:val="26"/>
        </w:rPr>
        <w:t xml:space="preserve"> per cent) and the rate for </w:t>
      </w:r>
      <w:r w:rsidR="008C7B98" w:rsidRPr="00AC1840">
        <w:rPr>
          <w:szCs w:val="26"/>
        </w:rPr>
        <w:t>people with no disability</w:t>
      </w:r>
      <w:r w:rsidRPr="00AC1840">
        <w:rPr>
          <w:szCs w:val="26"/>
        </w:rPr>
        <w:t xml:space="preserve"> (</w:t>
      </w:r>
      <w:r w:rsidR="008C7B98" w:rsidRPr="00AC1840">
        <w:rPr>
          <w:szCs w:val="26"/>
        </w:rPr>
        <w:t>4.9</w:t>
      </w:r>
      <w:r w:rsidRPr="00AC1840">
        <w:rPr>
          <w:szCs w:val="26"/>
        </w:rPr>
        <w:t> ± </w:t>
      </w:r>
      <w:r w:rsidR="008C7B98" w:rsidRPr="00AC1840">
        <w:rPr>
          <w:szCs w:val="26"/>
        </w:rPr>
        <w:t>0</w:t>
      </w:r>
      <w:r w:rsidRPr="00AC1840">
        <w:rPr>
          <w:szCs w:val="26"/>
        </w:rPr>
        <w:t>.</w:t>
      </w:r>
      <w:r w:rsidR="008C7B98" w:rsidRPr="00AC1840">
        <w:rPr>
          <w:szCs w:val="26"/>
        </w:rPr>
        <w:t>3</w:t>
      </w:r>
      <w:r w:rsidRPr="00AC1840">
        <w:rPr>
          <w:szCs w:val="26"/>
        </w:rPr>
        <w:t> per cent) (figure</w:t>
      </w:r>
      <w:r w:rsidR="000B2C51">
        <w:rPr>
          <w:szCs w:val="26"/>
        </w:rPr>
        <w:t> </w:t>
      </w:r>
      <w:r w:rsidRPr="00AC1840">
        <w:rPr>
          <w:szCs w:val="26"/>
        </w:rPr>
        <w:t>14.3</w:t>
      </w:r>
      <w:r w:rsidR="00FE0B9E">
        <w:rPr>
          <w:szCs w:val="26"/>
        </w:rPr>
        <w:t>6</w:t>
      </w:r>
      <w:r w:rsidRPr="00AC1840">
        <w:rPr>
          <w:szCs w:val="26"/>
        </w:rPr>
        <w:t xml:space="preserve">). </w:t>
      </w:r>
    </w:p>
    <w:p w:rsidR="00600295" w:rsidRDefault="00600295"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00295" w:rsidTr="00DD33DF">
        <w:tc>
          <w:tcPr>
            <w:tcW w:w="8771" w:type="dxa"/>
            <w:tcBorders>
              <w:top w:val="single" w:sz="6" w:space="0" w:color="78A22F"/>
              <w:left w:val="nil"/>
              <w:bottom w:val="nil"/>
              <w:right w:val="nil"/>
            </w:tcBorders>
            <w:shd w:val="clear" w:color="auto" w:fill="auto"/>
          </w:tcPr>
          <w:p w:rsidR="00600295" w:rsidRPr="00176D3F" w:rsidRDefault="00600295" w:rsidP="003C1FC3">
            <w:pPr>
              <w:pStyle w:val="FigureTitle"/>
            </w:pPr>
            <w:r w:rsidRPr="00784A05">
              <w:rPr>
                <w:b w:val="0"/>
              </w:rPr>
              <w:t xml:space="preserve">Figure </w:t>
            </w:r>
            <w:r w:rsidR="00321568">
              <w:rPr>
                <w:b w:val="0"/>
              </w:rPr>
              <w:t>14.</w:t>
            </w:r>
            <w:r w:rsidR="0085284B">
              <w:rPr>
                <w:b w:val="0"/>
                <w:noProof/>
              </w:rPr>
              <w:t>36</w:t>
            </w:r>
            <w:r>
              <w:tab/>
            </w:r>
            <w:r w:rsidRPr="00AC1840">
              <w:t>Estimated unemployment rate of people aged 15–64 years, by disability status, 2012</w:t>
            </w:r>
            <w:r w:rsidRPr="00AC1840">
              <w:rPr>
                <w:rStyle w:val="NoteLabel"/>
                <w:b/>
              </w:rPr>
              <w:t xml:space="preserve">a, b, c, d </w:t>
            </w:r>
          </w:p>
        </w:tc>
      </w:tr>
      <w:tr w:rsidR="00600295"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600295" w:rsidTr="00DD33DF">
              <w:trPr>
                <w:jc w:val="center"/>
              </w:trPr>
              <w:tc>
                <w:tcPr>
                  <w:tcW w:w="5000" w:type="pct"/>
                  <w:tcBorders>
                    <w:top w:val="nil"/>
                    <w:bottom w:val="nil"/>
                  </w:tcBorders>
                </w:tcPr>
                <w:p w:rsidR="00600295" w:rsidRDefault="003F5744" w:rsidP="00DD33DF">
                  <w:pPr>
                    <w:pStyle w:val="Figure"/>
                    <w:spacing w:before="60" w:after="60"/>
                  </w:pPr>
                  <w:r>
                    <w:rPr>
                      <w:noProof/>
                    </w:rPr>
                    <w:drawing>
                      <wp:inline distT="0" distB="0" distL="0" distR="0">
                        <wp:extent cx="5238750" cy="2686050"/>
                        <wp:effectExtent l="0" t="0" r="0" b="0"/>
                        <wp:docPr id="70" name="Picture 70" descr="Figure 14.36 Estimated unemployment rate of people aged 15–64 years, by disability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600295" w:rsidRDefault="00600295" w:rsidP="00DD33DF">
            <w:pPr>
              <w:pStyle w:val="Figure"/>
            </w:pPr>
          </w:p>
        </w:tc>
      </w:tr>
      <w:tr w:rsidR="00600295" w:rsidRPr="00176D3F" w:rsidTr="00DD33DF">
        <w:tc>
          <w:tcPr>
            <w:tcW w:w="8771" w:type="dxa"/>
            <w:tcBorders>
              <w:top w:val="nil"/>
              <w:left w:val="nil"/>
              <w:bottom w:val="nil"/>
              <w:right w:val="nil"/>
            </w:tcBorders>
            <w:shd w:val="clear" w:color="auto" w:fill="auto"/>
          </w:tcPr>
          <w:p w:rsidR="00600295" w:rsidRPr="00176D3F" w:rsidRDefault="00600295" w:rsidP="00DD33DF">
            <w:pPr>
              <w:pStyle w:val="Note"/>
            </w:pPr>
            <w:proofErr w:type="gramStart"/>
            <w:r w:rsidRPr="00AC1840">
              <w:rPr>
                <w:rStyle w:val="NoteLabel"/>
              </w:rPr>
              <w:t>a</w:t>
            </w:r>
            <w:proofErr w:type="gramEnd"/>
            <w:r w:rsidRPr="00AC1840">
              <w:t xml:space="preserve"> For people aged 15</w:t>
            </w:r>
            <w:r w:rsidRPr="00AC1840">
              <w:rPr>
                <w:szCs w:val="26"/>
              </w:rPr>
              <w:t>–</w:t>
            </w:r>
            <w:r w:rsidRPr="00AC1840">
              <w:t xml:space="preserve">64 years, living in households. </w:t>
            </w:r>
            <w:proofErr w:type="gramStart"/>
            <w:r w:rsidRPr="00AC1840">
              <w:rPr>
                <w:rStyle w:val="NoteLabel"/>
              </w:rPr>
              <w:t>b</w:t>
            </w:r>
            <w:proofErr w:type="gramEnd"/>
            <w:r w:rsidRPr="00AC1840">
              <w:t xml:space="preserve"> Profound or severe core activity limitation refers to always or sometimes needing assistance with one or more of the core activities. Core activities comprise communication, mobility and </w:t>
            </w:r>
            <w:r w:rsidR="00BD1F59" w:rsidRPr="00AC1840">
              <w:t>self</w:t>
            </w:r>
            <w:r w:rsidR="00B84AF2">
              <w:noBreakHyphen/>
            </w:r>
            <w:r w:rsidR="00BD1F59" w:rsidRPr="00AC1840">
              <w:t>care</w:t>
            </w:r>
            <w:r w:rsidRPr="00AC1840">
              <w:t xml:space="preserve">. </w:t>
            </w:r>
            <w:proofErr w:type="gramStart"/>
            <w:r w:rsidRPr="00AC1840">
              <w:rPr>
                <w:rStyle w:val="NoteLabel"/>
              </w:rPr>
              <w:t>c</w:t>
            </w:r>
            <w:proofErr w:type="gramEnd"/>
            <w:r w:rsidRPr="00AC1840">
              <w:t xml:space="preserve"> Some data for WA, and NT is not included as this data is not reliable. </w:t>
            </w:r>
            <w:proofErr w:type="gramStart"/>
            <w:r w:rsidRPr="00AC1840">
              <w:rPr>
                <w:rStyle w:val="NoteLabel"/>
              </w:rPr>
              <w:t>d</w:t>
            </w:r>
            <w:proofErr w:type="gramEnd"/>
            <w:r w:rsidRPr="00AC1840">
              <w:t xml:space="preserve"> Error bars represent the 95 per cent confidence interval associated with each point estimate. Confidence intervals can exceed 100 per cent or zero due to the low reliability of the estimate.</w:t>
            </w:r>
          </w:p>
        </w:tc>
      </w:tr>
      <w:tr w:rsidR="00600295" w:rsidRPr="00176D3F" w:rsidTr="00DD33DF">
        <w:tc>
          <w:tcPr>
            <w:tcW w:w="8771" w:type="dxa"/>
            <w:tcBorders>
              <w:top w:val="nil"/>
              <w:left w:val="nil"/>
              <w:bottom w:val="nil"/>
              <w:right w:val="nil"/>
            </w:tcBorders>
            <w:shd w:val="clear" w:color="auto" w:fill="auto"/>
          </w:tcPr>
          <w:p w:rsidR="00600295" w:rsidRPr="00176D3F" w:rsidRDefault="00600295" w:rsidP="002B526C">
            <w:pPr>
              <w:pStyle w:val="Source"/>
            </w:pPr>
            <w:r w:rsidRPr="00600295">
              <w:rPr>
                <w:i/>
              </w:rPr>
              <w:t>Source</w:t>
            </w:r>
            <w:r w:rsidRPr="00AC1840">
              <w:t xml:space="preserve">: ABS (unpublished) </w:t>
            </w:r>
            <w:r w:rsidRPr="00AC1840">
              <w:rPr>
                <w:i/>
              </w:rPr>
              <w:t xml:space="preserve">Survey of Disability, Ageing and Carers, </w:t>
            </w:r>
            <w:r w:rsidR="00044F4B" w:rsidRPr="00AC1840">
              <w:rPr>
                <w:i/>
              </w:rPr>
              <w:t>2012</w:t>
            </w:r>
            <w:r w:rsidRPr="00AC1840">
              <w:t>; table</w:t>
            </w:r>
            <w:r w:rsidR="00AE3578">
              <w:t> </w:t>
            </w:r>
            <w:r w:rsidRPr="00AC1840">
              <w:t>14A.</w:t>
            </w:r>
            <w:r w:rsidR="002B526C">
              <w:t>9</w:t>
            </w:r>
            <w:r w:rsidR="000748BE">
              <w:t>5</w:t>
            </w:r>
            <w:r>
              <w:t>.</w:t>
            </w:r>
          </w:p>
        </w:tc>
      </w:tr>
      <w:tr w:rsidR="00600295" w:rsidTr="00DD33DF">
        <w:tc>
          <w:tcPr>
            <w:tcW w:w="8771" w:type="dxa"/>
            <w:tcBorders>
              <w:top w:val="nil"/>
              <w:left w:val="nil"/>
              <w:bottom w:val="single" w:sz="6" w:space="0" w:color="78A22F"/>
              <w:right w:val="nil"/>
            </w:tcBorders>
            <w:shd w:val="clear" w:color="auto" w:fill="auto"/>
          </w:tcPr>
          <w:p w:rsidR="00600295" w:rsidRDefault="00600295" w:rsidP="00DD33DF">
            <w:pPr>
              <w:pStyle w:val="Figurespace"/>
            </w:pPr>
          </w:p>
        </w:tc>
      </w:tr>
      <w:tr w:rsidR="00600295" w:rsidRPr="000863A5" w:rsidTr="00DD33DF">
        <w:tc>
          <w:tcPr>
            <w:tcW w:w="8771" w:type="dxa"/>
            <w:tcBorders>
              <w:top w:val="single" w:sz="6" w:space="0" w:color="78A22F"/>
              <w:left w:val="nil"/>
              <w:bottom w:val="nil"/>
              <w:right w:val="nil"/>
            </w:tcBorders>
          </w:tcPr>
          <w:p w:rsidR="00600295" w:rsidRPr="00626D32" w:rsidRDefault="00600295" w:rsidP="00DD33DF">
            <w:pPr>
              <w:pStyle w:val="BoxSpaceBelow"/>
            </w:pPr>
          </w:p>
        </w:tc>
      </w:tr>
    </w:tbl>
    <w:p w:rsidR="001F39F2" w:rsidRPr="000E51C9" w:rsidRDefault="001F39F2" w:rsidP="006C5F8E">
      <w:pPr>
        <w:pStyle w:val="Heading5"/>
      </w:pPr>
      <w:r w:rsidRPr="000E51C9">
        <w:t xml:space="preserve">Labour force participation of primary carers of people with disability </w:t>
      </w:r>
    </w:p>
    <w:p w:rsidR="001F39F2" w:rsidRDefault="001F39F2" w:rsidP="00626A1F">
      <w:pPr>
        <w:pStyle w:val="BodyText"/>
        <w:rPr>
          <w:szCs w:val="26"/>
        </w:rPr>
      </w:pPr>
      <w:r w:rsidRPr="000E51C9">
        <w:rPr>
          <w:szCs w:val="26"/>
        </w:rPr>
        <w:t xml:space="preserve">‘Labour force participation of primary carers of people with disability’ is an indicator of governments’ objective of assisting primary carers of people with disability to participate fully in the community </w:t>
      </w:r>
      <w:r w:rsidRPr="000E51C9">
        <w:t>(box</w:t>
      </w:r>
      <w:r w:rsidR="00AE3578">
        <w:t> </w:t>
      </w:r>
      <w:r w:rsidRPr="000E51C9">
        <w:t>14.</w:t>
      </w:r>
      <w:r w:rsidR="00525A0A" w:rsidRPr="000E51C9">
        <w:t>21</w:t>
      </w:r>
      <w:r w:rsidRPr="000E51C9">
        <w:t>).</w:t>
      </w:r>
      <w:r w:rsidRPr="000E51C9">
        <w:rPr>
          <w:szCs w:val="26"/>
        </w:rPr>
        <w:t xml:space="preserve"> Participation in the labour force is important to the overall wellbeing of carers, providing opportunities for </w:t>
      </w:r>
      <w:r w:rsidR="000E231C" w:rsidRPr="000E51C9">
        <w:rPr>
          <w:szCs w:val="26"/>
        </w:rPr>
        <w:t>personal</w:t>
      </w:r>
      <w:r w:rsidRPr="000E51C9">
        <w:rPr>
          <w:szCs w:val="26"/>
        </w:rPr>
        <w:t xml:space="preserve"> development and financial independence.</w:t>
      </w:r>
    </w:p>
    <w:p w:rsidR="00C827D5" w:rsidRDefault="00C827D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27D5" w:rsidTr="00C827D5">
        <w:tc>
          <w:tcPr>
            <w:tcW w:w="8771" w:type="dxa"/>
            <w:tcBorders>
              <w:top w:val="single" w:sz="6" w:space="0" w:color="78A22F"/>
              <w:left w:val="nil"/>
              <w:bottom w:val="nil"/>
              <w:right w:val="nil"/>
            </w:tcBorders>
            <w:shd w:val="clear" w:color="auto" w:fill="F2F2F2"/>
          </w:tcPr>
          <w:p w:rsidR="00C827D5" w:rsidRDefault="00C827D5" w:rsidP="006A5970">
            <w:pPr>
              <w:pStyle w:val="BoxTitle"/>
            </w:pPr>
            <w:r>
              <w:rPr>
                <w:b w:val="0"/>
              </w:rPr>
              <w:t xml:space="preserve">Box </w:t>
            </w:r>
            <w:r w:rsidR="00321568">
              <w:rPr>
                <w:b w:val="0"/>
              </w:rPr>
              <w:t>14.</w:t>
            </w:r>
            <w:r w:rsidR="0085284B">
              <w:rPr>
                <w:b w:val="0"/>
                <w:noProof/>
              </w:rPr>
              <w:t>21</w:t>
            </w:r>
            <w:r>
              <w:tab/>
            </w:r>
            <w:r w:rsidR="006A5970" w:rsidRPr="006A5970">
              <w:t>Labour force participation of primary carers of people with disability</w:t>
            </w:r>
          </w:p>
        </w:tc>
      </w:tr>
      <w:tr w:rsidR="00C827D5" w:rsidTr="00C827D5">
        <w:trPr>
          <w:cantSplit/>
        </w:trPr>
        <w:tc>
          <w:tcPr>
            <w:tcW w:w="8771" w:type="dxa"/>
            <w:tcBorders>
              <w:top w:val="nil"/>
              <w:left w:val="nil"/>
              <w:bottom w:val="nil"/>
              <w:right w:val="nil"/>
            </w:tcBorders>
            <w:shd w:val="clear" w:color="auto" w:fill="F2F2F2"/>
          </w:tcPr>
          <w:p w:rsidR="00C827D5" w:rsidRPr="00DF5879" w:rsidRDefault="00C827D5" w:rsidP="00C827D5">
            <w:pPr>
              <w:pStyle w:val="Box"/>
            </w:pPr>
            <w:r w:rsidRPr="00DF5879">
              <w:t xml:space="preserve">‘Labour force participation of primary carers of people with disability’ is defined as </w:t>
            </w:r>
            <w:r w:rsidR="00F30597">
              <w:t xml:space="preserve">the </w:t>
            </w:r>
            <w:r w:rsidRPr="00DF5879">
              <w:t xml:space="preserve">labour force participation rate for primary carers aged 15–64 years of people with disability. </w:t>
            </w:r>
          </w:p>
          <w:p w:rsidR="00C827D5" w:rsidRPr="00DF5879" w:rsidRDefault="00C827D5" w:rsidP="00C827D5">
            <w:pPr>
              <w:pStyle w:val="Box"/>
            </w:pPr>
            <w:r w:rsidRPr="00DF5879">
              <w:t>Primary carer is defined as a person who provides the most informal assistance, in terms of help or supervision, to a person with one or more disabilities. A detailed definition is provided in section 14.7.</w:t>
            </w:r>
          </w:p>
          <w:p w:rsidR="00C827D5" w:rsidRPr="00DF5879" w:rsidRDefault="00C827D5" w:rsidP="00C827D5">
            <w:pPr>
              <w:pStyle w:val="Box"/>
            </w:pPr>
            <w:r w:rsidRPr="00DF5879">
              <w:t>Higher or increasing labour force participation rates for primary carers of people with disability are desirable. Higher rates are likely to increase the quality of life of primary carers of people with disability by providing greater opportunities for self</w:t>
            </w:r>
            <w:r w:rsidRPr="00DF5879">
              <w:noBreakHyphen/>
              <w:t xml:space="preserve">development. </w:t>
            </w:r>
          </w:p>
          <w:p w:rsidR="00C827D5" w:rsidRPr="00DF5879" w:rsidRDefault="00C827D5" w:rsidP="00C827D5">
            <w:pPr>
              <w:pStyle w:val="Box"/>
            </w:pPr>
            <w:r w:rsidRPr="00DF5879">
              <w:t>This indicator does not provide information on why people choose not to participate in the labour force. It also does not provide information on whether the participation in the labour force is fulfilling.</w:t>
            </w:r>
          </w:p>
          <w:p w:rsidR="00265FEB" w:rsidRPr="003649E8" w:rsidRDefault="00265FEB" w:rsidP="00265FEB">
            <w:pPr>
              <w:pStyle w:val="Box"/>
            </w:pPr>
            <w:r>
              <w:t>D</w:t>
            </w:r>
            <w:r w:rsidRPr="00DF5879">
              <w:t xml:space="preserve">ata </w:t>
            </w:r>
            <w:r w:rsidRPr="00060ADF">
              <w:t xml:space="preserve">reported for </w:t>
            </w:r>
            <w:r w:rsidRPr="00E340C1">
              <w:t>this measure are</w:t>
            </w:r>
            <w:r w:rsidRPr="003649E8">
              <w:t>:</w:t>
            </w:r>
          </w:p>
          <w:p w:rsidR="00265FEB" w:rsidRPr="00AE3578" w:rsidRDefault="00265FEB" w:rsidP="00265FEB">
            <w:pPr>
              <w:pStyle w:val="BoxListBullet"/>
            </w:pPr>
            <w:r w:rsidRPr="00B6625A">
              <w:rPr>
                <w:lang w:eastAsia="en-US"/>
              </w:rPr>
              <w:t xml:space="preserve">comparable </w:t>
            </w:r>
            <w:r>
              <w:rPr>
                <w:lang w:eastAsia="en-US"/>
              </w:rPr>
              <w:t>across</w:t>
            </w:r>
            <w:r w:rsidRPr="00B6625A">
              <w:rPr>
                <w:lang w:eastAsia="en-US"/>
              </w:rPr>
              <w:t xml:space="preserve"> jurisdictions </w:t>
            </w:r>
            <w:r>
              <w:rPr>
                <w:lang w:eastAsia="en-US"/>
              </w:rPr>
              <w:t xml:space="preserve">and over time </w:t>
            </w:r>
          </w:p>
          <w:p w:rsidR="00265FEB" w:rsidRPr="00E340C1" w:rsidRDefault="00265FEB" w:rsidP="00265FEB">
            <w:pPr>
              <w:pStyle w:val="BoxListBullet"/>
              <w:rPr>
                <w:lang w:eastAsia="en-US"/>
              </w:rPr>
            </w:pPr>
            <w:proofErr w:type="gramStart"/>
            <w:r w:rsidRPr="00E340C1">
              <w:rPr>
                <w:lang w:eastAsia="en-US"/>
              </w:rPr>
              <w:t>complete</w:t>
            </w:r>
            <w:proofErr w:type="gramEnd"/>
            <w:r w:rsidRPr="00E340C1">
              <w:rPr>
                <w:lang w:eastAsia="en-US"/>
              </w:rPr>
              <w:t xml:space="preserve"> (subject to caveats) for the current reporting period. </w:t>
            </w:r>
          </w:p>
          <w:p w:rsidR="00C827D5" w:rsidRDefault="00802A7D" w:rsidP="00C827D5">
            <w:pPr>
              <w:pStyle w:val="Box"/>
            </w:pPr>
            <w:r w:rsidRPr="00802A7D">
              <w:t>Data quality information for this indicator</w:t>
            </w:r>
            <w:r w:rsidR="0028432F">
              <w:t xml:space="preserve"> is at www.pc.gov.au</w:t>
            </w:r>
            <w:r w:rsidRPr="00802A7D">
              <w:t>/rogs/2015.</w:t>
            </w:r>
          </w:p>
        </w:tc>
      </w:tr>
      <w:tr w:rsidR="00C827D5" w:rsidTr="00C827D5">
        <w:trPr>
          <w:cantSplit/>
        </w:trPr>
        <w:tc>
          <w:tcPr>
            <w:tcW w:w="8771" w:type="dxa"/>
            <w:tcBorders>
              <w:top w:val="nil"/>
              <w:left w:val="nil"/>
              <w:bottom w:val="single" w:sz="6" w:space="0" w:color="78A22F"/>
              <w:right w:val="nil"/>
            </w:tcBorders>
            <w:shd w:val="clear" w:color="auto" w:fill="F2F2F2"/>
          </w:tcPr>
          <w:p w:rsidR="00C827D5" w:rsidRDefault="00C827D5">
            <w:pPr>
              <w:pStyle w:val="Box"/>
              <w:spacing w:before="0" w:line="120" w:lineRule="exact"/>
            </w:pPr>
          </w:p>
        </w:tc>
      </w:tr>
      <w:tr w:rsidR="00C827D5" w:rsidRPr="000863A5" w:rsidTr="00C827D5">
        <w:tc>
          <w:tcPr>
            <w:tcW w:w="8771" w:type="dxa"/>
            <w:tcBorders>
              <w:top w:val="single" w:sz="6" w:space="0" w:color="78A22F"/>
              <w:left w:val="nil"/>
              <w:bottom w:val="nil"/>
              <w:right w:val="nil"/>
            </w:tcBorders>
          </w:tcPr>
          <w:p w:rsidR="00C827D5" w:rsidRPr="00626D32" w:rsidRDefault="00C827D5" w:rsidP="00C827D5">
            <w:pPr>
              <w:pStyle w:val="BoxSpaceBelow"/>
            </w:pPr>
          </w:p>
        </w:tc>
      </w:tr>
    </w:tbl>
    <w:p w:rsidR="001F39F2" w:rsidRPr="00AE3578" w:rsidRDefault="001F39F2" w:rsidP="00626A1F">
      <w:pPr>
        <w:pStyle w:val="BodyText"/>
      </w:pPr>
      <w:r w:rsidRPr="00DF5879">
        <w:rPr>
          <w:szCs w:val="26"/>
        </w:rPr>
        <w:t>Nationally in 20</w:t>
      </w:r>
      <w:r w:rsidR="00730B6D" w:rsidRPr="00DF5879">
        <w:rPr>
          <w:szCs w:val="26"/>
        </w:rPr>
        <w:t>12</w:t>
      </w:r>
      <w:r w:rsidRPr="00DF5879">
        <w:rPr>
          <w:szCs w:val="26"/>
        </w:rPr>
        <w:t>, the estimated labour force participation rate</w:t>
      </w:r>
      <w:r w:rsidR="00427C2A" w:rsidRPr="00DF5879">
        <w:rPr>
          <w:szCs w:val="26"/>
        </w:rPr>
        <w:t xml:space="preserve"> for people aged 15</w:t>
      </w:r>
      <w:r w:rsidR="00F30597" w:rsidRPr="00DF5879">
        <w:t>–</w:t>
      </w:r>
      <w:r w:rsidR="00427C2A" w:rsidRPr="00DF5879">
        <w:rPr>
          <w:szCs w:val="26"/>
        </w:rPr>
        <w:t>64 years</w:t>
      </w:r>
      <w:r w:rsidRPr="00DF5879">
        <w:rPr>
          <w:szCs w:val="26"/>
        </w:rPr>
        <w:t xml:space="preserve"> of primary carers </w:t>
      </w:r>
      <w:r w:rsidR="00427C2A" w:rsidRPr="00DF5879">
        <w:rPr>
          <w:szCs w:val="26"/>
        </w:rPr>
        <w:t xml:space="preserve">of people with disability </w:t>
      </w:r>
      <w:r w:rsidR="00F02228" w:rsidRPr="00DF5879">
        <w:rPr>
          <w:szCs w:val="26"/>
        </w:rPr>
        <w:t>(</w:t>
      </w:r>
      <w:r w:rsidR="00730B6D" w:rsidRPr="00DF5879">
        <w:rPr>
          <w:szCs w:val="26"/>
        </w:rPr>
        <w:t>52.8</w:t>
      </w:r>
      <w:r w:rsidRPr="00DF5879">
        <w:rPr>
          <w:szCs w:val="26"/>
        </w:rPr>
        <w:t xml:space="preserve"> ± 3.</w:t>
      </w:r>
      <w:r w:rsidR="00730B6D" w:rsidRPr="00DF5879">
        <w:rPr>
          <w:szCs w:val="26"/>
        </w:rPr>
        <w:t>2</w:t>
      </w:r>
      <w:r w:rsidRPr="00DF5879">
        <w:rPr>
          <w:szCs w:val="26"/>
        </w:rPr>
        <w:t xml:space="preserve"> per cent</w:t>
      </w:r>
      <w:r w:rsidR="00F02228" w:rsidRPr="00DF5879">
        <w:rPr>
          <w:szCs w:val="26"/>
        </w:rPr>
        <w:t>)</w:t>
      </w:r>
      <w:r w:rsidR="0033512D" w:rsidRPr="00DF5879">
        <w:rPr>
          <w:szCs w:val="26"/>
        </w:rPr>
        <w:t xml:space="preserve"> </w:t>
      </w:r>
      <w:r w:rsidR="004659D8" w:rsidRPr="00DF5879">
        <w:rPr>
          <w:szCs w:val="26"/>
        </w:rPr>
        <w:t xml:space="preserve">was </w:t>
      </w:r>
      <w:r w:rsidR="00F02228" w:rsidRPr="00DF5879">
        <w:rPr>
          <w:szCs w:val="26"/>
        </w:rPr>
        <w:t>less than both the estimated labour force participation rate for all carers (</w:t>
      </w:r>
      <w:r w:rsidR="00730B6D" w:rsidRPr="00DF5879">
        <w:rPr>
          <w:szCs w:val="26"/>
        </w:rPr>
        <w:t>66.9</w:t>
      </w:r>
      <w:r w:rsidR="00F02228" w:rsidRPr="00DF5879">
        <w:rPr>
          <w:szCs w:val="26"/>
        </w:rPr>
        <w:t xml:space="preserve"> ± 1.</w:t>
      </w:r>
      <w:r w:rsidR="00730B6D" w:rsidRPr="00DF5879">
        <w:rPr>
          <w:szCs w:val="26"/>
        </w:rPr>
        <w:t>7</w:t>
      </w:r>
      <w:r w:rsidR="00F02228" w:rsidRPr="00DF5879">
        <w:rPr>
          <w:szCs w:val="26"/>
        </w:rPr>
        <w:t xml:space="preserve"> per cent) and the estimated labour force participation rate for non</w:t>
      </w:r>
      <w:r w:rsidR="00B84AF2">
        <w:rPr>
          <w:szCs w:val="26"/>
        </w:rPr>
        <w:noBreakHyphen/>
      </w:r>
      <w:r w:rsidR="00F02228" w:rsidRPr="00DF5879">
        <w:rPr>
          <w:szCs w:val="26"/>
        </w:rPr>
        <w:t>carers (79.</w:t>
      </w:r>
      <w:r w:rsidR="00730B6D" w:rsidRPr="00DF5879">
        <w:rPr>
          <w:szCs w:val="26"/>
        </w:rPr>
        <w:t>7</w:t>
      </w:r>
      <w:r w:rsidR="00F02228" w:rsidRPr="00DF5879">
        <w:rPr>
          <w:szCs w:val="26"/>
        </w:rPr>
        <w:t xml:space="preserve"> ± </w:t>
      </w:r>
      <w:r w:rsidR="00730B6D" w:rsidRPr="00DF5879">
        <w:rPr>
          <w:szCs w:val="26"/>
        </w:rPr>
        <w:t>0.4</w:t>
      </w:r>
      <w:r w:rsidR="00F02228" w:rsidRPr="00DF5879">
        <w:rPr>
          <w:szCs w:val="26"/>
        </w:rPr>
        <w:t xml:space="preserve"> per cent)</w:t>
      </w:r>
      <w:r w:rsidRPr="00DF5879">
        <w:rPr>
          <w:szCs w:val="26"/>
        </w:rPr>
        <w:t xml:space="preserve"> (figure</w:t>
      </w:r>
      <w:r w:rsidR="00AE3578">
        <w:rPr>
          <w:szCs w:val="26"/>
        </w:rPr>
        <w:t> </w:t>
      </w:r>
      <w:r w:rsidRPr="00DF5879">
        <w:rPr>
          <w:szCs w:val="26"/>
        </w:rPr>
        <w:t>14.</w:t>
      </w:r>
      <w:r w:rsidR="00945E40" w:rsidRPr="00DF5879">
        <w:rPr>
          <w:szCs w:val="26"/>
        </w:rPr>
        <w:t>3</w:t>
      </w:r>
      <w:r w:rsidR="00FE0B9E">
        <w:rPr>
          <w:szCs w:val="26"/>
        </w:rPr>
        <w:t>7</w:t>
      </w:r>
      <w:r w:rsidRPr="00DF5879">
        <w:rPr>
          <w:szCs w:val="26"/>
        </w:rPr>
        <w:t xml:space="preserve">). </w:t>
      </w:r>
    </w:p>
    <w:p w:rsidR="001F39F2" w:rsidRPr="00DF5879" w:rsidRDefault="001F39F2" w:rsidP="00626A1F">
      <w:pPr>
        <w:pStyle w:val="BodyText"/>
      </w:pPr>
      <w:r w:rsidRPr="00DF5879">
        <w:rPr>
          <w:szCs w:val="26"/>
        </w:rPr>
        <w:t xml:space="preserve">Detailed definitions of the labour force participation rate and its calculation method are provided in section 14.7. Other data on the labour force participation for primary carers of people with disability are reported in </w:t>
      </w:r>
      <w:proofErr w:type="gramStart"/>
      <w:r w:rsidRPr="00DF5879">
        <w:rPr>
          <w:szCs w:val="26"/>
        </w:rPr>
        <w:t>tables</w:t>
      </w:r>
      <w:proofErr w:type="gramEnd"/>
      <w:r w:rsidR="000B2C51">
        <w:rPr>
          <w:szCs w:val="26"/>
        </w:rPr>
        <w:t> </w:t>
      </w:r>
      <w:r w:rsidRPr="00DF5879">
        <w:rPr>
          <w:szCs w:val="26"/>
        </w:rPr>
        <w:t>14A.</w:t>
      </w:r>
      <w:r w:rsidR="000748BE" w:rsidRPr="00DF5879">
        <w:rPr>
          <w:szCs w:val="26"/>
        </w:rPr>
        <w:t>1</w:t>
      </w:r>
      <w:r w:rsidR="000748BE">
        <w:rPr>
          <w:szCs w:val="26"/>
        </w:rPr>
        <w:t>10</w:t>
      </w:r>
      <w:r w:rsidRPr="00DF5879">
        <w:t>–</w:t>
      </w:r>
      <w:r w:rsidR="00B02A7D" w:rsidRPr="00DF5879">
        <w:t>1</w:t>
      </w:r>
      <w:r w:rsidR="00B02A7D">
        <w:t>1</w:t>
      </w:r>
      <w:r w:rsidR="000748BE">
        <w:t>7</w:t>
      </w:r>
      <w:r w:rsidRPr="00DF5879">
        <w:t>.</w:t>
      </w:r>
    </w:p>
    <w:p w:rsidR="00504AE9" w:rsidRDefault="00504AE9"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04AE9" w:rsidTr="00DD33DF">
        <w:tc>
          <w:tcPr>
            <w:tcW w:w="8771" w:type="dxa"/>
            <w:tcBorders>
              <w:top w:val="single" w:sz="6" w:space="0" w:color="78A22F"/>
              <w:left w:val="nil"/>
              <w:bottom w:val="nil"/>
              <w:right w:val="nil"/>
            </w:tcBorders>
            <w:shd w:val="clear" w:color="auto" w:fill="auto"/>
          </w:tcPr>
          <w:p w:rsidR="00504AE9" w:rsidRPr="00176D3F" w:rsidRDefault="00504AE9" w:rsidP="00B3276E">
            <w:pPr>
              <w:pStyle w:val="FigureTitle"/>
            </w:pPr>
            <w:r w:rsidRPr="00784A05">
              <w:rPr>
                <w:b w:val="0"/>
              </w:rPr>
              <w:t xml:space="preserve">Figure </w:t>
            </w:r>
            <w:r w:rsidR="00321568">
              <w:rPr>
                <w:b w:val="0"/>
              </w:rPr>
              <w:t>14.</w:t>
            </w:r>
            <w:r w:rsidR="0085284B">
              <w:rPr>
                <w:b w:val="0"/>
                <w:noProof/>
              </w:rPr>
              <w:t>37</w:t>
            </w:r>
            <w:r>
              <w:tab/>
            </w:r>
            <w:bookmarkStart w:id="20" w:name="FigureTitle"/>
            <w:r w:rsidR="009F6050" w:rsidRPr="000453A1">
              <w:rPr>
                <w:shd w:val="clear" w:color="auto" w:fill="FFFFFF" w:themeFill="background1"/>
              </w:rPr>
              <w:t>Labour force participation rate for people aged 15</w:t>
            </w:r>
            <w:r w:rsidR="00B3276E" w:rsidRPr="000453A1">
              <w:rPr>
                <w:rFonts w:cs="Arial"/>
                <w:shd w:val="clear" w:color="auto" w:fill="FFFFFF" w:themeFill="background1"/>
              </w:rPr>
              <w:t>–</w:t>
            </w:r>
            <w:r w:rsidR="009F6050" w:rsidRPr="000453A1">
              <w:rPr>
                <w:shd w:val="clear" w:color="auto" w:fill="FFFFFF" w:themeFill="background1"/>
              </w:rPr>
              <w:t>64 years by whether a primary carer of someone with a disability aged 0</w:t>
            </w:r>
            <w:r w:rsidR="00B24491" w:rsidRPr="000453A1">
              <w:rPr>
                <w:shd w:val="clear" w:color="auto" w:fill="FFFFFF" w:themeFill="background1"/>
              </w:rPr>
              <w:t>–</w:t>
            </w:r>
            <w:r w:rsidR="009F6050" w:rsidRPr="000453A1">
              <w:rPr>
                <w:shd w:val="clear" w:color="auto" w:fill="FFFFFF" w:themeFill="background1"/>
              </w:rPr>
              <w:t>64 years, a carer of someone with a disability aged 0</w:t>
            </w:r>
            <w:r w:rsidR="00B24491" w:rsidRPr="000453A1">
              <w:rPr>
                <w:shd w:val="clear" w:color="auto" w:fill="FFFFFF" w:themeFill="background1"/>
              </w:rPr>
              <w:t>–</w:t>
            </w:r>
            <w:r w:rsidR="009F6050" w:rsidRPr="000453A1">
              <w:rPr>
                <w:shd w:val="clear" w:color="auto" w:fill="FFFFFF" w:themeFill="background1"/>
              </w:rPr>
              <w:t>64 years, or not caring for someone with a disability aged 0</w:t>
            </w:r>
            <w:r w:rsidR="00B24491" w:rsidRPr="000453A1">
              <w:rPr>
                <w:shd w:val="clear" w:color="auto" w:fill="FFFFFF" w:themeFill="background1"/>
              </w:rPr>
              <w:t>–</w:t>
            </w:r>
            <w:r w:rsidR="009F6050" w:rsidRPr="000453A1">
              <w:rPr>
                <w:shd w:val="clear" w:color="auto" w:fill="FFFFFF" w:themeFill="background1"/>
              </w:rPr>
              <w:t>64 years</w:t>
            </w:r>
            <w:r w:rsidRPr="000453A1">
              <w:rPr>
                <w:shd w:val="clear" w:color="auto" w:fill="FFFFFF" w:themeFill="background1"/>
              </w:rPr>
              <w:t>, by State/Territory, 2012</w:t>
            </w:r>
            <w:r w:rsidRPr="000453A1">
              <w:rPr>
                <w:rStyle w:val="NoteLabel"/>
                <w:b/>
                <w:shd w:val="clear" w:color="auto" w:fill="FFFFFF" w:themeFill="background1"/>
              </w:rPr>
              <w:t>a</w:t>
            </w:r>
            <w:bookmarkEnd w:id="20"/>
          </w:p>
        </w:tc>
      </w:tr>
      <w:tr w:rsidR="00504AE9"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504AE9" w:rsidTr="00DD33DF">
              <w:trPr>
                <w:jc w:val="center"/>
              </w:trPr>
              <w:tc>
                <w:tcPr>
                  <w:tcW w:w="5000" w:type="pct"/>
                  <w:tcBorders>
                    <w:top w:val="nil"/>
                    <w:bottom w:val="nil"/>
                  </w:tcBorders>
                </w:tcPr>
                <w:p w:rsidR="00504AE9" w:rsidRDefault="003F5744" w:rsidP="00DD33DF">
                  <w:pPr>
                    <w:pStyle w:val="Figure"/>
                    <w:spacing w:before="60" w:after="60"/>
                  </w:pPr>
                  <w:r>
                    <w:rPr>
                      <w:noProof/>
                    </w:rPr>
                    <w:drawing>
                      <wp:inline distT="0" distB="0" distL="0" distR="0">
                        <wp:extent cx="5238750" cy="2686050"/>
                        <wp:effectExtent l="0" t="0" r="0" b="0"/>
                        <wp:docPr id="72" name="Picture 72" descr="Figure 14.37  Labour force participation rate for people aged 15–64 years by whether a primary carer of someone with a disability aged 0–64 years, a carer of someone with a disability aged 0–64 years, or not caring for someone with a disability aged 0–64 years, by State/Territor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Figure 14.37  Labour force participation rate for people aged 15–64 years by whether a primary carer of someone with a disability aged 0–64 years, a carer of someone with a disability aged 0–64 years, or not caring for someone with a disability aged 0–64 years, by State/Territory, 2012&#10;&#10;More details can be found within the text surrounding this image.&#1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504AE9" w:rsidRDefault="00504AE9" w:rsidP="00DD33DF">
            <w:pPr>
              <w:pStyle w:val="Figure"/>
            </w:pPr>
          </w:p>
        </w:tc>
      </w:tr>
      <w:tr w:rsidR="00504AE9" w:rsidRPr="00176D3F" w:rsidTr="00DD33DF">
        <w:tc>
          <w:tcPr>
            <w:tcW w:w="8771" w:type="dxa"/>
            <w:tcBorders>
              <w:top w:val="nil"/>
              <w:left w:val="nil"/>
              <w:bottom w:val="nil"/>
              <w:right w:val="nil"/>
            </w:tcBorders>
            <w:shd w:val="clear" w:color="auto" w:fill="auto"/>
          </w:tcPr>
          <w:p w:rsidR="00504AE9" w:rsidRPr="00A84DD1" w:rsidRDefault="00504AE9" w:rsidP="00DD33DF">
            <w:pPr>
              <w:pStyle w:val="Note"/>
            </w:pPr>
            <w:proofErr w:type="gramStart"/>
            <w:r w:rsidRPr="00A84DD1">
              <w:rPr>
                <w:rStyle w:val="NoteLabel"/>
              </w:rPr>
              <w:t>a</w:t>
            </w:r>
            <w:proofErr w:type="gramEnd"/>
            <w:r w:rsidRPr="00A84DD1">
              <w:sym w:font="Symbol" w:char="F020"/>
            </w:r>
            <w:r w:rsidRPr="00A84DD1">
              <w:t xml:space="preserve"> Error bars represent the 95 per cent confidence interval associated with each point estimate.</w:t>
            </w:r>
          </w:p>
        </w:tc>
      </w:tr>
      <w:tr w:rsidR="00504AE9" w:rsidRPr="00176D3F" w:rsidTr="00DD33DF">
        <w:tc>
          <w:tcPr>
            <w:tcW w:w="8771" w:type="dxa"/>
            <w:tcBorders>
              <w:top w:val="nil"/>
              <w:left w:val="nil"/>
              <w:bottom w:val="nil"/>
              <w:right w:val="nil"/>
            </w:tcBorders>
            <w:shd w:val="clear" w:color="auto" w:fill="auto"/>
          </w:tcPr>
          <w:p w:rsidR="00504AE9" w:rsidRPr="00A84DD1" w:rsidRDefault="00504AE9" w:rsidP="000748BE">
            <w:pPr>
              <w:pStyle w:val="Source"/>
              <w:rPr>
                <w:szCs w:val="26"/>
              </w:rPr>
            </w:pPr>
            <w:r w:rsidRPr="00A84DD1">
              <w:rPr>
                <w:i/>
              </w:rPr>
              <w:t>Source</w:t>
            </w:r>
            <w:r w:rsidRPr="00A84DD1">
              <w:t xml:space="preserve">: ABS (unpublished) </w:t>
            </w:r>
            <w:r w:rsidRPr="00A84DD1">
              <w:rPr>
                <w:i/>
              </w:rPr>
              <w:t>Survey of Disability, Ageing and Carers, 2012</w:t>
            </w:r>
            <w:r w:rsidR="00044F4B">
              <w:rPr>
                <w:i/>
              </w:rPr>
              <w:t>,</w:t>
            </w:r>
            <w:r w:rsidRPr="00A84DD1">
              <w:t xml:space="preserve"> tables</w:t>
            </w:r>
            <w:r w:rsidR="00AE3578">
              <w:t> </w:t>
            </w:r>
            <w:r w:rsidRPr="00A84DD1">
              <w:t>14A.</w:t>
            </w:r>
            <w:r w:rsidR="00B02A7D" w:rsidRPr="00A84DD1">
              <w:t>1</w:t>
            </w:r>
            <w:r w:rsidR="000748BE">
              <w:t>10</w:t>
            </w:r>
            <w:r w:rsidR="00B02A7D" w:rsidRPr="00A84DD1">
              <w:t xml:space="preserve"> </w:t>
            </w:r>
            <w:r w:rsidRPr="00A84DD1">
              <w:t>and 14A.</w:t>
            </w:r>
            <w:r w:rsidR="00B02A7D" w:rsidRPr="00A84DD1">
              <w:t>1</w:t>
            </w:r>
            <w:r w:rsidR="00B02A7D">
              <w:t>1</w:t>
            </w:r>
            <w:r w:rsidR="000748BE">
              <w:t>2</w:t>
            </w:r>
            <w:r w:rsidRPr="00A84DD1">
              <w:t xml:space="preserve">. </w:t>
            </w:r>
          </w:p>
        </w:tc>
      </w:tr>
      <w:tr w:rsidR="00504AE9" w:rsidTr="00DD33DF">
        <w:tc>
          <w:tcPr>
            <w:tcW w:w="8771" w:type="dxa"/>
            <w:tcBorders>
              <w:top w:val="nil"/>
              <w:left w:val="nil"/>
              <w:bottom w:val="single" w:sz="6" w:space="0" w:color="78A22F"/>
              <w:right w:val="nil"/>
            </w:tcBorders>
            <w:shd w:val="clear" w:color="auto" w:fill="auto"/>
          </w:tcPr>
          <w:p w:rsidR="00504AE9" w:rsidRDefault="00504AE9" w:rsidP="00DD33DF">
            <w:pPr>
              <w:pStyle w:val="Figurespace"/>
            </w:pPr>
          </w:p>
        </w:tc>
      </w:tr>
      <w:tr w:rsidR="00504AE9" w:rsidRPr="000863A5" w:rsidTr="00DD33DF">
        <w:tc>
          <w:tcPr>
            <w:tcW w:w="8771" w:type="dxa"/>
            <w:tcBorders>
              <w:top w:val="single" w:sz="6" w:space="0" w:color="78A22F"/>
              <w:left w:val="nil"/>
              <w:bottom w:val="nil"/>
              <w:right w:val="nil"/>
            </w:tcBorders>
          </w:tcPr>
          <w:p w:rsidR="00504AE9" w:rsidRPr="00626D32" w:rsidRDefault="00504AE9" w:rsidP="00DD33DF">
            <w:pPr>
              <w:pStyle w:val="BoxSpaceBelow"/>
            </w:pPr>
          </w:p>
        </w:tc>
      </w:tr>
    </w:tbl>
    <w:p w:rsidR="001F39F2" w:rsidRPr="000E51C9" w:rsidRDefault="001F39F2" w:rsidP="006C5F8E">
      <w:pPr>
        <w:pStyle w:val="Heading5"/>
      </w:pPr>
      <w:r w:rsidRPr="000E51C9">
        <w:t>Social participation of people with disability</w:t>
      </w:r>
    </w:p>
    <w:p w:rsidR="00D66996" w:rsidRDefault="001F39F2" w:rsidP="00626A1F">
      <w:pPr>
        <w:pStyle w:val="BodyText"/>
        <w:rPr>
          <w:szCs w:val="26"/>
        </w:rPr>
      </w:pPr>
      <w:r w:rsidRPr="000E51C9">
        <w:t>‘Social participation of people with disability’ is an indicator of governments’ objective to assist people with disability to live as valued and participating members of the community (box</w:t>
      </w:r>
      <w:r w:rsidR="00AE3578">
        <w:t> </w:t>
      </w:r>
      <w:r w:rsidRPr="000E51C9">
        <w:t>14.</w:t>
      </w:r>
      <w:r w:rsidR="00525A0A" w:rsidRPr="000E51C9">
        <w:t>22</w:t>
      </w:r>
      <w:r w:rsidRPr="000E51C9">
        <w:t>).</w:t>
      </w:r>
    </w:p>
    <w:p w:rsidR="006A5970" w:rsidRDefault="006A5970" w:rsidP="000B2C51">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5970" w:rsidTr="00730EA6">
        <w:tc>
          <w:tcPr>
            <w:tcW w:w="8771" w:type="dxa"/>
            <w:tcBorders>
              <w:top w:val="single" w:sz="6" w:space="0" w:color="78A22F"/>
              <w:left w:val="nil"/>
              <w:bottom w:val="nil"/>
              <w:right w:val="nil"/>
            </w:tcBorders>
            <w:shd w:val="clear" w:color="auto" w:fill="F2F2F2"/>
          </w:tcPr>
          <w:p w:rsidR="006A5970" w:rsidRDefault="006A5970" w:rsidP="000B2C51">
            <w:pPr>
              <w:pStyle w:val="BoxTitle"/>
            </w:pPr>
            <w:r>
              <w:rPr>
                <w:b w:val="0"/>
              </w:rPr>
              <w:t xml:space="preserve">Box </w:t>
            </w:r>
            <w:r w:rsidR="00321568">
              <w:rPr>
                <w:b w:val="0"/>
              </w:rPr>
              <w:t>14.</w:t>
            </w:r>
            <w:r w:rsidR="0085284B">
              <w:rPr>
                <w:b w:val="0"/>
                <w:noProof/>
              </w:rPr>
              <w:t>22</w:t>
            </w:r>
            <w:r>
              <w:tab/>
            </w:r>
            <w:r w:rsidRPr="00D66996">
              <w:t>Social participation of people with disability</w:t>
            </w:r>
          </w:p>
        </w:tc>
      </w:tr>
      <w:tr w:rsidR="006A5970" w:rsidTr="00730EA6">
        <w:trPr>
          <w:cantSplit/>
        </w:trPr>
        <w:tc>
          <w:tcPr>
            <w:tcW w:w="8771" w:type="dxa"/>
            <w:tcBorders>
              <w:top w:val="nil"/>
              <w:left w:val="nil"/>
              <w:bottom w:val="nil"/>
              <w:right w:val="nil"/>
            </w:tcBorders>
            <w:shd w:val="clear" w:color="auto" w:fill="F2F2F2"/>
          </w:tcPr>
          <w:p w:rsidR="006A5970" w:rsidRPr="00D66996" w:rsidRDefault="006A5970" w:rsidP="000B2C51">
            <w:pPr>
              <w:pStyle w:val="Box"/>
            </w:pPr>
            <w:r w:rsidRPr="00D66996">
              <w:t xml:space="preserve">‘Social participation of people with disability’ is defined as the proportion of people who participate in selected social or community activities by disability status: </w:t>
            </w:r>
          </w:p>
          <w:p w:rsidR="006A5970" w:rsidRPr="00D66996" w:rsidRDefault="006A5970" w:rsidP="000B2C51">
            <w:pPr>
              <w:pStyle w:val="BoxListBullet"/>
              <w:spacing w:before="120"/>
            </w:pPr>
            <w:r w:rsidRPr="00D66996">
              <w:t>profound or severe core activity limitation</w:t>
            </w:r>
          </w:p>
          <w:p w:rsidR="006A5970" w:rsidRPr="00D66996" w:rsidRDefault="006A5970" w:rsidP="000B2C51">
            <w:pPr>
              <w:pStyle w:val="BoxListBullet"/>
              <w:spacing w:before="120"/>
            </w:pPr>
            <w:proofErr w:type="gramStart"/>
            <w:r w:rsidRPr="00D66996">
              <w:t>other</w:t>
            </w:r>
            <w:proofErr w:type="gramEnd"/>
            <w:r w:rsidRPr="00D66996">
              <w:t xml:space="preserve"> disability.</w:t>
            </w:r>
          </w:p>
          <w:p w:rsidR="006A5970" w:rsidRPr="00D66996" w:rsidRDefault="006A5970" w:rsidP="000B2C51">
            <w:pPr>
              <w:pStyle w:val="Box"/>
            </w:pPr>
            <w:r w:rsidRPr="00D66996">
              <w:t xml:space="preserve">A high or increasing proportion of people with disability who participate in social or </w:t>
            </w:r>
            <w:proofErr w:type="gramStart"/>
            <w:r w:rsidRPr="00D66996">
              <w:t>community activities reflects</w:t>
            </w:r>
            <w:proofErr w:type="gramEnd"/>
            <w:r w:rsidRPr="00D66996">
              <w:t xml:space="preserve"> their greater inclusion in the community. </w:t>
            </w:r>
          </w:p>
          <w:p w:rsidR="006A5970" w:rsidRPr="00D66996" w:rsidRDefault="006A5970" w:rsidP="000B2C51">
            <w:pPr>
              <w:pStyle w:val="Box"/>
            </w:pPr>
            <w:r w:rsidRPr="00D66996">
              <w:t>This indicator does</w:t>
            </w:r>
            <w:r w:rsidRPr="00D66996" w:rsidDel="00217352">
              <w:t xml:space="preserve"> </w:t>
            </w:r>
            <w:r w:rsidRPr="00D66996">
              <w:t>not provide information on the degree to which the identified types of social or community activities contribute to people’s quality of life. It also does not provide information on why some people did not participate.</w:t>
            </w:r>
          </w:p>
          <w:p w:rsidR="00265FEB" w:rsidRPr="003649E8" w:rsidRDefault="00265FEB" w:rsidP="00265FEB">
            <w:pPr>
              <w:pStyle w:val="Box"/>
            </w:pPr>
            <w:r>
              <w:t>D</w:t>
            </w:r>
            <w:r w:rsidRPr="00DF5879">
              <w:t xml:space="preserve">ata </w:t>
            </w:r>
            <w:r w:rsidRPr="00060ADF">
              <w:t xml:space="preserve">reported for </w:t>
            </w:r>
            <w:r w:rsidRPr="00E340C1">
              <w:t>this measure are</w:t>
            </w:r>
            <w:r w:rsidRPr="003649E8">
              <w:t>:</w:t>
            </w:r>
          </w:p>
          <w:p w:rsidR="00265FEB" w:rsidRPr="00AE3578" w:rsidRDefault="00265FEB" w:rsidP="00265FEB">
            <w:pPr>
              <w:pStyle w:val="BoxListBullet"/>
            </w:pPr>
            <w:r w:rsidRPr="00B6625A">
              <w:rPr>
                <w:lang w:eastAsia="en-US"/>
              </w:rPr>
              <w:t xml:space="preserve">comparable </w:t>
            </w:r>
            <w:r>
              <w:rPr>
                <w:lang w:eastAsia="en-US"/>
              </w:rPr>
              <w:t>across</w:t>
            </w:r>
            <w:r w:rsidRPr="00B6625A">
              <w:rPr>
                <w:lang w:eastAsia="en-US"/>
              </w:rPr>
              <w:t xml:space="preserve"> jurisdictions </w:t>
            </w:r>
            <w:r w:rsidR="00C74D58">
              <w:rPr>
                <w:lang w:eastAsia="en-US"/>
              </w:rPr>
              <w:t>and over time</w:t>
            </w:r>
          </w:p>
          <w:p w:rsidR="00265FEB" w:rsidRPr="00E340C1" w:rsidRDefault="00265FEB" w:rsidP="00265FEB">
            <w:pPr>
              <w:pStyle w:val="BoxListBullet"/>
              <w:rPr>
                <w:lang w:eastAsia="en-US"/>
              </w:rPr>
            </w:pPr>
            <w:proofErr w:type="gramStart"/>
            <w:r w:rsidRPr="00E340C1">
              <w:rPr>
                <w:lang w:eastAsia="en-US"/>
              </w:rPr>
              <w:t>complete</w:t>
            </w:r>
            <w:proofErr w:type="gramEnd"/>
            <w:r w:rsidRPr="00E340C1">
              <w:rPr>
                <w:lang w:eastAsia="en-US"/>
              </w:rPr>
              <w:t xml:space="preserve"> (subject to caveats) for the current reporting period. </w:t>
            </w:r>
          </w:p>
          <w:p w:rsidR="006A5970" w:rsidRDefault="00802A7D" w:rsidP="000B2C51">
            <w:pPr>
              <w:pStyle w:val="Box"/>
            </w:pPr>
            <w:r w:rsidRPr="00802A7D">
              <w:t>Data quality information for this indicator</w:t>
            </w:r>
            <w:r w:rsidR="0028432F">
              <w:t xml:space="preserve"> is at www.pc.gov.au</w:t>
            </w:r>
            <w:r w:rsidRPr="00802A7D">
              <w:t>/rogs/2015.</w:t>
            </w:r>
          </w:p>
        </w:tc>
      </w:tr>
      <w:tr w:rsidR="006A5970" w:rsidTr="00730EA6">
        <w:trPr>
          <w:cantSplit/>
        </w:trPr>
        <w:tc>
          <w:tcPr>
            <w:tcW w:w="8771" w:type="dxa"/>
            <w:tcBorders>
              <w:top w:val="nil"/>
              <w:left w:val="nil"/>
              <w:bottom w:val="single" w:sz="6" w:space="0" w:color="78A22F"/>
              <w:right w:val="nil"/>
            </w:tcBorders>
            <w:shd w:val="clear" w:color="auto" w:fill="F2F2F2"/>
          </w:tcPr>
          <w:p w:rsidR="006A5970" w:rsidRDefault="006A5970" w:rsidP="000B2C51">
            <w:pPr>
              <w:pStyle w:val="Box"/>
              <w:spacing w:before="0" w:line="120" w:lineRule="exact"/>
            </w:pPr>
          </w:p>
        </w:tc>
      </w:tr>
      <w:tr w:rsidR="006A5970" w:rsidRPr="000863A5" w:rsidTr="00730EA6">
        <w:tc>
          <w:tcPr>
            <w:tcW w:w="8771" w:type="dxa"/>
            <w:tcBorders>
              <w:top w:val="single" w:sz="6" w:space="0" w:color="78A22F"/>
              <w:left w:val="nil"/>
              <w:bottom w:val="nil"/>
              <w:right w:val="nil"/>
            </w:tcBorders>
          </w:tcPr>
          <w:p w:rsidR="006A5970" w:rsidRPr="00626D32" w:rsidRDefault="006A5970" w:rsidP="000B2C51">
            <w:pPr>
              <w:pStyle w:val="BoxSpaceBelow"/>
              <w:keepNext/>
            </w:pPr>
          </w:p>
        </w:tc>
      </w:tr>
    </w:tbl>
    <w:p w:rsidR="001F39F2" w:rsidRPr="000E51C9" w:rsidRDefault="001F39F2" w:rsidP="00626A1F">
      <w:pPr>
        <w:pStyle w:val="BodyText"/>
        <w:rPr>
          <w:szCs w:val="26"/>
        </w:rPr>
      </w:pPr>
      <w:r w:rsidRPr="000E51C9">
        <w:rPr>
          <w:szCs w:val="26"/>
        </w:rPr>
        <w:t xml:space="preserve">Nationally in </w:t>
      </w:r>
      <w:r w:rsidR="00AB7E39" w:rsidRPr="000E51C9">
        <w:rPr>
          <w:szCs w:val="26"/>
        </w:rPr>
        <w:t>20</w:t>
      </w:r>
      <w:r w:rsidR="00B451AF" w:rsidRPr="000E51C9">
        <w:rPr>
          <w:szCs w:val="26"/>
        </w:rPr>
        <w:t>12</w:t>
      </w:r>
      <w:r w:rsidRPr="000E51C9">
        <w:rPr>
          <w:szCs w:val="26"/>
        </w:rPr>
        <w:t xml:space="preserve">, the estimated proportion of people </w:t>
      </w:r>
      <w:r w:rsidRPr="000E51C9">
        <w:t xml:space="preserve">with disability aged </w:t>
      </w:r>
      <w:r w:rsidR="00AB7E39" w:rsidRPr="000E51C9">
        <w:rPr>
          <w:szCs w:val="26"/>
        </w:rPr>
        <w:t>1</w:t>
      </w:r>
      <w:r w:rsidR="00B451AF" w:rsidRPr="000E51C9">
        <w:rPr>
          <w:szCs w:val="26"/>
        </w:rPr>
        <w:t>5</w:t>
      </w:r>
      <w:r w:rsidR="00427C2A" w:rsidRPr="000E51C9">
        <w:rPr>
          <w:szCs w:val="26"/>
        </w:rPr>
        <w:noBreakHyphen/>
      </w:r>
      <w:r w:rsidR="000E231C" w:rsidRPr="000E51C9">
        <w:rPr>
          <w:szCs w:val="26"/>
        </w:rPr>
        <w:t>64 </w:t>
      </w:r>
      <w:r w:rsidRPr="000E51C9">
        <w:rPr>
          <w:szCs w:val="26"/>
        </w:rPr>
        <w:t>years with a profound or severe disability who had face</w:t>
      </w:r>
      <w:r w:rsidR="00B84AF2">
        <w:rPr>
          <w:szCs w:val="26"/>
        </w:rPr>
        <w:noBreakHyphen/>
      </w:r>
      <w:r w:rsidRPr="000E51C9">
        <w:rPr>
          <w:szCs w:val="26"/>
        </w:rPr>
        <w:t>to</w:t>
      </w:r>
      <w:r w:rsidR="00B84AF2">
        <w:rPr>
          <w:szCs w:val="26"/>
        </w:rPr>
        <w:noBreakHyphen/>
      </w:r>
      <w:r w:rsidRPr="000E51C9">
        <w:rPr>
          <w:szCs w:val="26"/>
        </w:rPr>
        <w:t xml:space="preserve">face contact with </w:t>
      </w:r>
      <w:r w:rsidR="00B451AF" w:rsidRPr="000E51C9">
        <w:rPr>
          <w:szCs w:val="26"/>
        </w:rPr>
        <w:t>ex</w:t>
      </w:r>
      <w:r w:rsidR="00B84AF2">
        <w:rPr>
          <w:szCs w:val="26"/>
        </w:rPr>
        <w:noBreakHyphen/>
      </w:r>
      <w:r w:rsidR="00B451AF" w:rsidRPr="000E51C9">
        <w:rPr>
          <w:szCs w:val="26"/>
        </w:rPr>
        <w:t xml:space="preserve">household </w:t>
      </w:r>
      <w:r w:rsidRPr="000E51C9">
        <w:rPr>
          <w:szCs w:val="26"/>
        </w:rPr>
        <w:t xml:space="preserve">family or friends </w:t>
      </w:r>
      <w:r w:rsidR="00B451AF" w:rsidRPr="000E51C9">
        <w:rPr>
          <w:szCs w:val="26"/>
        </w:rPr>
        <w:t xml:space="preserve">in the previous week </w:t>
      </w:r>
      <w:r w:rsidRPr="000E51C9">
        <w:rPr>
          <w:szCs w:val="26"/>
        </w:rPr>
        <w:t>(</w:t>
      </w:r>
      <w:r w:rsidR="00643BA6" w:rsidRPr="000E51C9">
        <w:rPr>
          <w:szCs w:val="26"/>
        </w:rPr>
        <w:t>70.6</w:t>
      </w:r>
      <w:r w:rsidRPr="000E51C9">
        <w:rPr>
          <w:szCs w:val="26"/>
        </w:rPr>
        <w:t xml:space="preserve"> ± </w:t>
      </w:r>
      <w:r w:rsidR="00643BA6" w:rsidRPr="000E51C9">
        <w:rPr>
          <w:szCs w:val="26"/>
        </w:rPr>
        <w:t>2.6</w:t>
      </w:r>
      <w:r w:rsidRPr="000E51C9">
        <w:rPr>
          <w:szCs w:val="26"/>
        </w:rPr>
        <w:t xml:space="preserve"> </w:t>
      </w:r>
      <w:r w:rsidRPr="000E51C9">
        <w:t xml:space="preserve">per cent) was </w:t>
      </w:r>
      <w:r w:rsidRPr="000E51C9">
        <w:rPr>
          <w:szCs w:val="26"/>
        </w:rPr>
        <w:t>lower than the rate for people with disability without a profound or severe core activity limitation (</w:t>
      </w:r>
      <w:r w:rsidR="00643BA6" w:rsidRPr="000E51C9">
        <w:rPr>
          <w:szCs w:val="26"/>
        </w:rPr>
        <w:t>75.4</w:t>
      </w:r>
      <w:r w:rsidRPr="000E51C9">
        <w:rPr>
          <w:szCs w:val="26"/>
        </w:rPr>
        <w:t xml:space="preserve"> ± </w:t>
      </w:r>
      <w:r w:rsidR="00643BA6" w:rsidRPr="000E51C9">
        <w:rPr>
          <w:szCs w:val="26"/>
        </w:rPr>
        <w:t>1.5</w:t>
      </w:r>
      <w:r w:rsidRPr="000E51C9">
        <w:rPr>
          <w:szCs w:val="26"/>
        </w:rPr>
        <w:t xml:space="preserve"> per cent) (figure</w:t>
      </w:r>
      <w:r w:rsidR="00AE3578">
        <w:rPr>
          <w:szCs w:val="26"/>
        </w:rPr>
        <w:t> </w:t>
      </w:r>
      <w:r w:rsidRPr="000E51C9">
        <w:rPr>
          <w:szCs w:val="26"/>
        </w:rPr>
        <w:t>14.</w:t>
      </w:r>
      <w:r w:rsidR="00AD44D5" w:rsidRPr="000E51C9">
        <w:rPr>
          <w:szCs w:val="26"/>
        </w:rPr>
        <w:t>3</w:t>
      </w:r>
      <w:r w:rsidR="00FE0B9E">
        <w:rPr>
          <w:szCs w:val="26"/>
        </w:rPr>
        <w:t>8</w:t>
      </w:r>
      <w:r w:rsidRPr="000E51C9">
        <w:rPr>
          <w:szCs w:val="26"/>
        </w:rPr>
        <w:t>).</w:t>
      </w:r>
    </w:p>
    <w:p w:rsidR="003D5C7D" w:rsidRDefault="003D5C7D"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D5C7D" w:rsidTr="000B2C51">
        <w:trPr>
          <w:cantSplit/>
        </w:trPr>
        <w:tc>
          <w:tcPr>
            <w:tcW w:w="8771" w:type="dxa"/>
            <w:tcBorders>
              <w:top w:val="single" w:sz="6" w:space="0" w:color="78A22F"/>
              <w:left w:val="nil"/>
              <w:bottom w:val="nil"/>
              <w:right w:val="nil"/>
            </w:tcBorders>
            <w:shd w:val="clear" w:color="auto" w:fill="auto"/>
          </w:tcPr>
          <w:p w:rsidR="003D5C7D" w:rsidRPr="00176D3F" w:rsidRDefault="003D5C7D" w:rsidP="003D5C7D">
            <w:pPr>
              <w:pStyle w:val="FigureTitle"/>
            </w:pPr>
            <w:r w:rsidRPr="00784A05">
              <w:rPr>
                <w:b w:val="0"/>
              </w:rPr>
              <w:t xml:space="preserve">Figure </w:t>
            </w:r>
            <w:r w:rsidR="00321568">
              <w:rPr>
                <w:b w:val="0"/>
              </w:rPr>
              <w:t>14.</w:t>
            </w:r>
            <w:r w:rsidR="0085284B">
              <w:rPr>
                <w:b w:val="0"/>
                <w:noProof/>
              </w:rPr>
              <w:t>38</w:t>
            </w:r>
            <w:r>
              <w:tab/>
            </w:r>
            <w:r w:rsidRPr="00D66996">
              <w:t>People with disability aged 15–64 years who had face</w:t>
            </w:r>
            <w:r w:rsidRPr="00D66996">
              <w:noBreakHyphen/>
              <w:t>to</w:t>
            </w:r>
            <w:r w:rsidRPr="00D66996">
              <w:noBreakHyphen/>
              <w:t>face contact with ex</w:t>
            </w:r>
            <w:r w:rsidR="00B84AF2">
              <w:noBreakHyphen/>
            </w:r>
            <w:r w:rsidRPr="00D66996">
              <w:t>household family or friends in the previous week, 2012</w:t>
            </w:r>
            <w:r w:rsidRPr="00D66996">
              <w:rPr>
                <w:rStyle w:val="NoteLabel"/>
                <w:b/>
              </w:rPr>
              <w:t>a, b, c</w:t>
            </w:r>
          </w:p>
        </w:tc>
      </w:tr>
      <w:tr w:rsidR="003D5C7D" w:rsidTr="000B2C51">
        <w:trPr>
          <w:cantSplit/>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3D5C7D" w:rsidTr="00DD33DF">
              <w:trPr>
                <w:jc w:val="center"/>
              </w:trPr>
              <w:tc>
                <w:tcPr>
                  <w:tcW w:w="5000" w:type="pct"/>
                  <w:tcBorders>
                    <w:top w:val="nil"/>
                    <w:bottom w:val="nil"/>
                  </w:tcBorders>
                </w:tcPr>
                <w:p w:rsidR="003D5C7D" w:rsidRDefault="003F5744" w:rsidP="00DD33DF">
                  <w:pPr>
                    <w:pStyle w:val="Figure"/>
                    <w:spacing w:before="60" w:after="60"/>
                  </w:pPr>
                  <w:r>
                    <w:rPr>
                      <w:noProof/>
                    </w:rPr>
                    <w:drawing>
                      <wp:inline distT="0" distB="0" distL="0" distR="0">
                        <wp:extent cx="5238750" cy="2686050"/>
                        <wp:effectExtent l="0" t="0" r="0" b="0"/>
                        <wp:docPr id="73" name="Picture 73" descr="Figure 14.38 People with disability aged 15–64 years who had face to face contact with ex household family or friends in the previous week,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3D5C7D" w:rsidRDefault="003D5C7D" w:rsidP="00DD33DF">
            <w:pPr>
              <w:pStyle w:val="Figure"/>
            </w:pPr>
          </w:p>
        </w:tc>
      </w:tr>
      <w:tr w:rsidR="003D5C7D" w:rsidRPr="00176D3F" w:rsidTr="000B2C51">
        <w:trPr>
          <w:cantSplit/>
        </w:trPr>
        <w:tc>
          <w:tcPr>
            <w:tcW w:w="8771" w:type="dxa"/>
            <w:tcBorders>
              <w:top w:val="nil"/>
              <w:left w:val="nil"/>
              <w:bottom w:val="nil"/>
              <w:right w:val="nil"/>
            </w:tcBorders>
            <w:shd w:val="clear" w:color="auto" w:fill="auto"/>
          </w:tcPr>
          <w:p w:rsidR="003D5C7D" w:rsidRPr="00176D3F" w:rsidRDefault="003D5C7D" w:rsidP="00DD33DF">
            <w:pPr>
              <w:pStyle w:val="Note"/>
            </w:pPr>
            <w:proofErr w:type="gramStart"/>
            <w:r w:rsidRPr="00D66996">
              <w:rPr>
                <w:rStyle w:val="NoteLabel"/>
              </w:rPr>
              <w:t>a</w:t>
            </w:r>
            <w:proofErr w:type="gramEnd"/>
            <w:r w:rsidRPr="00D66996">
              <w:t xml:space="preserve"> For people aged 15</w:t>
            </w:r>
            <w:r w:rsidRPr="00D66996">
              <w:rPr>
                <w:szCs w:val="26"/>
              </w:rPr>
              <w:t>–6</w:t>
            </w:r>
            <w:r w:rsidRPr="00D66996">
              <w:t xml:space="preserve">4 years, living in households. </w:t>
            </w:r>
            <w:proofErr w:type="gramStart"/>
            <w:r w:rsidRPr="00D66996">
              <w:rPr>
                <w:rStyle w:val="NoteLabel"/>
              </w:rPr>
              <w:t>b</w:t>
            </w:r>
            <w:proofErr w:type="gramEnd"/>
            <w:r w:rsidRPr="00D66996">
              <w:t xml:space="preserve"> Profound or severe core activity limitation refers to always or sometimes needing assistance with one or more of the core activities. Core activities comprise communication, mobility and </w:t>
            </w:r>
            <w:r w:rsidR="00BD1F59" w:rsidRPr="00D66996">
              <w:t>self</w:t>
            </w:r>
            <w:r w:rsidR="00B84AF2">
              <w:noBreakHyphen/>
            </w:r>
            <w:r w:rsidR="00BD1F59" w:rsidRPr="00D66996">
              <w:t>care</w:t>
            </w:r>
            <w:r w:rsidRPr="00D66996">
              <w:t xml:space="preserve">. </w:t>
            </w:r>
            <w:proofErr w:type="gramStart"/>
            <w:r w:rsidRPr="00D66996">
              <w:rPr>
                <w:rStyle w:val="NoteLabel"/>
              </w:rPr>
              <w:t>c</w:t>
            </w:r>
            <w:proofErr w:type="gramEnd"/>
            <w:r w:rsidRPr="00D66996">
              <w:t xml:space="preserve"> Error bars represent the 95 per cent confidence interval assoc</w:t>
            </w:r>
            <w:r w:rsidR="000B2C51">
              <w:t>iated with each point estimate.</w:t>
            </w:r>
          </w:p>
        </w:tc>
      </w:tr>
      <w:tr w:rsidR="003D5C7D" w:rsidRPr="00176D3F" w:rsidTr="000B2C51">
        <w:trPr>
          <w:cantSplit/>
        </w:trPr>
        <w:tc>
          <w:tcPr>
            <w:tcW w:w="8771" w:type="dxa"/>
            <w:tcBorders>
              <w:top w:val="nil"/>
              <w:left w:val="nil"/>
              <w:bottom w:val="nil"/>
              <w:right w:val="nil"/>
            </w:tcBorders>
            <w:shd w:val="clear" w:color="auto" w:fill="auto"/>
          </w:tcPr>
          <w:p w:rsidR="003D5C7D" w:rsidRPr="00176D3F" w:rsidRDefault="003D5C7D" w:rsidP="00AE3578">
            <w:pPr>
              <w:pStyle w:val="Source"/>
            </w:pPr>
            <w:r w:rsidRPr="00D66996">
              <w:rPr>
                <w:i/>
              </w:rPr>
              <w:t>Source</w:t>
            </w:r>
            <w:r w:rsidRPr="00D66996">
              <w:t xml:space="preserve">: ABS (unpublished) </w:t>
            </w:r>
            <w:r w:rsidR="00044F4B" w:rsidRPr="00A84DD1">
              <w:rPr>
                <w:i/>
              </w:rPr>
              <w:t>Survey of Disability, Ageing and Carers, 2012</w:t>
            </w:r>
            <w:r w:rsidR="00044F4B">
              <w:rPr>
                <w:i/>
              </w:rPr>
              <w:t xml:space="preserve">; </w:t>
            </w:r>
            <w:r w:rsidRPr="00D66996">
              <w:t>table</w:t>
            </w:r>
            <w:r w:rsidR="00AE3578">
              <w:t> </w:t>
            </w:r>
            <w:r w:rsidRPr="00D66996">
              <w:t>14A.1</w:t>
            </w:r>
            <w:r w:rsidR="00B02A7D">
              <w:t>2</w:t>
            </w:r>
            <w:r w:rsidR="00AE3578">
              <w:t>.</w:t>
            </w:r>
          </w:p>
        </w:tc>
      </w:tr>
      <w:tr w:rsidR="003D5C7D" w:rsidTr="000B2C51">
        <w:trPr>
          <w:cantSplit/>
        </w:trPr>
        <w:tc>
          <w:tcPr>
            <w:tcW w:w="8771" w:type="dxa"/>
            <w:tcBorders>
              <w:top w:val="nil"/>
              <w:left w:val="nil"/>
              <w:bottom w:val="single" w:sz="6" w:space="0" w:color="78A22F"/>
              <w:right w:val="nil"/>
            </w:tcBorders>
            <w:shd w:val="clear" w:color="auto" w:fill="auto"/>
          </w:tcPr>
          <w:p w:rsidR="003D5C7D" w:rsidRDefault="003D5C7D" w:rsidP="00DD33DF">
            <w:pPr>
              <w:pStyle w:val="Figurespace"/>
            </w:pPr>
          </w:p>
        </w:tc>
      </w:tr>
      <w:tr w:rsidR="003D5C7D" w:rsidRPr="000863A5" w:rsidTr="000B2C51">
        <w:trPr>
          <w:cantSplit/>
        </w:trPr>
        <w:tc>
          <w:tcPr>
            <w:tcW w:w="8771" w:type="dxa"/>
            <w:tcBorders>
              <w:top w:val="single" w:sz="6" w:space="0" w:color="78A22F"/>
              <w:left w:val="nil"/>
              <w:bottom w:val="nil"/>
              <w:right w:val="nil"/>
            </w:tcBorders>
          </w:tcPr>
          <w:p w:rsidR="003D5C7D" w:rsidRPr="00626D32" w:rsidRDefault="003D5C7D" w:rsidP="00DD33DF">
            <w:pPr>
              <w:pStyle w:val="BoxSpaceBelow"/>
            </w:pPr>
          </w:p>
        </w:tc>
      </w:tr>
    </w:tbl>
    <w:p w:rsidR="009B249D" w:rsidRPr="00D66996" w:rsidRDefault="009B249D" w:rsidP="00626A1F">
      <w:pPr>
        <w:pStyle w:val="BodyText"/>
        <w:rPr>
          <w:szCs w:val="26"/>
        </w:rPr>
      </w:pPr>
      <w:r w:rsidRPr="00D66996">
        <w:rPr>
          <w:szCs w:val="26"/>
        </w:rPr>
        <w:t xml:space="preserve">Nationally in 2012, the estimated proportion of people </w:t>
      </w:r>
      <w:r w:rsidRPr="00D66996">
        <w:t xml:space="preserve">with disability aged </w:t>
      </w:r>
      <w:r w:rsidRPr="00D66996">
        <w:rPr>
          <w:szCs w:val="26"/>
        </w:rPr>
        <w:t>5</w:t>
      </w:r>
      <w:r w:rsidR="00F30597">
        <w:rPr>
          <w:szCs w:val="26"/>
        </w:rPr>
        <w:t>–</w:t>
      </w:r>
      <w:r w:rsidRPr="00D66996">
        <w:rPr>
          <w:szCs w:val="26"/>
        </w:rPr>
        <w:t xml:space="preserve">64 years with a profound or severe disability who </w:t>
      </w:r>
      <w:r w:rsidR="00C22158" w:rsidRPr="00D66996">
        <w:rPr>
          <w:szCs w:val="26"/>
        </w:rPr>
        <w:t xml:space="preserve">reported the main reason for not leaving home as often as they would like is their disability or condition </w:t>
      </w:r>
      <w:r w:rsidRPr="00D66996">
        <w:rPr>
          <w:szCs w:val="26"/>
        </w:rPr>
        <w:t>(</w:t>
      </w:r>
      <w:r w:rsidR="00C22158" w:rsidRPr="00D66996">
        <w:rPr>
          <w:szCs w:val="26"/>
        </w:rPr>
        <w:t>31.4 </w:t>
      </w:r>
      <w:r w:rsidRPr="00D66996">
        <w:rPr>
          <w:szCs w:val="26"/>
        </w:rPr>
        <w:t>±</w:t>
      </w:r>
      <w:r w:rsidR="00C22158" w:rsidRPr="00D66996">
        <w:rPr>
          <w:szCs w:val="26"/>
        </w:rPr>
        <w:t> 1.8 </w:t>
      </w:r>
      <w:r w:rsidRPr="00D66996">
        <w:t xml:space="preserve">per cent) was </w:t>
      </w:r>
      <w:r w:rsidR="00C22158" w:rsidRPr="00D66996">
        <w:t xml:space="preserve">significantly higher than </w:t>
      </w:r>
      <w:r w:rsidRPr="00D66996">
        <w:rPr>
          <w:szCs w:val="26"/>
        </w:rPr>
        <w:t>the rate for people with disability without a profound or severe core activity limitation (</w:t>
      </w:r>
      <w:r w:rsidR="00C22158" w:rsidRPr="00D66996">
        <w:rPr>
          <w:szCs w:val="26"/>
        </w:rPr>
        <w:t>8.2</w:t>
      </w:r>
      <w:r w:rsidRPr="00D66996">
        <w:rPr>
          <w:szCs w:val="26"/>
        </w:rPr>
        <w:t xml:space="preserve"> ± </w:t>
      </w:r>
      <w:r w:rsidR="00C22158" w:rsidRPr="00D66996">
        <w:rPr>
          <w:szCs w:val="26"/>
        </w:rPr>
        <w:t>1.0</w:t>
      </w:r>
      <w:r w:rsidRPr="00D66996">
        <w:rPr>
          <w:szCs w:val="26"/>
        </w:rPr>
        <w:t xml:space="preserve"> per cent) (figure</w:t>
      </w:r>
      <w:r w:rsidR="00AE3578">
        <w:rPr>
          <w:szCs w:val="26"/>
        </w:rPr>
        <w:t> </w:t>
      </w:r>
      <w:r w:rsidRPr="00D66996">
        <w:rPr>
          <w:szCs w:val="26"/>
        </w:rPr>
        <w:t>14.3</w:t>
      </w:r>
      <w:r w:rsidR="00FE0B9E">
        <w:rPr>
          <w:szCs w:val="26"/>
        </w:rPr>
        <w:t>9</w:t>
      </w:r>
      <w:r w:rsidRPr="00D66996">
        <w:rPr>
          <w:szCs w:val="26"/>
        </w:rPr>
        <w:t>).</w:t>
      </w:r>
    </w:p>
    <w:p w:rsidR="0028249F" w:rsidRPr="00060ADF" w:rsidRDefault="0028249F" w:rsidP="00626A1F">
      <w:pPr>
        <w:pStyle w:val="BodyText"/>
        <w:rPr>
          <w:szCs w:val="26"/>
        </w:rPr>
      </w:pPr>
      <w:r w:rsidRPr="00060ADF">
        <w:rPr>
          <w:szCs w:val="26"/>
        </w:rPr>
        <w:t xml:space="preserve">Other data on participation of people with disability in selected social and community activities are reported in </w:t>
      </w:r>
      <w:proofErr w:type="gramStart"/>
      <w:r w:rsidRPr="00060ADF">
        <w:rPr>
          <w:szCs w:val="26"/>
        </w:rPr>
        <w:t>tables</w:t>
      </w:r>
      <w:proofErr w:type="gramEnd"/>
      <w:r w:rsidR="00AE3578">
        <w:rPr>
          <w:szCs w:val="26"/>
        </w:rPr>
        <w:t> </w:t>
      </w:r>
      <w:r w:rsidRPr="00060ADF">
        <w:rPr>
          <w:szCs w:val="26"/>
        </w:rPr>
        <w:t>14A.</w:t>
      </w:r>
      <w:r w:rsidR="00B02A7D" w:rsidRPr="00060ADF">
        <w:rPr>
          <w:szCs w:val="26"/>
        </w:rPr>
        <w:t>1</w:t>
      </w:r>
      <w:r w:rsidR="00B02A7D">
        <w:rPr>
          <w:szCs w:val="26"/>
        </w:rPr>
        <w:t>2</w:t>
      </w:r>
      <w:r w:rsidR="000748BE">
        <w:rPr>
          <w:szCs w:val="26"/>
        </w:rPr>
        <w:t>4</w:t>
      </w:r>
      <w:r w:rsidRPr="00060ADF">
        <w:t>–1</w:t>
      </w:r>
      <w:r w:rsidR="00B02A7D">
        <w:t>3</w:t>
      </w:r>
      <w:r w:rsidR="000748BE">
        <w:t>2</w:t>
      </w:r>
      <w:r w:rsidRPr="00060ADF">
        <w:t>.</w:t>
      </w:r>
    </w:p>
    <w:p w:rsidR="00DD33DF" w:rsidRDefault="00DD33DF" w:rsidP="00DD33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33DF" w:rsidTr="00DD33DF">
        <w:tc>
          <w:tcPr>
            <w:tcW w:w="8771" w:type="dxa"/>
            <w:tcBorders>
              <w:top w:val="single" w:sz="6" w:space="0" w:color="78A22F"/>
              <w:left w:val="nil"/>
              <w:bottom w:val="nil"/>
              <w:right w:val="nil"/>
            </w:tcBorders>
            <w:shd w:val="clear" w:color="auto" w:fill="auto"/>
          </w:tcPr>
          <w:p w:rsidR="00DD33DF" w:rsidRPr="00176D3F" w:rsidRDefault="00DD33DF" w:rsidP="00636E5C">
            <w:pPr>
              <w:pStyle w:val="FigureTitle"/>
            </w:pPr>
            <w:r w:rsidRPr="00784A05">
              <w:rPr>
                <w:b w:val="0"/>
              </w:rPr>
              <w:t xml:space="preserve">Figure </w:t>
            </w:r>
            <w:r w:rsidR="00321568">
              <w:rPr>
                <w:b w:val="0"/>
              </w:rPr>
              <w:t>14.</w:t>
            </w:r>
            <w:r w:rsidR="0085284B">
              <w:rPr>
                <w:b w:val="0"/>
                <w:noProof/>
              </w:rPr>
              <w:t>39</w:t>
            </w:r>
            <w:r>
              <w:tab/>
            </w:r>
            <w:r w:rsidR="00636E5C" w:rsidRPr="003D2205">
              <w:t>People with disability aged 5–64 years who report the main reason for not leaving home as often as they would like is their disability or condition, by disability status, 2012</w:t>
            </w:r>
            <w:r w:rsidR="00636E5C" w:rsidRPr="003D2205">
              <w:rPr>
                <w:rStyle w:val="NoteLabel"/>
                <w:b/>
              </w:rPr>
              <w:t>a, b, c</w:t>
            </w:r>
          </w:p>
        </w:tc>
      </w:tr>
      <w:tr w:rsidR="00DD33DF"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D33DF" w:rsidTr="00DD33DF">
              <w:trPr>
                <w:jc w:val="center"/>
              </w:trPr>
              <w:tc>
                <w:tcPr>
                  <w:tcW w:w="5000" w:type="pct"/>
                  <w:tcBorders>
                    <w:top w:val="nil"/>
                    <w:bottom w:val="nil"/>
                  </w:tcBorders>
                </w:tcPr>
                <w:p w:rsidR="00DD33DF" w:rsidRDefault="003F5744" w:rsidP="00DD33DF">
                  <w:pPr>
                    <w:pStyle w:val="Figure"/>
                    <w:spacing w:before="60" w:after="60"/>
                  </w:pPr>
                  <w:r>
                    <w:rPr>
                      <w:noProof/>
                    </w:rPr>
                    <w:drawing>
                      <wp:inline distT="0" distB="0" distL="0" distR="0">
                        <wp:extent cx="5238750" cy="2686050"/>
                        <wp:effectExtent l="0" t="0" r="0" b="0"/>
                        <wp:docPr id="74" name="Picture 74" descr="Figure 14.39 People with disability aged 5–64 years who report the main reason for not leaving home as often as they would like is their disability or condition, by disability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DD33DF" w:rsidRDefault="00DD33DF" w:rsidP="00DD33DF">
            <w:pPr>
              <w:pStyle w:val="Figure"/>
            </w:pPr>
          </w:p>
        </w:tc>
      </w:tr>
      <w:tr w:rsidR="00DD33DF" w:rsidRPr="003D2205" w:rsidTr="00DD33DF">
        <w:tc>
          <w:tcPr>
            <w:tcW w:w="8771" w:type="dxa"/>
            <w:tcBorders>
              <w:top w:val="nil"/>
              <w:left w:val="nil"/>
              <w:bottom w:val="nil"/>
              <w:right w:val="nil"/>
            </w:tcBorders>
            <w:shd w:val="clear" w:color="auto" w:fill="auto"/>
          </w:tcPr>
          <w:p w:rsidR="00DD33DF" w:rsidRPr="003D2205" w:rsidRDefault="00636E5C" w:rsidP="00DD33DF">
            <w:pPr>
              <w:pStyle w:val="Note"/>
            </w:pPr>
            <w:proofErr w:type="gramStart"/>
            <w:r w:rsidRPr="003D2205">
              <w:rPr>
                <w:rStyle w:val="NoteLabel"/>
              </w:rPr>
              <w:t>a</w:t>
            </w:r>
            <w:proofErr w:type="gramEnd"/>
            <w:r w:rsidRPr="003D2205">
              <w:t xml:space="preserve"> For people aged 5</w:t>
            </w:r>
            <w:r w:rsidR="00B84AF2">
              <w:noBreakHyphen/>
            </w:r>
            <w:r w:rsidR="00235B9E">
              <w:t>6</w:t>
            </w:r>
            <w:r w:rsidRPr="003D2205">
              <w:t xml:space="preserve">4 years, living in households. </w:t>
            </w:r>
            <w:proofErr w:type="gramStart"/>
            <w:r w:rsidRPr="003D2205">
              <w:rPr>
                <w:rStyle w:val="NoteLabel"/>
              </w:rPr>
              <w:t>b</w:t>
            </w:r>
            <w:proofErr w:type="gramEnd"/>
            <w:r w:rsidRPr="003D2205">
              <w:t xml:space="preserve"> Profound or severe core activity limitation refers to always or sometimes needing assistance with one or more of the core activities. Core activities comprise communication, mobility and self care. </w:t>
            </w:r>
            <w:proofErr w:type="gramStart"/>
            <w:r w:rsidRPr="003D2205">
              <w:rPr>
                <w:rStyle w:val="NoteLabel"/>
              </w:rPr>
              <w:t>c</w:t>
            </w:r>
            <w:proofErr w:type="gramEnd"/>
            <w:r w:rsidRPr="003D2205">
              <w:t xml:space="preserve"> Error bars represent the 95 per cent confidence interval associated with each point estimate.</w:t>
            </w:r>
          </w:p>
        </w:tc>
      </w:tr>
      <w:tr w:rsidR="00DD33DF" w:rsidRPr="003D2205" w:rsidTr="00DD33DF">
        <w:tc>
          <w:tcPr>
            <w:tcW w:w="8771" w:type="dxa"/>
            <w:tcBorders>
              <w:top w:val="nil"/>
              <w:left w:val="nil"/>
              <w:bottom w:val="nil"/>
              <w:right w:val="nil"/>
            </w:tcBorders>
            <w:shd w:val="clear" w:color="auto" w:fill="auto"/>
          </w:tcPr>
          <w:p w:rsidR="00DD33DF" w:rsidRPr="003D2205" w:rsidRDefault="00636E5C" w:rsidP="00B02A7D">
            <w:pPr>
              <w:pStyle w:val="Source"/>
            </w:pPr>
            <w:r w:rsidRPr="003D2205">
              <w:rPr>
                <w:i/>
              </w:rPr>
              <w:t>Source</w:t>
            </w:r>
            <w:r w:rsidRPr="003D2205">
              <w:t xml:space="preserve">: ABS (unpublished) </w:t>
            </w:r>
            <w:r w:rsidR="00044F4B" w:rsidRPr="00A84DD1">
              <w:rPr>
                <w:i/>
              </w:rPr>
              <w:t>Survey of Disability, Ageing and Carers, 2012</w:t>
            </w:r>
            <w:r w:rsidR="00044F4B">
              <w:rPr>
                <w:i/>
              </w:rPr>
              <w:t>;</w:t>
            </w:r>
            <w:r w:rsidRPr="003D2205">
              <w:t xml:space="preserve"> table</w:t>
            </w:r>
            <w:r w:rsidR="00AE3578">
              <w:t> </w:t>
            </w:r>
            <w:r w:rsidRPr="003D2205">
              <w:t>14A.</w:t>
            </w:r>
            <w:r w:rsidR="00B02A7D" w:rsidRPr="003D2205">
              <w:t>1</w:t>
            </w:r>
            <w:r w:rsidR="00B02A7D">
              <w:t>3</w:t>
            </w:r>
            <w:r w:rsidR="000748BE">
              <w:t>4</w:t>
            </w:r>
            <w:r w:rsidRPr="003D2205">
              <w:t xml:space="preserve">. </w:t>
            </w:r>
          </w:p>
        </w:tc>
      </w:tr>
      <w:tr w:rsidR="00DD33DF" w:rsidTr="00DD33DF">
        <w:tc>
          <w:tcPr>
            <w:tcW w:w="8771" w:type="dxa"/>
            <w:tcBorders>
              <w:top w:val="nil"/>
              <w:left w:val="nil"/>
              <w:bottom w:val="single" w:sz="6" w:space="0" w:color="78A22F"/>
              <w:right w:val="nil"/>
            </w:tcBorders>
            <w:shd w:val="clear" w:color="auto" w:fill="auto"/>
          </w:tcPr>
          <w:p w:rsidR="00DD33DF" w:rsidRDefault="00DD33DF" w:rsidP="00DD33DF">
            <w:pPr>
              <w:pStyle w:val="Figurespace"/>
            </w:pPr>
          </w:p>
        </w:tc>
      </w:tr>
      <w:tr w:rsidR="00DD33DF" w:rsidRPr="000863A5" w:rsidTr="00DD33DF">
        <w:tc>
          <w:tcPr>
            <w:tcW w:w="8771" w:type="dxa"/>
            <w:tcBorders>
              <w:top w:val="single" w:sz="6" w:space="0" w:color="78A22F"/>
              <w:left w:val="nil"/>
              <w:bottom w:val="nil"/>
              <w:right w:val="nil"/>
            </w:tcBorders>
          </w:tcPr>
          <w:p w:rsidR="00DD33DF" w:rsidRPr="00626D32" w:rsidRDefault="00DD33DF" w:rsidP="00DD33DF">
            <w:pPr>
              <w:pStyle w:val="BoxSpaceBelow"/>
            </w:pPr>
          </w:p>
        </w:tc>
      </w:tr>
    </w:tbl>
    <w:p w:rsidR="001F39F2" w:rsidRPr="005721CF" w:rsidRDefault="001F39F2" w:rsidP="006C5F8E">
      <w:pPr>
        <w:pStyle w:val="Heading5"/>
      </w:pPr>
      <w:r w:rsidRPr="005721CF">
        <w:t>Use of other services by people with disability</w:t>
      </w:r>
    </w:p>
    <w:p w:rsidR="001F39F2" w:rsidRPr="005721CF" w:rsidRDefault="001F39F2" w:rsidP="00C31EEE">
      <w:pPr>
        <w:pStyle w:val="BodyText"/>
      </w:pPr>
      <w:r w:rsidRPr="005721CF">
        <w:t>‘Use of other services by people with disability’ is an indicator of governments’ objective of enhancing the quality of life experienced by people with disability by assisting them to gain access to mainstream government services (box</w:t>
      </w:r>
      <w:r w:rsidR="00AE3578">
        <w:t> </w:t>
      </w:r>
      <w:r w:rsidRPr="005721CF">
        <w:t>14.</w:t>
      </w:r>
      <w:r w:rsidR="00525A0A" w:rsidRPr="005721CF">
        <w:t>23</w:t>
      </w:r>
      <w:r w:rsidRPr="005721CF">
        <w:t>).</w:t>
      </w:r>
    </w:p>
    <w:p w:rsidR="006A5970" w:rsidRDefault="006A59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21CF" w:rsidRPr="005721CF" w:rsidTr="00730EA6">
        <w:tc>
          <w:tcPr>
            <w:tcW w:w="8771" w:type="dxa"/>
            <w:tcBorders>
              <w:top w:val="single" w:sz="6" w:space="0" w:color="78A22F"/>
              <w:left w:val="nil"/>
              <w:bottom w:val="nil"/>
              <w:right w:val="nil"/>
            </w:tcBorders>
            <w:shd w:val="clear" w:color="auto" w:fill="F2F2F2"/>
          </w:tcPr>
          <w:p w:rsidR="006A5970" w:rsidRPr="005721CF" w:rsidRDefault="006A5970" w:rsidP="006A5970">
            <w:pPr>
              <w:pStyle w:val="BoxTitle"/>
            </w:pPr>
            <w:r w:rsidRPr="005721CF">
              <w:rPr>
                <w:b w:val="0"/>
              </w:rPr>
              <w:t xml:space="preserve">Box </w:t>
            </w:r>
            <w:r w:rsidR="00321568">
              <w:rPr>
                <w:b w:val="0"/>
              </w:rPr>
              <w:t>14.</w:t>
            </w:r>
            <w:r w:rsidR="0085284B">
              <w:rPr>
                <w:b w:val="0"/>
                <w:noProof/>
              </w:rPr>
              <w:t>23</w:t>
            </w:r>
            <w:r w:rsidRPr="005721CF">
              <w:tab/>
              <w:t xml:space="preserve">Use of other services by people with disability </w:t>
            </w:r>
          </w:p>
        </w:tc>
      </w:tr>
      <w:tr w:rsidR="005721CF" w:rsidRPr="005721CF" w:rsidTr="00730EA6">
        <w:trPr>
          <w:cantSplit/>
        </w:trPr>
        <w:tc>
          <w:tcPr>
            <w:tcW w:w="8771" w:type="dxa"/>
            <w:tcBorders>
              <w:top w:val="nil"/>
              <w:left w:val="nil"/>
              <w:bottom w:val="nil"/>
              <w:right w:val="nil"/>
            </w:tcBorders>
            <w:shd w:val="clear" w:color="auto" w:fill="F2F2F2"/>
          </w:tcPr>
          <w:p w:rsidR="006A5970" w:rsidRPr="005721CF" w:rsidRDefault="000F24CE" w:rsidP="00060ADF">
            <w:pPr>
              <w:pStyle w:val="Box"/>
              <w:rPr>
                <w:lang w:eastAsia="en-US"/>
              </w:rPr>
            </w:pPr>
            <w:r>
              <w:rPr>
                <w:lang w:eastAsia="en-US"/>
              </w:rPr>
              <w:t xml:space="preserve">‘Use of other services by people with disability’ is yet to be defined and reported on a consistent basis. </w:t>
            </w:r>
          </w:p>
          <w:p w:rsidR="006A5970" w:rsidRPr="005721CF" w:rsidRDefault="006A5970">
            <w:pPr>
              <w:pStyle w:val="Box"/>
            </w:pPr>
            <w:r w:rsidRPr="005721CF">
              <w:t xml:space="preserve">A higher or increasing proportion of people with disability who use mainstream government services </w:t>
            </w:r>
            <w:proofErr w:type="gramStart"/>
            <w:r w:rsidRPr="005721CF">
              <w:t>suggests</w:t>
            </w:r>
            <w:proofErr w:type="gramEnd"/>
            <w:r w:rsidRPr="005721CF">
              <w:t xml:space="preserve"> greater access to these services. </w:t>
            </w:r>
          </w:p>
          <w:p w:rsidR="006A5970" w:rsidRPr="005721CF" w:rsidRDefault="006A5970">
            <w:pPr>
              <w:pStyle w:val="Box"/>
            </w:pPr>
            <w:r w:rsidRPr="005721CF">
              <w:t>This indicator does</w:t>
            </w:r>
            <w:r w:rsidRPr="005721CF" w:rsidDel="00217352">
              <w:t xml:space="preserve"> </w:t>
            </w:r>
            <w:r w:rsidRPr="005721CF">
              <w:t xml:space="preserve">not provide information on whether the service accessed is the most appropriate, or the degree to which the service contributes to people’s quality of life. It also does not provide information on why some people do not access </w:t>
            </w:r>
            <w:r w:rsidR="000F24CE">
              <w:t>mainstream</w:t>
            </w:r>
            <w:r w:rsidRPr="005721CF">
              <w:t xml:space="preserve"> services.</w:t>
            </w:r>
          </w:p>
          <w:p w:rsidR="006A5970" w:rsidRPr="005721CF" w:rsidRDefault="006A5970">
            <w:pPr>
              <w:pStyle w:val="Box"/>
            </w:pPr>
            <w:r w:rsidRPr="005721CF">
              <w:t>Data for this indicator were not available for the 201</w:t>
            </w:r>
            <w:r w:rsidR="001A0C68">
              <w:t>5</w:t>
            </w:r>
            <w:r w:rsidRPr="005721CF">
              <w:t xml:space="preserve"> Report.</w:t>
            </w:r>
          </w:p>
          <w:p w:rsidR="006A5970" w:rsidRPr="005721CF" w:rsidRDefault="006A5970">
            <w:pPr>
              <w:pStyle w:val="Box"/>
            </w:pPr>
            <w:r w:rsidRPr="005721CF">
              <w:t>Data quality information for this indicator is under development.</w:t>
            </w:r>
          </w:p>
        </w:tc>
      </w:tr>
      <w:tr w:rsidR="005721CF" w:rsidRPr="005721CF" w:rsidTr="00730EA6">
        <w:trPr>
          <w:cantSplit/>
        </w:trPr>
        <w:tc>
          <w:tcPr>
            <w:tcW w:w="8771" w:type="dxa"/>
            <w:tcBorders>
              <w:top w:val="nil"/>
              <w:left w:val="nil"/>
              <w:bottom w:val="single" w:sz="6" w:space="0" w:color="78A22F"/>
              <w:right w:val="nil"/>
            </w:tcBorders>
            <w:shd w:val="clear" w:color="auto" w:fill="F2F2F2"/>
          </w:tcPr>
          <w:p w:rsidR="006A5970" w:rsidRPr="005721CF" w:rsidRDefault="006A5970">
            <w:pPr>
              <w:pStyle w:val="Box"/>
              <w:spacing w:before="0" w:line="120" w:lineRule="exact"/>
            </w:pPr>
          </w:p>
        </w:tc>
      </w:tr>
      <w:tr w:rsidR="005721CF" w:rsidRPr="005721CF" w:rsidTr="00730EA6">
        <w:tc>
          <w:tcPr>
            <w:tcW w:w="8771" w:type="dxa"/>
            <w:tcBorders>
              <w:top w:val="single" w:sz="6" w:space="0" w:color="78A22F"/>
              <w:left w:val="nil"/>
              <w:bottom w:val="nil"/>
              <w:right w:val="nil"/>
            </w:tcBorders>
          </w:tcPr>
          <w:p w:rsidR="006A5970" w:rsidRPr="005721CF" w:rsidRDefault="006A5970" w:rsidP="00730EA6">
            <w:pPr>
              <w:pStyle w:val="BoxSpaceBelow"/>
            </w:pPr>
          </w:p>
        </w:tc>
      </w:tr>
    </w:tbl>
    <w:p w:rsidR="00900D7F" w:rsidRPr="00AE3578" w:rsidRDefault="00900D7F" w:rsidP="00585E2C">
      <w:pPr>
        <w:pStyle w:val="Heading5"/>
        <w:rPr>
          <w:sz w:val="24"/>
        </w:rPr>
      </w:pPr>
      <w:r w:rsidRPr="00242FB0">
        <w:lastRenderedPageBreak/>
        <w:t>‘Use of other services’ data reported elsewhere in this Report</w:t>
      </w:r>
    </w:p>
    <w:p w:rsidR="001F39F2" w:rsidRPr="00242FB0" w:rsidRDefault="001F39F2" w:rsidP="00585E2C">
      <w:pPr>
        <w:pStyle w:val="BodyText"/>
      </w:pPr>
      <w:r w:rsidRPr="00242FB0">
        <w:t xml:space="preserve">Data on the participation of people with disability in various government services are incorporated in the performance indicator frameworks for other chapters of this Report. Participation is reported for </w:t>
      </w:r>
      <w:r w:rsidR="00F82D6B" w:rsidRPr="00242FB0">
        <w:t>early childhood education and care</w:t>
      </w:r>
      <w:r w:rsidR="00F30597">
        <w:t xml:space="preserve"> (chapter 3); VET (chapter </w:t>
      </w:r>
      <w:r w:rsidRPr="00242FB0">
        <w:t xml:space="preserve">5); </w:t>
      </w:r>
      <w:r w:rsidR="002E6F95" w:rsidRPr="00242FB0">
        <w:t>social</w:t>
      </w:r>
      <w:r w:rsidRPr="00242FB0">
        <w:t xml:space="preserve">, community and State owned and managed Indigenous housing </w:t>
      </w:r>
      <w:r w:rsidR="00F30597">
        <w:t>(chapter </w:t>
      </w:r>
      <w:r w:rsidR="002E6F95" w:rsidRPr="00242FB0">
        <w:t>1</w:t>
      </w:r>
      <w:r w:rsidR="00F82D6B" w:rsidRPr="00242FB0">
        <w:t>7</w:t>
      </w:r>
      <w:r w:rsidR="002E6F95" w:rsidRPr="00242FB0">
        <w:t xml:space="preserve">) </w:t>
      </w:r>
      <w:r w:rsidRPr="00242FB0">
        <w:t>and Commonwealth Rent Assistance</w:t>
      </w:r>
      <w:r w:rsidR="002E6F95" w:rsidRPr="00242FB0">
        <w:t xml:space="preserve"> (sector overview G)</w:t>
      </w:r>
      <w:r w:rsidRPr="00242FB0">
        <w:t>. In addition, the following chapters include data on services provided to people with disability:</w:t>
      </w:r>
    </w:p>
    <w:p w:rsidR="00890535" w:rsidRPr="00060ADF" w:rsidRDefault="00890535" w:rsidP="00585E2C">
      <w:pPr>
        <w:pStyle w:val="ListBullet"/>
      </w:pPr>
      <w:r w:rsidRPr="00060ADF">
        <w:t>‘School education’ (chapter 4) reports data on students with disability in the student body mix, disaggregated by sector</w:t>
      </w:r>
    </w:p>
    <w:p w:rsidR="001F39F2" w:rsidRPr="00CD13A1" w:rsidRDefault="001F39F2" w:rsidP="00585E2C">
      <w:pPr>
        <w:pStyle w:val="ListBullet"/>
      </w:pPr>
      <w:r w:rsidRPr="00CD13A1">
        <w:t>‘Mental health management’ (chapter 12) reports performance data on specialised mental health services</w:t>
      </w:r>
    </w:p>
    <w:p w:rsidR="00890535" w:rsidRPr="00966883" w:rsidRDefault="00890535" w:rsidP="00417B0B">
      <w:pPr>
        <w:pStyle w:val="ListBullet"/>
      </w:pPr>
      <w:r w:rsidRPr="00CD13A1">
        <w:t>‘Aged care services’ (chapter 13) reports data on the age</w:t>
      </w:r>
      <w:r w:rsidR="00B84AF2">
        <w:noBreakHyphen/>
      </w:r>
      <w:r w:rsidRPr="00CD13A1">
        <w:t xml:space="preserve">specific usage rates (including for younger people) of residential and home care services provided under the aged care program. Data are also reported on the use of HACC services, including those received by people </w:t>
      </w:r>
      <w:r w:rsidRPr="00417B0B">
        <w:t>with a profound, severe or moderate core act</w:t>
      </w:r>
      <w:r w:rsidR="00F30597">
        <w:t>ivity limitation, for people aged 65 </w:t>
      </w:r>
      <w:r w:rsidRPr="00417B0B">
        <w:t xml:space="preserve">years or over and </w:t>
      </w:r>
      <w:r w:rsidR="000F24CE">
        <w:t>Aboriginal and Torres Strait Islander</w:t>
      </w:r>
      <w:r w:rsidRPr="00476310">
        <w:t xml:space="preserve"> people aged 50–64 years</w:t>
      </w:r>
    </w:p>
    <w:p w:rsidR="001F39F2" w:rsidRPr="0027235C" w:rsidRDefault="00242FB0" w:rsidP="00417B0B">
      <w:pPr>
        <w:pStyle w:val="ListBullet"/>
      </w:pPr>
      <w:r w:rsidRPr="00B24491">
        <w:t xml:space="preserve">‘Housing’ </w:t>
      </w:r>
      <w:r w:rsidRPr="003C6EE8">
        <w:t>(chapter 17) reports data on people with disability for the ‘dwelling condition’, ‘amenity/location’ and ‘customer satisfaction’ indicators</w:t>
      </w:r>
      <w:r w:rsidR="000F24CE" w:rsidRPr="003C6EE8">
        <w:t>.</w:t>
      </w:r>
      <w:r w:rsidRPr="003C6EE8">
        <w:t xml:space="preserve"> </w:t>
      </w:r>
    </w:p>
    <w:p w:rsidR="001F39F2" w:rsidRPr="005F0D64" w:rsidRDefault="00321568" w:rsidP="00585E2C">
      <w:pPr>
        <w:pStyle w:val="Heading2"/>
      </w:pPr>
      <w:bookmarkStart w:id="21" w:name="_Toc248563905"/>
      <w:bookmarkStart w:id="22" w:name="_Toc397527176"/>
      <w:bookmarkEnd w:id="17"/>
      <w:r>
        <w:t>14.</w:t>
      </w:r>
      <w:r w:rsidR="0085284B">
        <w:rPr>
          <w:noProof/>
        </w:rPr>
        <w:t>4</w:t>
      </w:r>
      <w:r w:rsidR="001F39F2" w:rsidRPr="005F0D64">
        <w:tab/>
        <w:t>Future directions in performance reporting</w:t>
      </w:r>
      <w:bookmarkEnd w:id="21"/>
      <w:bookmarkEnd w:id="22"/>
    </w:p>
    <w:p w:rsidR="001F39F2" w:rsidRPr="00071C47" w:rsidRDefault="001F39F2" w:rsidP="00585E2C">
      <w:pPr>
        <w:pStyle w:val="Heading3"/>
      </w:pPr>
      <w:r w:rsidRPr="005F0D64">
        <w:t xml:space="preserve">Scope for further improvements to </w:t>
      </w:r>
      <w:r w:rsidR="001D78F3" w:rsidRPr="005F0D64">
        <w:t>reporting</w:t>
      </w:r>
    </w:p>
    <w:p w:rsidR="001F39F2" w:rsidRPr="00AD2A4E" w:rsidRDefault="001F39F2" w:rsidP="00585E2C">
      <w:pPr>
        <w:pStyle w:val="BodyText"/>
      </w:pPr>
      <w:r w:rsidRPr="00AD2A4E">
        <w:t>There is scope for further improvements in reporting against the current framework, including improvements to the data on service quality. The Steering Committee intends to address limitations over time by:</w:t>
      </w:r>
    </w:p>
    <w:p w:rsidR="00E55F2A" w:rsidRPr="00AD2A4E" w:rsidRDefault="00E55F2A" w:rsidP="00E55F2A">
      <w:pPr>
        <w:pStyle w:val="ListBullet"/>
      </w:pPr>
      <w:r w:rsidRPr="00AD2A4E">
        <w:t>ensuring the DS NMDS remains relevant to informing the rollout of the NDIS</w:t>
      </w:r>
      <w:r w:rsidRPr="00AD2A4E">
        <w:rPr>
          <w:shd w:val="clear" w:color="auto" w:fill="E5B8B7" w:themeFill="accent2" w:themeFillTint="66"/>
        </w:rPr>
        <w:t xml:space="preserve"> </w:t>
      </w:r>
    </w:p>
    <w:p w:rsidR="00DC19B9" w:rsidRPr="005F0D64" w:rsidRDefault="00D801C1" w:rsidP="00E55F2A">
      <w:pPr>
        <w:pStyle w:val="ListBullet"/>
      </w:pPr>
      <w:r>
        <w:t xml:space="preserve">seeking access to </w:t>
      </w:r>
      <w:r w:rsidR="00DC19B9">
        <w:t>NDIS data to report against performance indicators in the framework</w:t>
      </w:r>
    </w:p>
    <w:p w:rsidR="001F39F2" w:rsidRPr="005F0D64" w:rsidRDefault="001F39F2" w:rsidP="00585E2C">
      <w:pPr>
        <w:pStyle w:val="ListBullet"/>
      </w:pPr>
      <w:r w:rsidRPr="005F0D64">
        <w:t>reporting more comprehensive social and community participation data, when available</w:t>
      </w:r>
    </w:p>
    <w:p w:rsidR="001F39F2" w:rsidRDefault="001F39F2" w:rsidP="00585E2C">
      <w:pPr>
        <w:pStyle w:val="ListBullet"/>
      </w:pPr>
      <w:proofErr w:type="gramStart"/>
      <w:r w:rsidRPr="005F0D64">
        <w:t>reporting</w:t>
      </w:r>
      <w:proofErr w:type="gramEnd"/>
      <w:r w:rsidRPr="005F0D64">
        <w:t xml:space="preserve"> </w:t>
      </w:r>
      <w:r w:rsidR="008F681D" w:rsidRPr="005F0D64">
        <w:t xml:space="preserve">nationally consistent </w:t>
      </w:r>
      <w:r w:rsidRPr="005F0D64">
        <w:t>client and carer satisfaction with service quality</w:t>
      </w:r>
      <w:r w:rsidR="008F681D" w:rsidRPr="005F0D64">
        <w:t xml:space="preserve"> for all jurisdictions</w:t>
      </w:r>
      <w:r w:rsidR="00B9634A">
        <w:t>.</w:t>
      </w:r>
    </w:p>
    <w:p w:rsidR="001F39F2" w:rsidRPr="005F0D64" w:rsidRDefault="001F39F2" w:rsidP="00585E2C">
      <w:pPr>
        <w:pStyle w:val="Heading3"/>
      </w:pPr>
      <w:r w:rsidRPr="005F0D64">
        <w:t>COAG developments</w:t>
      </w:r>
    </w:p>
    <w:p w:rsidR="008F681D" w:rsidRPr="005F0D64" w:rsidRDefault="008F681D" w:rsidP="00585E2C">
      <w:pPr>
        <w:pStyle w:val="BodyText"/>
      </w:pPr>
      <w:r w:rsidRPr="005F0D64">
        <w:t>The Steering Committee is committed to ensuring this chapter remains aligned with the significant reforms being implemented by COAG.</w:t>
      </w:r>
    </w:p>
    <w:p w:rsidR="008F681D" w:rsidRPr="005F0D64" w:rsidRDefault="008F681D" w:rsidP="00585E2C">
      <w:pPr>
        <w:pStyle w:val="BodyText"/>
      </w:pPr>
      <w:r w:rsidRPr="00F90A9F">
        <w:lastRenderedPageBreak/>
        <w:t>Indicators in the chapter will continue to be aligned with indicators in the NDA, and the chapter will reflect development in the National Disability Strategy and the</w:t>
      </w:r>
      <w:r w:rsidR="00821CE5">
        <w:t xml:space="preserve"> </w:t>
      </w:r>
      <w:r w:rsidR="00821CE5" w:rsidRPr="00E3179F">
        <w:t xml:space="preserve">continued </w:t>
      </w:r>
      <w:r w:rsidR="00DD6866" w:rsidRPr="00E3179F">
        <w:t>implementation of the</w:t>
      </w:r>
      <w:r w:rsidRPr="00E3179F">
        <w:t xml:space="preserve"> National Disability Insurance Scheme.</w:t>
      </w:r>
    </w:p>
    <w:p w:rsidR="001F39F2" w:rsidRPr="00F90A9F" w:rsidRDefault="001F39F2" w:rsidP="00585E2C">
      <w:pPr>
        <w:pStyle w:val="Heading4"/>
      </w:pPr>
      <w:r w:rsidRPr="00F90A9F">
        <w:t>National Disability Strategy</w:t>
      </w:r>
    </w:p>
    <w:p w:rsidR="001F39F2" w:rsidRPr="00F90A9F" w:rsidRDefault="001F39F2" w:rsidP="00585E2C">
      <w:pPr>
        <w:pStyle w:val="BodyText"/>
      </w:pPr>
      <w:r w:rsidRPr="00F90A9F">
        <w:t>The National Disability Strategy 2010</w:t>
      </w:r>
      <w:r w:rsidR="00692E9C" w:rsidRPr="00F90A9F">
        <w:t>–</w:t>
      </w:r>
      <w:r w:rsidRPr="00F90A9F">
        <w:t>2020 was formally endorsed by COAG on 13</w:t>
      </w:r>
      <w:r w:rsidR="00685295" w:rsidRPr="00F90A9F">
        <w:t> </w:t>
      </w:r>
      <w:r w:rsidRPr="00F90A9F">
        <w:t>February 2011 and launched by the Australian Government on 18</w:t>
      </w:r>
      <w:r w:rsidR="00B84AF2">
        <w:t> </w:t>
      </w:r>
      <w:r w:rsidRPr="00F90A9F">
        <w:t>March 2011. This represents the first time that all governments have committed to a unified, national approach to improving the lives of people with disability, their families and carers.</w:t>
      </w:r>
    </w:p>
    <w:p w:rsidR="001F39F2" w:rsidRPr="00F90A9F" w:rsidRDefault="001F39F2" w:rsidP="00585E2C">
      <w:pPr>
        <w:pStyle w:val="BodyText"/>
      </w:pPr>
      <w:r w:rsidRPr="00F90A9F">
        <w:t xml:space="preserve">The Strategy </w:t>
      </w:r>
      <w:r w:rsidR="00DA3101" w:rsidRPr="00F90A9F">
        <w:t xml:space="preserve">is designed to </w:t>
      </w:r>
      <w:r w:rsidRPr="00F90A9F">
        <w:t>guide public policy across governments and aims to bring about changes to all mainstream services and programs, as well as community infrastructure, to ensure they are accessible and responsive to the needs of people with disability.</w:t>
      </w:r>
    </w:p>
    <w:p w:rsidR="001F39F2" w:rsidRPr="00915FDB" w:rsidRDefault="001F39F2" w:rsidP="00585E2C">
      <w:pPr>
        <w:pStyle w:val="BodyText"/>
      </w:pPr>
      <w:r w:rsidRPr="00F90A9F">
        <w:t>Every two years, a high level progress report will track achievements under the Strategy and provide a picture of how peo</w:t>
      </w:r>
      <w:r w:rsidR="00DC19B9">
        <w:t>ple with disability are faring.</w:t>
      </w:r>
    </w:p>
    <w:p w:rsidR="004A3F42" w:rsidRPr="005F0D64" w:rsidRDefault="004A3F42" w:rsidP="00585E2C">
      <w:pPr>
        <w:pStyle w:val="Heading4"/>
        <w:tabs>
          <w:tab w:val="left" w:pos="4845"/>
        </w:tabs>
      </w:pPr>
      <w:r w:rsidRPr="005F0D64">
        <w:t>National Health Reform</w:t>
      </w:r>
      <w:r w:rsidR="009C0FC4" w:rsidRPr="005F0D64">
        <w:t xml:space="preserve"> Agreement</w:t>
      </w:r>
    </w:p>
    <w:p w:rsidR="0036455E" w:rsidRPr="005F0D64" w:rsidRDefault="006852C5" w:rsidP="00585E2C">
      <w:pPr>
        <w:pStyle w:val="BodyText"/>
      </w:pPr>
      <w:r w:rsidRPr="005F0D64">
        <w:t xml:space="preserve">COAG agreed </w:t>
      </w:r>
      <w:r w:rsidR="009C0FC4" w:rsidRPr="005F0D64">
        <w:t xml:space="preserve">the National Health Reform Agreement </w:t>
      </w:r>
      <w:r w:rsidR="0036455E" w:rsidRPr="005F0D64">
        <w:t xml:space="preserve">out of session in August 2011. The Agreement gives effect to the commitment </w:t>
      </w:r>
      <w:r w:rsidR="000F24CE">
        <w:t xml:space="preserve">COAG </w:t>
      </w:r>
      <w:r w:rsidR="0036455E" w:rsidRPr="005F0D64">
        <w:t>made on 13 February</w:t>
      </w:r>
      <w:r w:rsidR="00B84AF2">
        <w:t xml:space="preserve"> </w:t>
      </w:r>
      <w:r w:rsidR="0036455E" w:rsidRPr="005F0D64">
        <w:t>2011, and in doing so, supersedes the National Health and Hospitals Network Agreement and the Heads of Agreement on National Health Reform.</w:t>
      </w:r>
    </w:p>
    <w:p w:rsidR="009C0FC4" w:rsidRPr="00496DF4" w:rsidRDefault="0036455E" w:rsidP="00585E2C">
      <w:pPr>
        <w:pStyle w:val="BodyText"/>
      </w:pPr>
      <w:r w:rsidRPr="005F0D64">
        <w:t xml:space="preserve">The Agreement </w:t>
      </w:r>
      <w:r w:rsidR="009C0FC4" w:rsidRPr="005F0D64">
        <w:t xml:space="preserve">will deliver major reforms to the organisation, funding and delivery of health and aged care. </w:t>
      </w:r>
      <w:r w:rsidRPr="005F0D64">
        <w:t>It</w:t>
      </w:r>
      <w:r w:rsidR="009C0FC4" w:rsidRPr="005F0D64">
        <w:t xml:space="preserve"> sets out the shared intention </w:t>
      </w:r>
      <w:r w:rsidR="009C0FC4" w:rsidRPr="00496DF4">
        <w:t xml:space="preserve">of the </w:t>
      </w:r>
      <w:r w:rsidR="000F24CE" w:rsidRPr="00496DF4">
        <w:t xml:space="preserve">Australian, </w:t>
      </w:r>
      <w:r w:rsidR="009C0FC4" w:rsidRPr="00496DF4">
        <w:t xml:space="preserve">State and Territory governments to work in partnership to improve health outcomes for all Australians and ensure the sustainability of the </w:t>
      </w:r>
      <w:r w:rsidR="000261E8" w:rsidRPr="00496DF4">
        <w:t>n</w:t>
      </w:r>
      <w:r w:rsidR="000F24CE" w:rsidRPr="00496DF4">
        <w:t>ational</w:t>
      </w:r>
      <w:r w:rsidR="009C0FC4" w:rsidRPr="00496DF4">
        <w:t xml:space="preserve"> health system. The reforms </w:t>
      </w:r>
      <w:r w:rsidRPr="00496DF4">
        <w:t xml:space="preserve">aim to </w:t>
      </w:r>
      <w:r w:rsidR="004E196D" w:rsidRPr="00496DF4">
        <w:t xml:space="preserve">help </w:t>
      </w:r>
      <w:r w:rsidR="00496DF4" w:rsidRPr="00496DF4">
        <w:t>patients</w:t>
      </w:r>
      <w:r w:rsidR="004E196D" w:rsidRPr="00496DF4">
        <w:t xml:space="preserve"> gain</w:t>
      </w:r>
      <w:r w:rsidR="009C0FC4" w:rsidRPr="00496DF4">
        <w:t xml:space="preserve"> bet</w:t>
      </w:r>
      <w:r w:rsidR="000F24CE" w:rsidRPr="00496DF4">
        <w:t>ter access to services, improve</w:t>
      </w:r>
      <w:r w:rsidR="009C0FC4" w:rsidRPr="00496DF4">
        <w:t xml:space="preserve"> local accountability </w:t>
      </w:r>
      <w:r w:rsidR="00496DF4" w:rsidRPr="00496DF4">
        <w:t>and</w:t>
      </w:r>
      <w:r w:rsidR="009C0FC4" w:rsidRPr="00496DF4">
        <w:t xml:space="preserve"> responsiveness </w:t>
      </w:r>
      <w:r w:rsidR="004E196D" w:rsidRPr="00496DF4">
        <w:t xml:space="preserve">to the needs of </w:t>
      </w:r>
      <w:r w:rsidR="009C0FC4" w:rsidRPr="00496DF4">
        <w:t>communities</w:t>
      </w:r>
      <w:r w:rsidR="004E196D" w:rsidRPr="00496DF4">
        <w:t>,</w:t>
      </w:r>
      <w:r w:rsidR="009C0FC4" w:rsidRPr="00496DF4">
        <w:t xml:space="preserve"> and </w:t>
      </w:r>
      <w:r w:rsidR="004E196D" w:rsidRPr="00496DF4">
        <w:t xml:space="preserve">provide </w:t>
      </w:r>
      <w:r w:rsidR="009C0FC4" w:rsidRPr="00496DF4">
        <w:t xml:space="preserve">a stronger financial basis for our health system into the future. </w:t>
      </w:r>
    </w:p>
    <w:p w:rsidR="001F39F2" w:rsidRPr="005F0D64" w:rsidRDefault="00321568" w:rsidP="00585E2C">
      <w:pPr>
        <w:pStyle w:val="Heading2"/>
      </w:pPr>
      <w:bookmarkStart w:id="23" w:name="OLE_LINK8"/>
      <w:bookmarkStart w:id="24" w:name="_Toc248563906"/>
      <w:bookmarkStart w:id="25" w:name="_Toc397527177"/>
      <w:r w:rsidRPr="00496DF4">
        <w:t>14.</w:t>
      </w:r>
      <w:r w:rsidR="0085284B">
        <w:rPr>
          <w:noProof/>
        </w:rPr>
        <w:t>5</w:t>
      </w:r>
      <w:r w:rsidR="001F39F2" w:rsidRPr="00496DF4">
        <w:tab/>
      </w:r>
      <w:bookmarkEnd w:id="23"/>
      <w:r w:rsidR="001F39F2" w:rsidRPr="00496DF4">
        <w:t>Jurisdictions’ comments</w:t>
      </w:r>
      <w:bookmarkEnd w:id="24"/>
      <w:bookmarkEnd w:id="25"/>
    </w:p>
    <w:p w:rsidR="001F39F2" w:rsidRDefault="001F39F2" w:rsidP="00585E2C">
      <w:pPr>
        <w:pStyle w:val="BodyText"/>
      </w:pPr>
      <w:r w:rsidRPr="005F0D64">
        <w:t xml:space="preserve">This section provides comments from each jurisdiction on the services covered in this chapter. </w:t>
      </w:r>
    </w:p>
    <w:p w:rsidR="001F39F2" w:rsidRPr="008F5F24" w:rsidRDefault="001F39F2" w:rsidP="00585E2C">
      <w:pPr>
        <w:pStyle w:val="BodyText"/>
        <w:rPr>
          <w:color w:val="A6A6A6" w:themeColor="background1" w:themeShade="A6"/>
        </w:rPr>
      </w:pPr>
      <w:r w:rsidRPr="008F5F24">
        <w:rPr>
          <w:color w:val="A6A6A6" w:themeColor="background1" w:themeShade="A6"/>
        </w:rPr>
        <w:br w:type="page"/>
      </w:r>
    </w:p>
    <w:tbl>
      <w:tblPr>
        <w:tblW w:w="10632" w:type="dxa"/>
        <w:tblInd w:w="-885" w:type="dxa"/>
        <w:tblLayout w:type="fixed"/>
        <w:tblLook w:val="0000" w:firstRow="0" w:lastRow="0" w:firstColumn="0" w:lastColumn="0" w:noHBand="0" w:noVBand="0"/>
      </w:tblPr>
      <w:tblGrid>
        <w:gridCol w:w="993"/>
        <w:gridCol w:w="8789"/>
        <w:gridCol w:w="850"/>
      </w:tblGrid>
      <w:tr w:rsidR="000F1274" w:rsidRPr="000F1274" w:rsidTr="002450EA">
        <w:trPr>
          <w:cantSplit/>
        </w:trPr>
        <w:tc>
          <w:tcPr>
            <w:tcW w:w="993" w:type="dxa"/>
            <w:vMerge w:val="restart"/>
          </w:tcPr>
          <w:p w:rsidR="001F39F2" w:rsidRPr="000F1274" w:rsidRDefault="00B84AF2" w:rsidP="00585E2C">
            <w:pPr>
              <w:pStyle w:val="BodyText"/>
            </w:pPr>
            <w:r w:rsidRPr="000F1274">
              <w:rPr>
                <w:b/>
                <w:sz w:val="132"/>
              </w:rPr>
              <w:lastRenderedPageBreak/>
              <w:t>“</w:t>
            </w:r>
          </w:p>
        </w:tc>
        <w:tc>
          <w:tcPr>
            <w:tcW w:w="8789" w:type="dxa"/>
          </w:tcPr>
          <w:p w:rsidR="001F39F2" w:rsidRPr="000F1274" w:rsidRDefault="001F39F2" w:rsidP="00585E2C">
            <w:pPr>
              <w:pStyle w:val="Jurisdictioncommentsheading"/>
            </w:pPr>
            <w:r w:rsidRPr="000F1274">
              <w:t>Australian Government comments</w:t>
            </w:r>
          </w:p>
        </w:tc>
        <w:tc>
          <w:tcPr>
            <w:tcW w:w="850" w:type="dxa"/>
          </w:tcPr>
          <w:p w:rsidR="001F39F2" w:rsidRPr="000F1274" w:rsidRDefault="001F39F2" w:rsidP="00585E2C">
            <w:pPr>
              <w:spacing w:after="140"/>
              <w:rPr>
                <w:rFonts w:ascii="Arial" w:hAnsi="Arial"/>
                <w:b/>
              </w:rPr>
            </w:pPr>
          </w:p>
        </w:tc>
      </w:tr>
      <w:tr w:rsidR="000F1274" w:rsidRPr="000F1274" w:rsidTr="002450EA">
        <w:trPr>
          <w:cantSplit/>
          <w:trHeight w:hRule="exact" w:val="12600"/>
        </w:trPr>
        <w:tc>
          <w:tcPr>
            <w:tcW w:w="993" w:type="dxa"/>
            <w:vMerge/>
          </w:tcPr>
          <w:p w:rsidR="001F39F2" w:rsidRPr="000F1274" w:rsidRDefault="001F39F2" w:rsidP="00585E2C">
            <w:pPr>
              <w:pStyle w:val="BodyText"/>
            </w:pPr>
          </w:p>
        </w:tc>
        <w:tc>
          <w:tcPr>
            <w:tcW w:w="8789" w:type="dxa"/>
          </w:tcPr>
          <w:p w:rsidR="000F1274" w:rsidRPr="000F1274" w:rsidRDefault="000F1274" w:rsidP="008A0D83">
            <w:pPr>
              <w:pStyle w:val="Jurisdictioncommentsbodytext"/>
            </w:pPr>
            <w:r w:rsidRPr="000F1274">
              <w:t>During 2013</w:t>
            </w:r>
            <w:r w:rsidR="00B84AF2">
              <w:noBreakHyphen/>
            </w:r>
            <w:r w:rsidRPr="000F1274">
              <w:t>14 the Australian Government funded supported employment for over 21</w:t>
            </w:r>
            <w:r>
              <w:t> </w:t>
            </w:r>
            <w:r w:rsidRPr="000F1274">
              <w:t>250 people with disability in 299 Australian Disability Enterprise (ADE) outlets across Australia.</w:t>
            </w:r>
          </w:p>
          <w:p w:rsidR="000F1274" w:rsidRPr="000F1274" w:rsidRDefault="000F1274" w:rsidP="000F1274">
            <w:pPr>
              <w:pStyle w:val="Jurisdictioncommentslistbullet"/>
            </w:pPr>
            <w:r w:rsidRPr="000F1274">
              <w:t xml:space="preserve">Transition of supported employment to the National Disability Insurance Scheme commenced in trial sites in </w:t>
            </w:r>
            <w:r w:rsidR="007058B9">
              <w:t>NSW, Victoria</w:t>
            </w:r>
            <w:r w:rsidRPr="000F1274">
              <w:t xml:space="preserve"> and Tasmania on 1</w:t>
            </w:r>
            <w:r w:rsidR="00B84AF2">
              <w:t> </w:t>
            </w:r>
            <w:r w:rsidRPr="000F1274">
              <w:t xml:space="preserve">July 2013, and preparatory work for the commencement of the new </w:t>
            </w:r>
            <w:r w:rsidR="007058B9">
              <w:t>ACT</w:t>
            </w:r>
            <w:r w:rsidRPr="000F1274">
              <w:t xml:space="preserve"> and </w:t>
            </w:r>
            <w:proofErr w:type="gramStart"/>
            <w:r w:rsidRPr="000F1274">
              <w:t>Perth Hills</w:t>
            </w:r>
            <w:proofErr w:type="gramEnd"/>
            <w:r w:rsidRPr="000F1274">
              <w:t xml:space="preserve"> trial sites from 1 July 2014 was completed. </w:t>
            </w:r>
          </w:p>
          <w:p w:rsidR="000F1274" w:rsidRPr="000F1274" w:rsidRDefault="000F1274" w:rsidP="000F1274">
            <w:pPr>
              <w:pStyle w:val="Jurisdictioncommentslistbullet"/>
            </w:pPr>
            <w:r w:rsidRPr="000F1274">
              <w:t>Case management and practical support continued for more than 2500</w:t>
            </w:r>
            <w:r w:rsidR="00D801C1">
              <w:t> </w:t>
            </w:r>
            <w:r w:rsidRPr="000F1274">
              <w:t>supported employees aged 55 years and older to assist them to explore options for retirement and to try alternative non</w:t>
            </w:r>
            <w:r w:rsidR="00B84AF2">
              <w:noBreakHyphen/>
            </w:r>
            <w:r w:rsidRPr="000F1274">
              <w:t xml:space="preserve">work </w:t>
            </w:r>
            <w:r w:rsidR="00D801C1">
              <w:br/>
            </w:r>
            <w:r w:rsidRPr="000F1274">
              <w:t>community</w:t>
            </w:r>
            <w:r w:rsidR="00B84AF2">
              <w:noBreakHyphen/>
            </w:r>
            <w:r w:rsidRPr="000F1274">
              <w:t>based activities.</w:t>
            </w:r>
          </w:p>
          <w:p w:rsidR="000F1274" w:rsidRPr="000F1274" w:rsidRDefault="000F1274" w:rsidP="000F1274">
            <w:pPr>
              <w:pStyle w:val="Jurisdictioncommentslistbullet"/>
            </w:pPr>
            <w:r w:rsidRPr="000F1274">
              <w:t xml:space="preserve">Jurisdictional endorsement of the revised National Standards for Disability Services (NSDS) was finalised in December 2013. </w:t>
            </w:r>
            <w:r w:rsidRPr="000F1274">
              <w:rPr>
                <w:bCs/>
              </w:rPr>
              <w:t>The NSDS have been through extensive consultation, validation, and user testing, culminating in a set of six standards that focus on person centred approaches and promoting choice and control by people with disability. The NSDS are able to be applied across a broad range of service types. Commonwealth funded employment services for people with disability are transitioning from the Disability Service Standards to the NSDS between 1</w:t>
            </w:r>
            <w:r w:rsidR="00B84AF2">
              <w:rPr>
                <w:bCs/>
              </w:rPr>
              <w:t> </w:t>
            </w:r>
            <w:r w:rsidRPr="000F1274">
              <w:rPr>
                <w:bCs/>
              </w:rPr>
              <w:t>January 2014 and 31 December 2014.</w:t>
            </w:r>
          </w:p>
          <w:p w:rsidR="000F1274" w:rsidRPr="000F1274" w:rsidRDefault="000F1274" w:rsidP="000F1274">
            <w:pPr>
              <w:pStyle w:val="Jurisdictioncommentslistbullet"/>
            </w:pPr>
            <w:r w:rsidRPr="000F1274">
              <w:t>During 2013</w:t>
            </w:r>
            <w:r w:rsidR="00B84AF2">
              <w:noBreakHyphen/>
            </w:r>
            <w:r w:rsidRPr="000F1274">
              <w:t>14, the responsibility of the Disability Employment Services programme transferred to the Department of Social Services following the Machinery of Government changes that took effect on 18</w:t>
            </w:r>
            <w:r w:rsidR="00B84AF2">
              <w:t> </w:t>
            </w:r>
            <w:r w:rsidRPr="000F1274">
              <w:t>September 2013.</w:t>
            </w:r>
          </w:p>
          <w:p w:rsidR="000F1274" w:rsidRPr="000F1274" w:rsidRDefault="000F1274" w:rsidP="000F1274">
            <w:pPr>
              <w:pStyle w:val="Jurisdictioncommentslistbullet"/>
            </w:pPr>
            <w:r w:rsidRPr="000F1274">
              <w:t>The Department continued managing the Disability Employment Services (DES) programme, finding 46</w:t>
            </w:r>
            <w:r>
              <w:t> </w:t>
            </w:r>
            <w:r w:rsidRPr="000F1274">
              <w:t>500 jobs for Australians with disability. This includes over 24</w:t>
            </w:r>
            <w:r>
              <w:t> </w:t>
            </w:r>
            <w:r w:rsidRPr="000F1274">
              <w:t xml:space="preserve">300 jobs for Australians with disability in the Disability Employment Services </w:t>
            </w:r>
            <w:r w:rsidR="002466CC">
              <w:rPr>
                <w:rFonts w:cs="Arial"/>
              </w:rPr>
              <w:t>―</w:t>
            </w:r>
            <w:r w:rsidRPr="000F1274">
              <w:t xml:space="preserve"> Employment Support Service programme.</w:t>
            </w:r>
          </w:p>
          <w:p w:rsidR="000F1274" w:rsidRPr="000F1274" w:rsidRDefault="000F1274" w:rsidP="000F1274">
            <w:pPr>
              <w:pStyle w:val="Jurisdictioncommentslistbullet"/>
            </w:pPr>
            <w:r w:rsidRPr="000F1274">
              <w:t xml:space="preserve">The Evaluation of Disability Employment Services 2010–2013 final report was published, adding to our knowledge of DES strengths and enabling us to increase the quality and responsiveness of our support for people with disability and their employers. The report is available at </w:t>
            </w:r>
            <w:r w:rsidRPr="008D6EB6">
              <w:t>www.dss.gov.au/our-responsibilities/disability-and-carers/publications-articles/policy-research/evaluation-of-disability-employment-services-2010-2013</w:t>
            </w:r>
            <w:r>
              <w:t>.</w:t>
            </w:r>
          </w:p>
          <w:p w:rsidR="001F39F2" w:rsidRPr="000F1274" w:rsidRDefault="000F1274" w:rsidP="00427C2A">
            <w:pPr>
              <w:pStyle w:val="Jurisdictioncommentslistbullet"/>
            </w:pPr>
            <w:r w:rsidRPr="000F1274">
              <w:t>Proportion of job seekers in employment three months following participation in Employment Support Service was</w:t>
            </w:r>
            <w:r w:rsidR="00EC471A">
              <w:t xml:space="preserve"> 31.8 per cent as at June 2014.</w:t>
            </w:r>
          </w:p>
        </w:tc>
        <w:tc>
          <w:tcPr>
            <w:tcW w:w="850" w:type="dxa"/>
            <w:tcBorders>
              <w:left w:val="nil"/>
            </w:tcBorders>
          </w:tcPr>
          <w:p w:rsidR="001F39F2" w:rsidRPr="000F1274" w:rsidRDefault="001F39F2" w:rsidP="00585E2C">
            <w:pPr>
              <w:pStyle w:val="BodyText"/>
            </w:pP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00FA4670" w:rsidRPr="000F1274">
              <w:rPr>
                <w:rFonts w:ascii="Arial" w:hAnsi="Arial"/>
              </w:rPr>
              <w:br/>
            </w:r>
            <w:r w:rsidR="00FA4670" w:rsidRPr="000F1274">
              <w:rPr>
                <w:rFonts w:ascii="Arial" w:hAnsi="Arial"/>
              </w:rPr>
              <w:br/>
            </w:r>
          </w:p>
          <w:p w:rsidR="00CD6A38" w:rsidRPr="000F1274" w:rsidRDefault="00CD6A38" w:rsidP="00585E2C">
            <w:pPr>
              <w:pStyle w:val="BodyText"/>
            </w:pPr>
          </w:p>
          <w:p w:rsidR="001F39F2" w:rsidRPr="000F1274" w:rsidRDefault="001F39F2" w:rsidP="00585E2C">
            <w:pPr>
              <w:pStyle w:val="BodyText"/>
              <w:rPr>
                <w:sz w:val="132"/>
              </w:rPr>
            </w:pPr>
            <w:r w:rsidRPr="000F1274">
              <w:rPr>
                <w:b/>
                <w:sz w:val="132"/>
              </w:rPr>
              <w:t>”</w:t>
            </w:r>
          </w:p>
        </w:tc>
      </w:tr>
    </w:tbl>
    <w:p w:rsidR="000261E8" w:rsidRDefault="000261E8">
      <w:r>
        <w:br w:type="page"/>
      </w:r>
    </w:p>
    <w:tbl>
      <w:tblPr>
        <w:tblW w:w="10632" w:type="dxa"/>
        <w:tblInd w:w="-885" w:type="dxa"/>
        <w:tblLayout w:type="fixed"/>
        <w:tblLook w:val="0000" w:firstRow="0" w:lastRow="0" w:firstColumn="0" w:lastColumn="0" w:noHBand="0" w:noVBand="0"/>
      </w:tblPr>
      <w:tblGrid>
        <w:gridCol w:w="993"/>
        <w:gridCol w:w="8789"/>
        <w:gridCol w:w="850"/>
      </w:tblGrid>
      <w:tr w:rsidR="000F1274" w:rsidRPr="000F1274" w:rsidTr="002450EA">
        <w:trPr>
          <w:cantSplit/>
        </w:trPr>
        <w:tc>
          <w:tcPr>
            <w:tcW w:w="993" w:type="dxa"/>
            <w:vMerge w:val="restart"/>
          </w:tcPr>
          <w:p w:rsidR="008D3452" w:rsidRPr="000F1274" w:rsidRDefault="008D3452" w:rsidP="00585E2C">
            <w:pPr>
              <w:pStyle w:val="BodyText"/>
            </w:pPr>
            <w:r w:rsidRPr="000F1274">
              <w:rPr>
                <w:b/>
                <w:sz w:val="132"/>
              </w:rPr>
              <w:lastRenderedPageBreak/>
              <w:t>“</w:t>
            </w:r>
          </w:p>
        </w:tc>
        <w:tc>
          <w:tcPr>
            <w:tcW w:w="8789" w:type="dxa"/>
          </w:tcPr>
          <w:p w:rsidR="008D3452" w:rsidRPr="000F1274" w:rsidRDefault="008D3452" w:rsidP="00585E2C">
            <w:pPr>
              <w:pStyle w:val="Jurisdictioncommentsheading"/>
            </w:pPr>
            <w:r w:rsidRPr="000F1274">
              <w:t>New South Wales Government comments</w:t>
            </w:r>
          </w:p>
        </w:tc>
        <w:tc>
          <w:tcPr>
            <w:tcW w:w="850" w:type="dxa"/>
          </w:tcPr>
          <w:p w:rsidR="008D3452" w:rsidRPr="000F1274" w:rsidRDefault="008D3452" w:rsidP="00585E2C">
            <w:pPr>
              <w:spacing w:after="140"/>
              <w:rPr>
                <w:rFonts w:ascii="Arial" w:hAnsi="Arial"/>
                <w:b/>
              </w:rPr>
            </w:pPr>
          </w:p>
        </w:tc>
      </w:tr>
      <w:tr w:rsidR="000F1274" w:rsidRPr="000F1274" w:rsidTr="007058B9">
        <w:trPr>
          <w:cantSplit/>
          <w:trHeight w:hRule="exact" w:val="12923"/>
        </w:trPr>
        <w:tc>
          <w:tcPr>
            <w:tcW w:w="993" w:type="dxa"/>
            <w:vMerge/>
          </w:tcPr>
          <w:p w:rsidR="008D3452" w:rsidRPr="000F1274" w:rsidRDefault="008D3452" w:rsidP="00585E2C">
            <w:pPr>
              <w:pStyle w:val="BodyText"/>
            </w:pPr>
          </w:p>
        </w:tc>
        <w:tc>
          <w:tcPr>
            <w:tcW w:w="8789" w:type="dxa"/>
          </w:tcPr>
          <w:p w:rsidR="000F1274" w:rsidRPr="009E7542" w:rsidRDefault="000F1274" w:rsidP="000F1274">
            <w:pPr>
              <w:pStyle w:val="Jurisdictioncommentsbodytext"/>
            </w:pPr>
            <w:r w:rsidRPr="00A207A3">
              <w:rPr>
                <w:i/>
              </w:rPr>
              <w:t>Ready Together</w:t>
            </w:r>
            <w:r w:rsidRPr="009D587A">
              <w:t xml:space="preserve"> </w:t>
            </w:r>
            <w:r w:rsidRPr="002F615D">
              <w:t xml:space="preserve">continues the NSW </w:t>
            </w:r>
            <w:r w:rsidRPr="00A207A3">
              <w:rPr>
                <w:i/>
              </w:rPr>
              <w:t>Stronger Together 2</w:t>
            </w:r>
            <w:r w:rsidRPr="002F615D">
              <w:t xml:space="preserve"> reforms, committ</w:t>
            </w:r>
            <w:r>
              <w:t>ing</w:t>
            </w:r>
            <w:r w:rsidRPr="002F615D">
              <w:t xml:space="preserve"> $2</w:t>
            </w:r>
            <w:r>
              <w:t> </w:t>
            </w:r>
            <w:r w:rsidRPr="002F615D">
              <w:t xml:space="preserve">billion in new funding </w:t>
            </w:r>
            <w:r w:rsidR="007058B9">
              <w:t>from 2011</w:t>
            </w:r>
            <w:r w:rsidR="00B84AF2">
              <w:noBreakHyphen/>
            </w:r>
            <w:r w:rsidRPr="002F615D">
              <w:t>12 to 2015</w:t>
            </w:r>
            <w:r w:rsidR="00B84AF2">
              <w:noBreakHyphen/>
            </w:r>
            <w:r w:rsidRPr="002F615D">
              <w:t xml:space="preserve">16, </w:t>
            </w:r>
            <w:r>
              <w:t>for</w:t>
            </w:r>
            <w:r w:rsidRPr="002F615D">
              <w:t xml:space="preserve"> 47</w:t>
            </w:r>
            <w:r w:rsidR="00821B66">
              <w:t> </w:t>
            </w:r>
            <w:r w:rsidRPr="002F615D">
              <w:t xml:space="preserve">200 new places </w:t>
            </w:r>
            <w:r>
              <w:t xml:space="preserve">to support </w:t>
            </w:r>
            <w:r w:rsidRPr="002F615D">
              <w:t>people with disability</w:t>
            </w:r>
            <w:r>
              <w:t xml:space="preserve">. </w:t>
            </w:r>
            <w:r w:rsidRPr="0023503E">
              <w:rPr>
                <w:i/>
              </w:rPr>
              <w:t>Living Life My Way</w:t>
            </w:r>
            <w:r w:rsidRPr="009E7542">
              <w:t xml:space="preserve"> </w:t>
            </w:r>
            <w:r w:rsidRPr="0023503E">
              <w:rPr>
                <w:i/>
              </w:rPr>
              <w:t>Framework</w:t>
            </w:r>
            <w:r>
              <w:rPr>
                <w:i/>
              </w:rPr>
              <w:t xml:space="preserve"> </w:t>
            </w:r>
            <w:r w:rsidRPr="00A92D7B">
              <w:t>continues to</w:t>
            </w:r>
            <w:r>
              <w:rPr>
                <w:i/>
              </w:rPr>
              <w:t xml:space="preserve"> </w:t>
            </w:r>
            <w:r>
              <w:t xml:space="preserve">provide </w:t>
            </w:r>
            <w:r w:rsidRPr="009E7542">
              <w:t>individualised funding arrangements</w:t>
            </w:r>
            <w:r>
              <w:t>, giving</w:t>
            </w:r>
            <w:r w:rsidRPr="009E7542">
              <w:t xml:space="preserve"> people choice and control over their supports</w:t>
            </w:r>
            <w:r>
              <w:t xml:space="preserve">. </w:t>
            </w:r>
          </w:p>
          <w:p w:rsidR="000F1274" w:rsidRPr="00CA2451" w:rsidRDefault="000F1274" w:rsidP="000F1274">
            <w:pPr>
              <w:pStyle w:val="Jurisdictioncommentsbodytext"/>
              <w:rPr>
                <w:b/>
              </w:rPr>
            </w:pPr>
            <w:r w:rsidRPr="00CA2451">
              <w:rPr>
                <w:b/>
              </w:rPr>
              <w:t>Ready Together 2013</w:t>
            </w:r>
            <w:r w:rsidR="00B84AF2">
              <w:rPr>
                <w:b/>
              </w:rPr>
              <w:noBreakHyphen/>
            </w:r>
            <w:r w:rsidRPr="00CA2451">
              <w:rPr>
                <w:b/>
              </w:rPr>
              <w:t>14 Highlights</w:t>
            </w:r>
          </w:p>
          <w:p w:rsidR="000F1274" w:rsidRPr="009C1738" w:rsidRDefault="000F1274" w:rsidP="005E7FE1">
            <w:pPr>
              <w:pStyle w:val="Jurisdictioncommentslistbullet"/>
            </w:pPr>
            <w:r>
              <w:t xml:space="preserve">Introduction of the </w:t>
            </w:r>
            <w:r w:rsidR="005E7FE1" w:rsidRPr="005E7FE1">
              <w:rPr>
                <w:i/>
                <w:iCs/>
              </w:rPr>
              <w:t xml:space="preserve">National Disability Insurance Scheme </w:t>
            </w:r>
            <w:r>
              <w:rPr>
                <w:i/>
                <w:iCs/>
              </w:rPr>
              <w:t>(NSW Enabling) Act 2013</w:t>
            </w:r>
            <w:r>
              <w:t xml:space="preserve"> to support the transition to the NDIS; and the </w:t>
            </w:r>
            <w:r>
              <w:rPr>
                <w:i/>
                <w:iCs/>
              </w:rPr>
              <w:t>Disability Inclusion Act 2014</w:t>
            </w:r>
            <w:r>
              <w:t xml:space="preserve"> to make communities more inclusive and accessible, to provide safeguards and protect the rights of people during and following NDIS transition.</w:t>
            </w:r>
          </w:p>
          <w:p w:rsidR="000F1274" w:rsidRDefault="000F1274" w:rsidP="000F1274">
            <w:pPr>
              <w:pStyle w:val="Jurisdictioncommentslistbullet"/>
              <w:spacing w:after="120"/>
            </w:pPr>
            <w:r>
              <w:t>Increasing opportunities for people to make decisions about their supports, and reducing barriers to participation in daily life by expanding individualised funding arrangements and opportunities for consolidating funding for multiple supports.</w:t>
            </w:r>
          </w:p>
          <w:p w:rsidR="000F1274" w:rsidRDefault="000F1274" w:rsidP="000F1274">
            <w:pPr>
              <w:pStyle w:val="Jurisdictioncommentslistbullet"/>
              <w:spacing w:after="120"/>
            </w:pPr>
            <w:r>
              <w:t>As at 30</w:t>
            </w:r>
            <w:r w:rsidR="00B84AF2">
              <w:t> </w:t>
            </w:r>
            <w:r>
              <w:t xml:space="preserve">June 2014, </w:t>
            </w:r>
            <w:r w:rsidRPr="00CD2BAB">
              <w:t xml:space="preserve">2251 </w:t>
            </w:r>
            <w:r w:rsidR="006B3016">
              <w:t xml:space="preserve">active </w:t>
            </w:r>
            <w:r>
              <w:t>NDIS participants had approved plans, including 119 residents at the Stockton Large Residential Centre. An additional 300 people had been deemed eligible and were awaiting plan approval.</w:t>
            </w:r>
          </w:p>
          <w:p w:rsidR="000F1274" w:rsidRDefault="000F1274" w:rsidP="000F1274">
            <w:pPr>
              <w:pStyle w:val="Jurisdictioncommentslistbullet"/>
              <w:spacing w:after="120"/>
            </w:pPr>
            <w:r>
              <w:t>Over 1300 people were directly supported by Ability Links program, which links people with disability with their communities, and over 44</w:t>
            </w:r>
            <w:r w:rsidR="00492129">
              <w:t> </w:t>
            </w:r>
            <w:r>
              <w:t>500</w:t>
            </w:r>
            <w:r w:rsidR="00D801C1">
              <w:t> </w:t>
            </w:r>
            <w:r>
              <w:t xml:space="preserve">community contacts were made. Ability </w:t>
            </w:r>
            <w:r w:rsidR="007058B9">
              <w:t>Links commenced State</w:t>
            </w:r>
            <w:r w:rsidR="00B84AF2">
              <w:noBreakHyphen/>
            </w:r>
            <w:r w:rsidR="007058B9">
              <w:t>wide on 1 </w:t>
            </w:r>
            <w:r>
              <w:t>July 2014 with 248 Linkers operating across the community, building on the already established Ability Links in the Hunter New England district.</w:t>
            </w:r>
          </w:p>
          <w:p w:rsidR="000F1274" w:rsidRDefault="000F1274" w:rsidP="000F1274">
            <w:pPr>
              <w:pStyle w:val="Jurisdictioncommentslistbullet"/>
              <w:spacing w:after="120"/>
            </w:pPr>
            <w:r>
              <w:t xml:space="preserve">Continuing investment in the </w:t>
            </w:r>
            <w:r>
              <w:rPr>
                <w:rStyle w:val="ARitalic"/>
              </w:rPr>
              <w:t>My Choice Matters</w:t>
            </w:r>
            <w:r>
              <w:t xml:space="preserve"> </w:t>
            </w:r>
            <w:r>
              <w:rPr>
                <w:rStyle w:val="ARitalic"/>
              </w:rPr>
              <w:t>NSW Consumer Development Fund,</w:t>
            </w:r>
            <w:r>
              <w:t xml:space="preserve"> to assist people with disability, their families and carers to build the skills they need to have more choice and control now and in the context of the NDIS. </w:t>
            </w:r>
          </w:p>
          <w:p w:rsidR="000F1274" w:rsidRPr="007134E1" w:rsidRDefault="000F1274" w:rsidP="000F1274">
            <w:pPr>
              <w:pStyle w:val="Jurisdictioncommentslistbullet"/>
              <w:spacing w:after="120"/>
            </w:pPr>
            <w:r>
              <w:t xml:space="preserve">NSW has spent </w:t>
            </w:r>
            <w:r w:rsidRPr="007134E1">
              <w:t>$39.84 million in capital expenditure on redeveloping large residential centres</w:t>
            </w:r>
            <w:r>
              <w:t xml:space="preserve"> (LRCs),</w:t>
            </w:r>
            <w:r w:rsidRPr="007134E1">
              <w:t xml:space="preserve"> both government and non</w:t>
            </w:r>
            <w:r w:rsidR="00B84AF2">
              <w:noBreakHyphen/>
            </w:r>
            <w:r w:rsidRPr="007134E1">
              <w:t>government operated</w:t>
            </w:r>
            <w:r>
              <w:t xml:space="preserve">. </w:t>
            </w:r>
            <w:r w:rsidRPr="00560E50">
              <w:t xml:space="preserve">27 people transitioned from </w:t>
            </w:r>
            <w:r>
              <w:t xml:space="preserve">these </w:t>
            </w:r>
            <w:r w:rsidRPr="00560E50">
              <w:t xml:space="preserve">centres into </w:t>
            </w:r>
            <w:r w:rsidRPr="000D00D9">
              <w:t>new</w:t>
            </w:r>
            <w:r>
              <w:t xml:space="preserve"> </w:t>
            </w:r>
            <w:r w:rsidRPr="00560E50">
              <w:t>community</w:t>
            </w:r>
            <w:r w:rsidR="00B84AF2">
              <w:noBreakHyphen/>
            </w:r>
            <w:r w:rsidRPr="00560E50">
              <w:t>based homes</w:t>
            </w:r>
            <w:r>
              <w:t>.</w:t>
            </w:r>
            <w:r w:rsidR="007058B9">
              <w:t xml:space="preserve"> </w:t>
            </w:r>
            <w:r>
              <w:t xml:space="preserve">The redevelopment of LRCs continues the move away from institutional housing models, and increases the availability of housing options in preparation for the NDIS. </w:t>
            </w:r>
          </w:p>
          <w:p w:rsidR="000F1274" w:rsidRPr="00E91B73" w:rsidRDefault="000F1274" w:rsidP="000F1274">
            <w:pPr>
              <w:pStyle w:val="Jurisdictioncommentslistbullet"/>
              <w:spacing w:after="120"/>
              <w:rPr>
                <w:rFonts w:eastAsiaTheme="minorHAnsi" w:cstheme="minorBidi"/>
                <w:szCs w:val="22"/>
              </w:rPr>
            </w:pPr>
            <w:r>
              <w:t>A</w:t>
            </w:r>
            <w:r w:rsidRPr="00E91B73">
              <w:t xml:space="preserve"> range of capacity building initiatives and supports were delivered to the </w:t>
            </w:r>
            <w:r w:rsidR="007058B9">
              <w:t>n</w:t>
            </w:r>
            <w:r>
              <w:t>on</w:t>
            </w:r>
            <w:r w:rsidR="00B84AF2">
              <w:noBreakHyphen/>
            </w:r>
            <w:r w:rsidR="007058B9">
              <w:t>g</w:t>
            </w:r>
            <w:r>
              <w:t xml:space="preserve">overnment </w:t>
            </w:r>
            <w:r w:rsidR="007058B9">
              <w:t>o</w:t>
            </w:r>
            <w:r>
              <w:t>rganisation</w:t>
            </w:r>
            <w:r w:rsidRPr="00E91B73">
              <w:t xml:space="preserve"> disability sector as part of</w:t>
            </w:r>
            <w:r>
              <w:t xml:space="preserve"> the</w:t>
            </w:r>
            <w:r w:rsidRPr="00E91B73">
              <w:t xml:space="preserve"> ongoing investment of the $17</w:t>
            </w:r>
            <w:r>
              <w:t xml:space="preserve"> </w:t>
            </w:r>
            <w:r w:rsidRPr="00E91B73">
              <w:t>m</w:t>
            </w:r>
            <w:r>
              <w:t>illion</w:t>
            </w:r>
            <w:r w:rsidRPr="00E91B73">
              <w:t xml:space="preserve"> Industry Development Fund. </w:t>
            </w:r>
          </w:p>
          <w:p w:rsidR="000F1274" w:rsidRDefault="000F1274" w:rsidP="000F1274">
            <w:pPr>
              <w:pStyle w:val="Jurisdictioncommentslistbullet"/>
              <w:spacing w:after="120"/>
              <w:rPr>
                <w:rFonts w:eastAsiaTheme="minorHAnsi" w:cstheme="minorBidi"/>
                <w:szCs w:val="22"/>
              </w:rPr>
            </w:pPr>
            <w:r>
              <w:t>Funding of a Chair in Intellectual Disability and Behaviour Support at the University of NSW to develop a framework for provision of services to clients with complex support needs.</w:t>
            </w:r>
          </w:p>
          <w:p w:rsidR="000F1274" w:rsidRDefault="007058B9" w:rsidP="000F1274">
            <w:pPr>
              <w:pStyle w:val="Jurisdictioncommentslistbullet"/>
            </w:pPr>
            <w:r>
              <w:t>Over 2</w:t>
            </w:r>
            <w:r w:rsidR="000F1274">
              <w:t>700 respite places provided within the community and to support people living in LRCs.</w:t>
            </w:r>
          </w:p>
          <w:p w:rsidR="008D3452" w:rsidRPr="000F1274" w:rsidRDefault="008D3452" w:rsidP="00B947F0">
            <w:pPr>
              <w:pStyle w:val="BoxListBullet"/>
              <w:numPr>
                <w:ilvl w:val="0"/>
                <w:numId w:val="0"/>
              </w:numPr>
              <w:spacing w:before="120"/>
              <w:ind w:left="284"/>
            </w:pPr>
          </w:p>
        </w:tc>
        <w:tc>
          <w:tcPr>
            <w:tcW w:w="850" w:type="dxa"/>
            <w:tcBorders>
              <w:left w:val="nil"/>
            </w:tcBorders>
          </w:tcPr>
          <w:p w:rsidR="008D3452" w:rsidRDefault="008D3452" w:rsidP="00585E2C">
            <w:pPr>
              <w:pStyle w:val="BodyText"/>
            </w:pP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00312605" w:rsidRPr="000F1274">
              <w:rPr>
                <w:rFonts w:ascii="Arial" w:hAnsi="Arial"/>
              </w:rPr>
              <w:br/>
            </w:r>
            <w:r w:rsidRPr="000F1274">
              <w:rPr>
                <w:rFonts w:ascii="Arial" w:hAnsi="Arial"/>
              </w:rPr>
              <w:br/>
            </w:r>
            <w:r w:rsidRPr="000F1274">
              <w:rPr>
                <w:rFonts w:ascii="Arial" w:hAnsi="Arial"/>
              </w:rPr>
              <w:br/>
            </w:r>
            <w:r w:rsidRPr="000F1274">
              <w:rPr>
                <w:rFonts w:ascii="Arial" w:hAnsi="Arial"/>
              </w:rPr>
              <w:br/>
            </w:r>
            <w:r w:rsidR="00C010BE" w:rsidRPr="000F1274">
              <w:rPr>
                <w:rFonts w:ascii="Arial" w:hAnsi="Arial"/>
              </w:rPr>
              <w:br/>
            </w:r>
          </w:p>
          <w:p w:rsidR="00A8683A" w:rsidRDefault="00A8683A" w:rsidP="00585E2C">
            <w:pPr>
              <w:pStyle w:val="BodyText"/>
            </w:pPr>
          </w:p>
          <w:p w:rsidR="00A8683A" w:rsidRDefault="00A8683A" w:rsidP="00585E2C">
            <w:pPr>
              <w:pStyle w:val="BodyText"/>
            </w:pPr>
          </w:p>
          <w:p w:rsidR="00A8683A" w:rsidRPr="000F1274" w:rsidRDefault="00A8683A" w:rsidP="00585E2C">
            <w:pPr>
              <w:pStyle w:val="BodyText"/>
            </w:pPr>
          </w:p>
          <w:p w:rsidR="008D3452" w:rsidRPr="000F1274" w:rsidRDefault="008D3452" w:rsidP="00585E2C">
            <w:pPr>
              <w:pStyle w:val="BodyText"/>
              <w:rPr>
                <w:sz w:val="132"/>
              </w:rPr>
            </w:pPr>
            <w:r w:rsidRPr="000F1274">
              <w:rPr>
                <w:b/>
                <w:sz w:val="132"/>
              </w:rPr>
              <w:t>”</w:t>
            </w:r>
          </w:p>
        </w:tc>
      </w:tr>
      <w:tr w:rsidR="008F5F24" w:rsidRPr="00DD2380" w:rsidTr="002450EA">
        <w:trPr>
          <w:cantSplit/>
        </w:trPr>
        <w:tc>
          <w:tcPr>
            <w:tcW w:w="993" w:type="dxa"/>
            <w:vMerge w:val="restart"/>
          </w:tcPr>
          <w:p w:rsidR="001F39F2" w:rsidRPr="00DD2380" w:rsidRDefault="001F39F2" w:rsidP="00585E2C">
            <w:pPr>
              <w:pStyle w:val="BodyText"/>
            </w:pPr>
            <w:r w:rsidRPr="00DD2380">
              <w:rPr>
                <w:b/>
                <w:sz w:val="132"/>
              </w:rPr>
              <w:lastRenderedPageBreak/>
              <w:t>“</w:t>
            </w:r>
          </w:p>
        </w:tc>
        <w:tc>
          <w:tcPr>
            <w:tcW w:w="8789" w:type="dxa"/>
          </w:tcPr>
          <w:p w:rsidR="001F39F2" w:rsidRPr="00DD2380" w:rsidRDefault="001F39F2" w:rsidP="00585E2C">
            <w:pPr>
              <w:pStyle w:val="Jurisdictioncommentsheading"/>
            </w:pPr>
            <w:r w:rsidRPr="00DD2380">
              <w:t>Victorian Government comments</w:t>
            </w:r>
          </w:p>
        </w:tc>
        <w:tc>
          <w:tcPr>
            <w:tcW w:w="850" w:type="dxa"/>
          </w:tcPr>
          <w:p w:rsidR="001F39F2" w:rsidRPr="00DD2380" w:rsidRDefault="001F39F2" w:rsidP="00585E2C">
            <w:pPr>
              <w:spacing w:after="140"/>
              <w:rPr>
                <w:rFonts w:ascii="Arial" w:hAnsi="Arial"/>
                <w:b/>
              </w:rPr>
            </w:pPr>
          </w:p>
        </w:tc>
      </w:tr>
      <w:tr w:rsidR="000233CD" w:rsidRPr="00DD2380" w:rsidTr="002450EA">
        <w:trPr>
          <w:cantSplit/>
          <w:trHeight w:hRule="exact" w:val="12600"/>
        </w:trPr>
        <w:tc>
          <w:tcPr>
            <w:tcW w:w="993" w:type="dxa"/>
            <w:vMerge/>
          </w:tcPr>
          <w:p w:rsidR="001F39F2" w:rsidRPr="00741A8F" w:rsidRDefault="001F39F2" w:rsidP="00585E2C">
            <w:pPr>
              <w:pStyle w:val="BodyText"/>
            </w:pPr>
          </w:p>
        </w:tc>
        <w:tc>
          <w:tcPr>
            <w:tcW w:w="8789" w:type="dxa"/>
          </w:tcPr>
          <w:p w:rsidR="00DD2380" w:rsidRPr="00A8683A" w:rsidRDefault="00DD2380" w:rsidP="00A8683A">
            <w:pPr>
              <w:pStyle w:val="Jurisdictioncommentsbodytext"/>
            </w:pPr>
            <w:r w:rsidRPr="00A8683A">
              <w:t>Victoria continues to work with our funded service providers and community partners, families, individuals and communities to ensure people with a disability have more choice and tailored supports to live their lives more independently.</w:t>
            </w:r>
          </w:p>
          <w:p w:rsidR="00DD2380" w:rsidRPr="003C53AB" w:rsidRDefault="00DD2380" w:rsidP="00A8683A">
            <w:pPr>
              <w:pStyle w:val="Jurisdictioncommentsbodytext"/>
            </w:pPr>
            <w:r>
              <w:t>N</w:t>
            </w:r>
            <w:r w:rsidRPr="003C53AB">
              <w:t>otable achievements in 2013</w:t>
            </w:r>
            <w:r w:rsidR="00B84AF2">
              <w:noBreakHyphen/>
            </w:r>
            <w:r w:rsidRPr="003C53AB">
              <w:t>14 include:</w:t>
            </w:r>
          </w:p>
          <w:p w:rsidR="00DD2380" w:rsidRPr="00212667" w:rsidRDefault="00DD2380" w:rsidP="00DD2380">
            <w:pPr>
              <w:pStyle w:val="Jurisdictioncommentslistbullet"/>
              <w:rPr>
                <w:iCs/>
                <w:szCs w:val="24"/>
              </w:rPr>
            </w:pPr>
            <w:r w:rsidRPr="00212667">
              <w:rPr>
                <w:szCs w:val="24"/>
              </w:rPr>
              <w:t>More than 14</w:t>
            </w:r>
            <w:r>
              <w:rPr>
                <w:szCs w:val="24"/>
              </w:rPr>
              <w:t> </w:t>
            </w:r>
            <w:r w:rsidRPr="00212667">
              <w:rPr>
                <w:szCs w:val="24"/>
              </w:rPr>
              <w:t>500 Victorians with a disability were provided with individual support to live in the community in 2013</w:t>
            </w:r>
            <w:r w:rsidR="00B84AF2">
              <w:rPr>
                <w:szCs w:val="24"/>
              </w:rPr>
              <w:noBreakHyphen/>
            </w:r>
            <w:r w:rsidRPr="00212667">
              <w:rPr>
                <w:szCs w:val="24"/>
              </w:rPr>
              <w:t xml:space="preserve">14. </w:t>
            </w:r>
          </w:p>
          <w:p w:rsidR="00DD2380" w:rsidRPr="003C53AB" w:rsidRDefault="00DD2380" w:rsidP="00DD2380">
            <w:pPr>
              <w:pStyle w:val="Jurisdictioncommentslistbullet"/>
              <w:rPr>
                <w:iCs/>
                <w:szCs w:val="24"/>
              </w:rPr>
            </w:pPr>
            <w:r>
              <w:rPr>
                <w:iCs/>
                <w:szCs w:val="24"/>
              </w:rPr>
              <w:t>Over 29 </w:t>
            </w:r>
            <w:r w:rsidRPr="00212667">
              <w:rPr>
                <w:iCs/>
                <w:szCs w:val="24"/>
              </w:rPr>
              <w:t xml:space="preserve">100 people received assistance through the Victorian aids and equipment program. </w:t>
            </w:r>
          </w:p>
          <w:p w:rsidR="00DD2380" w:rsidRPr="003C53AB" w:rsidRDefault="00DD2380" w:rsidP="00DD2380">
            <w:pPr>
              <w:pStyle w:val="Jurisdictioncommentslistbullet"/>
              <w:rPr>
                <w:szCs w:val="24"/>
              </w:rPr>
            </w:pPr>
            <w:r>
              <w:rPr>
                <w:szCs w:val="24"/>
              </w:rPr>
              <w:t xml:space="preserve">$14.1 million was provided </w:t>
            </w:r>
            <w:r w:rsidR="007058B9">
              <w:rPr>
                <w:szCs w:val="24"/>
              </w:rPr>
              <w:t>in the 2013</w:t>
            </w:r>
            <w:r w:rsidR="00B84AF2">
              <w:rPr>
                <w:szCs w:val="24"/>
              </w:rPr>
              <w:noBreakHyphen/>
            </w:r>
            <w:r>
              <w:rPr>
                <w:szCs w:val="24"/>
              </w:rPr>
              <w:t xml:space="preserve">14 State Budget to further move from outmoded congregate care models to supported accommodation. The funding </w:t>
            </w:r>
            <w:r w:rsidRPr="003C53AB">
              <w:rPr>
                <w:szCs w:val="24"/>
              </w:rPr>
              <w:t>allow</w:t>
            </w:r>
            <w:r>
              <w:rPr>
                <w:szCs w:val="24"/>
              </w:rPr>
              <w:t>s</w:t>
            </w:r>
            <w:r w:rsidRPr="003C53AB">
              <w:rPr>
                <w:szCs w:val="24"/>
              </w:rPr>
              <w:t xml:space="preserve"> </w:t>
            </w:r>
            <w:r>
              <w:rPr>
                <w:szCs w:val="24"/>
              </w:rPr>
              <w:t xml:space="preserve">for </w:t>
            </w:r>
            <w:r w:rsidRPr="003C53AB">
              <w:rPr>
                <w:szCs w:val="24"/>
              </w:rPr>
              <w:t>the closure of the Oakleigh Centre congregate services, which accommodates 29 people with an intellectual disability.</w:t>
            </w:r>
            <w:r>
              <w:rPr>
                <w:szCs w:val="24"/>
              </w:rPr>
              <w:t xml:space="preserve"> Plans are also underway to build new accommodation for the residents of another congregate care facility, Sandhurst Residential Services. </w:t>
            </w:r>
          </w:p>
          <w:p w:rsidR="00DD2380" w:rsidRPr="003C53AB" w:rsidRDefault="00DD2380" w:rsidP="00DD2380">
            <w:pPr>
              <w:pStyle w:val="Jurisdictioncommentslistbullet"/>
              <w:rPr>
                <w:szCs w:val="24"/>
              </w:rPr>
            </w:pPr>
            <w:r w:rsidRPr="003C53AB">
              <w:rPr>
                <w:rFonts w:cs="Arial"/>
                <w:color w:val="000000"/>
                <w:szCs w:val="24"/>
              </w:rPr>
              <w:t>A new facility based respite service opened in June 2014, providing respite options for people with a disability and their families in the Morwell area.</w:t>
            </w:r>
          </w:p>
          <w:p w:rsidR="00DD2380" w:rsidRPr="00CF668E" w:rsidRDefault="00DD2380" w:rsidP="00DD2380">
            <w:pPr>
              <w:pStyle w:val="Jurisdictioncommentslistbullet"/>
              <w:rPr>
                <w:rFonts w:cs="Arial"/>
                <w:sz w:val="20"/>
              </w:rPr>
            </w:pPr>
            <w:r w:rsidRPr="00CF668E">
              <w:rPr>
                <w:iCs/>
                <w:szCs w:val="24"/>
              </w:rPr>
              <w:t xml:space="preserve">In May 2014, more than 400 people with a disability from metropolitan and rural Victoria provided their views on the progress of Victorian state disability plan 2013–16, as part of a statewide survey. The results will be used to monitor the effectiveness of the plan and help ensure that it is meeting the needs of people with a disability. </w:t>
            </w:r>
          </w:p>
          <w:p w:rsidR="00DD2380" w:rsidRPr="00950E3C" w:rsidRDefault="00DD2380" w:rsidP="00DD2380">
            <w:pPr>
              <w:pStyle w:val="Jurisdictioncommentslistbullet"/>
              <w:rPr>
                <w:rFonts w:cs="Arial"/>
                <w:sz w:val="20"/>
              </w:rPr>
            </w:pPr>
            <w:r w:rsidRPr="00950E3C">
              <w:rPr>
                <w:iCs/>
                <w:szCs w:val="24"/>
              </w:rPr>
              <w:t>Victoria continues to build on its achievements in disability reform to ensure people with a disability have more choice and more tailored su</w:t>
            </w:r>
            <w:r>
              <w:rPr>
                <w:iCs/>
                <w:szCs w:val="24"/>
              </w:rPr>
              <w:t xml:space="preserve">pports to live independently. </w:t>
            </w:r>
          </w:p>
          <w:p w:rsidR="00DD2380" w:rsidRPr="00950E3C" w:rsidRDefault="00BB4667" w:rsidP="00DD2380">
            <w:pPr>
              <w:pStyle w:val="Jurisdictioncommentslistbullet"/>
              <w:rPr>
                <w:rFonts w:cs="Arial"/>
                <w:sz w:val="20"/>
              </w:rPr>
            </w:pPr>
            <w:r>
              <w:rPr>
                <w:iCs/>
                <w:szCs w:val="24"/>
              </w:rPr>
              <w:t>A</w:t>
            </w:r>
            <w:r w:rsidR="00DD2380" w:rsidRPr="00950E3C">
              <w:rPr>
                <w:iCs/>
                <w:szCs w:val="24"/>
              </w:rPr>
              <w:t xml:space="preserve"> three year trial of the National Disability Insurance Scheme</w:t>
            </w:r>
            <w:r w:rsidR="007058B9">
              <w:rPr>
                <w:iCs/>
                <w:szCs w:val="24"/>
              </w:rPr>
              <w:t xml:space="preserve"> (NDIS)</w:t>
            </w:r>
            <w:r w:rsidR="00DD2380" w:rsidRPr="00950E3C">
              <w:rPr>
                <w:iCs/>
                <w:szCs w:val="24"/>
              </w:rPr>
              <w:t xml:space="preserve"> in the Barwon area commenced on 1</w:t>
            </w:r>
            <w:r w:rsidR="00B84AF2">
              <w:rPr>
                <w:iCs/>
                <w:szCs w:val="24"/>
              </w:rPr>
              <w:t> </w:t>
            </w:r>
            <w:r w:rsidR="00DD2380" w:rsidRPr="00950E3C">
              <w:rPr>
                <w:iCs/>
                <w:szCs w:val="24"/>
              </w:rPr>
              <w:t>July 2013 and will support over 5000 people with disabili</w:t>
            </w:r>
            <w:r w:rsidR="00DD2380">
              <w:rPr>
                <w:iCs/>
                <w:szCs w:val="24"/>
              </w:rPr>
              <w:t>ty by the end of trial period.</w:t>
            </w:r>
          </w:p>
          <w:p w:rsidR="001F39F2" w:rsidRPr="00DD2380" w:rsidRDefault="00DD2380" w:rsidP="008D7CDF">
            <w:pPr>
              <w:pStyle w:val="Jurisdictioncommentslistbullet"/>
              <w:spacing w:after="120"/>
            </w:pPr>
            <w:r w:rsidRPr="00950E3C">
              <w:rPr>
                <w:iCs/>
                <w:szCs w:val="24"/>
              </w:rPr>
              <w:t>The Victorian Government committed $320 million during the trial period to support the establishment of the NDIS. A further $25 million was also provided over three years to support the establishment of the National Disability Insurance Agency (</w:t>
            </w:r>
            <w:r>
              <w:rPr>
                <w:iCs/>
                <w:szCs w:val="24"/>
              </w:rPr>
              <w:t xml:space="preserve">NDIA) headquarters in Geelong. In the first year of trial </w:t>
            </w:r>
            <w:r w:rsidRPr="004D14FE">
              <w:rPr>
                <w:iCs/>
                <w:szCs w:val="24"/>
              </w:rPr>
              <w:t>2897</w:t>
            </w:r>
            <w:r w:rsidRPr="00950E3C">
              <w:rPr>
                <w:iCs/>
                <w:szCs w:val="24"/>
              </w:rPr>
              <w:t xml:space="preserve"> participants were supported by the scheme. All clients on the Disability Support Register and the Early Childhood Intervention Service wait list were the first cohorts to transition into the scheme and there is no wait list for these services operating in the trial site. Other </w:t>
            </w:r>
            <w:r w:rsidR="007058B9">
              <w:rPr>
                <w:iCs/>
                <w:szCs w:val="24"/>
              </w:rPr>
              <w:t>S</w:t>
            </w:r>
            <w:r w:rsidRPr="00950E3C">
              <w:rPr>
                <w:iCs/>
                <w:szCs w:val="24"/>
              </w:rPr>
              <w:t xml:space="preserve">tate funded clients progressively transferred </w:t>
            </w:r>
            <w:r w:rsidR="007058B9">
              <w:rPr>
                <w:iCs/>
                <w:szCs w:val="24"/>
              </w:rPr>
              <w:t>into the scheme throughout 2012</w:t>
            </w:r>
            <w:r w:rsidR="00B84AF2">
              <w:rPr>
                <w:iCs/>
                <w:szCs w:val="24"/>
              </w:rPr>
              <w:noBreakHyphen/>
            </w:r>
            <w:r w:rsidRPr="00950E3C">
              <w:rPr>
                <w:iCs/>
                <w:szCs w:val="24"/>
              </w:rPr>
              <w:t>13 and this process will be completed in the first hal</w:t>
            </w:r>
            <w:r w:rsidR="007058B9">
              <w:rPr>
                <w:iCs/>
                <w:szCs w:val="24"/>
              </w:rPr>
              <w:t>f of 2014</w:t>
            </w:r>
            <w:r w:rsidR="00B84AF2">
              <w:rPr>
                <w:iCs/>
                <w:szCs w:val="24"/>
              </w:rPr>
              <w:noBreakHyphen/>
            </w:r>
            <w:r w:rsidRPr="00950E3C">
              <w:rPr>
                <w:iCs/>
                <w:szCs w:val="24"/>
              </w:rPr>
              <w:t>15.</w:t>
            </w:r>
          </w:p>
        </w:tc>
        <w:tc>
          <w:tcPr>
            <w:tcW w:w="850" w:type="dxa"/>
            <w:tcBorders>
              <w:left w:val="nil"/>
            </w:tcBorders>
          </w:tcPr>
          <w:p w:rsidR="00C010BE" w:rsidRPr="00DD2380" w:rsidRDefault="001F39F2" w:rsidP="00585E2C">
            <w:pPr>
              <w:pStyle w:val="BodyText"/>
              <w:rPr>
                <w:rFonts w:ascii="Arial" w:hAnsi="Arial"/>
              </w:rPr>
            </w:pP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p>
          <w:p w:rsidR="00C010BE" w:rsidRPr="00DD2380" w:rsidRDefault="00C010BE" w:rsidP="00585E2C">
            <w:pPr>
              <w:pStyle w:val="BodyText"/>
              <w:rPr>
                <w:rFonts w:ascii="Arial" w:hAnsi="Arial"/>
              </w:rPr>
            </w:pPr>
          </w:p>
          <w:p w:rsidR="00C010BE" w:rsidRPr="00DD2380" w:rsidRDefault="00C010BE" w:rsidP="00585E2C">
            <w:pPr>
              <w:pStyle w:val="BodyText"/>
              <w:rPr>
                <w:rFonts w:ascii="Arial" w:hAnsi="Arial"/>
              </w:rPr>
            </w:pPr>
          </w:p>
          <w:p w:rsidR="00C010BE" w:rsidRPr="00DD2380" w:rsidRDefault="00C010BE" w:rsidP="00585E2C">
            <w:pPr>
              <w:pStyle w:val="BodyText"/>
              <w:rPr>
                <w:rFonts w:ascii="Arial" w:hAnsi="Arial"/>
              </w:rPr>
            </w:pPr>
          </w:p>
          <w:p w:rsidR="001F39F2" w:rsidRPr="00DD2380" w:rsidRDefault="001F39F2" w:rsidP="00585E2C">
            <w:pPr>
              <w:pStyle w:val="BodyText"/>
              <w:rPr>
                <w:sz w:val="132"/>
              </w:rPr>
            </w:pPr>
            <w:r w:rsidRPr="00DD2380">
              <w:rPr>
                <w:rFonts w:ascii="Arial" w:hAnsi="Arial"/>
              </w:rPr>
              <w:br/>
            </w:r>
            <w:r w:rsidRPr="00DD2380">
              <w:rPr>
                <w:b/>
                <w:sz w:val="132"/>
              </w:rPr>
              <w:t>”</w:t>
            </w:r>
          </w:p>
        </w:tc>
      </w:tr>
    </w:tbl>
    <w:p w:rsidR="000261E8" w:rsidRDefault="000261E8">
      <w:r>
        <w:br w:type="page"/>
      </w:r>
    </w:p>
    <w:tbl>
      <w:tblPr>
        <w:tblW w:w="10632" w:type="dxa"/>
        <w:tblInd w:w="-885" w:type="dxa"/>
        <w:tblLayout w:type="fixed"/>
        <w:tblLook w:val="0000" w:firstRow="0" w:lastRow="0" w:firstColumn="0" w:lastColumn="0" w:noHBand="0" w:noVBand="0"/>
      </w:tblPr>
      <w:tblGrid>
        <w:gridCol w:w="993"/>
        <w:gridCol w:w="8789"/>
        <w:gridCol w:w="850"/>
      </w:tblGrid>
      <w:tr w:rsidR="008F5F24" w:rsidRPr="00DD2380" w:rsidTr="002450EA">
        <w:trPr>
          <w:cantSplit/>
        </w:trPr>
        <w:tc>
          <w:tcPr>
            <w:tcW w:w="993" w:type="dxa"/>
            <w:vMerge w:val="restart"/>
          </w:tcPr>
          <w:p w:rsidR="001F39F2" w:rsidRPr="00DD2380" w:rsidRDefault="001F39F2" w:rsidP="00585E2C">
            <w:pPr>
              <w:pStyle w:val="BodyText"/>
            </w:pPr>
            <w:r w:rsidRPr="00DD2380">
              <w:rPr>
                <w:b/>
                <w:sz w:val="132"/>
              </w:rPr>
              <w:lastRenderedPageBreak/>
              <w:t>“</w:t>
            </w:r>
          </w:p>
        </w:tc>
        <w:tc>
          <w:tcPr>
            <w:tcW w:w="8789" w:type="dxa"/>
          </w:tcPr>
          <w:p w:rsidR="001F39F2" w:rsidRPr="00DD2380" w:rsidRDefault="001F39F2" w:rsidP="00585E2C">
            <w:pPr>
              <w:pStyle w:val="Jurisdictioncommentsheading"/>
            </w:pPr>
            <w:r w:rsidRPr="00DD2380">
              <w:t>Queensland Government comments</w:t>
            </w:r>
          </w:p>
        </w:tc>
        <w:tc>
          <w:tcPr>
            <w:tcW w:w="850" w:type="dxa"/>
          </w:tcPr>
          <w:p w:rsidR="001F39F2" w:rsidRPr="00DD2380" w:rsidRDefault="001F39F2" w:rsidP="00585E2C">
            <w:pPr>
              <w:spacing w:after="140"/>
              <w:rPr>
                <w:rFonts w:ascii="Arial" w:hAnsi="Arial"/>
                <w:b/>
              </w:rPr>
            </w:pPr>
          </w:p>
        </w:tc>
      </w:tr>
      <w:tr w:rsidR="00375FFD" w:rsidRPr="00DD2380" w:rsidTr="00375FFD">
        <w:trPr>
          <w:cantSplit/>
          <w:trHeight w:hRule="exact" w:val="12497"/>
        </w:trPr>
        <w:tc>
          <w:tcPr>
            <w:tcW w:w="993" w:type="dxa"/>
            <w:vMerge/>
          </w:tcPr>
          <w:p w:rsidR="001F39F2" w:rsidRPr="00DD2380" w:rsidRDefault="001F39F2" w:rsidP="00585E2C">
            <w:pPr>
              <w:pStyle w:val="BodyText"/>
            </w:pPr>
          </w:p>
        </w:tc>
        <w:tc>
          <w:tcPr>
            <w:tcW w:w="8789" w:type="dxa"/>
          </w:tcPr>
          <w:p w:rsidR="00DD2380" w:rsidRPr="00932E62" w:rsidRDefault="00DD2380" w:rsidP="00DD2380">
            <w:pPr>
              <w:pStyle w:val="Jurisdictioncommentsbodytext"/>
              <w:rPr>
                <w:rFonts w:cs="Arial"/>
                <w:szCs w:val="24"/>
              </w:rPr>
            </w:pPr>
            <w:r w:rsidRPr="00932E62">
              <w:rPr>
                <w:rFonts w:cs="Arial"/>
                <w:szCs w:val="24"/>
              </w:rPr>
              <w:t xml:space="preserve">In December 2013, the Queensland Government released the </w:t>
            </w:r>
            <w:r w:rsidRPr="00932E62">
              <w:rPr>
                <w:rFonts w:cs="Arial"/>
                <w:i/>
                <w:szCs w:val="24"/>
              </w:rPr>
              <w:t>Queensland Disability Plan 2014</w:t>
            </w:r>
            <w:r>
              <w:rPr>
                <w:rFonts w:cs="Arial"/>
                <w:i/>
                <w:szCs w:val="24"/>
              </w:rPr>
              <w:t>–</w:t>
            </w:r>
            <w:r w:rsidRPr="00932E62">
              <w:rPr>
                <w:rFonts w:cs="Arial"/>
                <w:i/>
                <w:szCs w:val="24"/>
              </w:rPr>
              <w:t>19</w:t>
            </w:r>
            <w:r w:rsidRPr="00932E62">
              <w:rPr>
                <w:rFonts w:cs="Arial"/>
                <w:szCs w:val="24"/>
              </w:rPr>
              <w:t xml:space="preserve"> </w:t>
            </w:r>
            <w:r w:rsidR="003C6EE8">
              <w:rPr>
                <w:rFonts w:cs="Arial"/>
                <w:szCs w:val="24"/>
              </w:rPr>
              <w:t>—</w:t>
            </w:r>
            <w:r w:rsidRPr="00932E62">
              <w:rPr>
                <w:rFonts w:cs="Arial"/>
                <w:szCs w:val="24"/>
              </w:rPr>
              <w:t xml:space="preserve"> </w:t>
            </w:r>
            <w:r w:rsidRPr="00932E62">
              <w:rPr>
                <w:rFonts w:cs="Arial"/>
                <w:i/>
                <w:szCs w:val="24"/>
              </w:rPr>
              <w:t>Enabling choices and opportunities</w:t>
            </w:r>
            <w:r w:rsidRPr="00932E62">
              <w:rPr>
                <w:rFonts w:cs="Arial"/>
                <w:szCs w:val="24"/>
              </w:rPr>
              <w:t>, to prepare Queensland for the roll</w:t>
            </w:r>
            <w:r w:rsidR="00B84AF2">
              <w:rPr>
                <w:rFonts w:cs="Arial"/>
                <w:szCs w:val="24"/>
              </w:rPr>
              <w:noBreakHyphen/>
            </w:r>
            <w:r w:rsidRPr="00932E62">
              <w:rPr>
                <w:rFonts w:cs="Arial"/>
                <w:szCs w:val="24"/>
              </w:rPr>
              <w:t>out of the National Disability Insurance Scheme (NDIS) from July 2016 and expected to be fully implemented by 2019.</w:t>
            </w:r>
          </w:p>
          <w:p w:rsidR="00DD2380" w:rsidRPr="00932E62" w:rsidRDefault="00DD2380" w:rsidP="00DD2380">
            <w:pPr>
              <w:pStyle w:val="Jurisdictioncommentsbodytext"/>
              <w:rPr>
                <w:rFonts w:cs="Arial"/>
                <w:szCs w:val="24"/>
              </w:rPr>
            </w:pPr>
            <w:r w:rsidRPr="00932E62">
              <w:rPr>
                <w:rFonts w:cs="Arial"/>
                <w:szCs w:val="24"/>
              </w:rPr>
              <w:t>As part of the state’s commitment to the NDIS, an additional $868 million was invested in disability services. In 2013</w:t>
            </w:r>
            <w:r w:rsidR="00B84AF2">
              <w:rPr>
                <w:rFonts w:cs="Arial"/>
                <w:szCs w:val="24"/>
              </w:rPr>
              <w:noBreakHyphen/>
            </w:r>
            <w:r w:rsidRPr="00932E62">
              <w:rPr>
                <w:rFonts w:cs="Arial"/>
                <w:szCs w:val="24"/>
              </w:rPr>
              <w:t>14, $25 million of the additional funding was made available to deliver additional accommodation and support services, assist young people with disability to move from the care of the state into supported accommodation, and provide immediate responses to urgent situations.</w:t>
            </w:r>
          </w:p>
          <w:p w:rsidR="00DD2380" w:rsidRDefault="00DD2380" w:rsidP="00DD2380">
            <w:pPr>
              <w:pStyle w:val="Jurisdictioncommentsbodytext"/>
              <w:rPr>
                <w:rFonts w:cs="Arial"/>
                <w:szCs w:val="24"/>
              </w:rPr>
            </w:pPr>
            <w:r w:rsidRPr="00932E62">
              <w:rPr>
                <w:rFonts w:cs="Arial"/>
                <w:szCs w:val="24"/>
              </w:rPr>
              <w:t>In 2013</w:t>
            </w:r>
            <w:r w:rsidR="00B84AF2">
              <w:rPr>
                <w:rFonts w:cs="Arial"/>
                <w:szCs w:val="24"/>
              </w:rPr>
              <w:noBreakHyphen/>
            </w:r>
            <w:r w:rsidRPr="00932E62">
              <w:rPr>
                <w:rFonts w:cs="Arial"/>
                <w:szCs w:val="24"/>
              </w:rPr>
              <w:t>14, the Queensland Government invested $1.98 million in delivering training and resources for people with disability, families and disability services providers to prepare for the consumer</w:t>
            </w:r>
            <w:r w:rsidR="00B84AF2">
              <w:rPr>
                <w:rFonts w:cs="Arial"/>
                <w:szCs w:val="24"/>
              </w:rPr>
              <w:noBreakHyphen/>
            </w:r>
            <w:r w:rsidRPr="00932E62">
              <w:rPr>
                <w:rFonts w:cs="Arial"/>
                <w:szCs w:val="24"/>
              </w:rPr>
              <w:t>driven NDIS market</w:t>
            </w:r>
            <w:r>
              <w:rPr>
                <w:rFonts w:cs="Arial"/>
                <w:szCs w:val="24"/>
              </w:rPr>
              <w:t>.</w:t>
            </w:r>
          </w:p>
          <w:p w:rsidR="00DD2380" w:rsidRPr="00932E62" w:rsidRDefault="00DD2380" w:rsidP="00DD2380">
            <w:pPr>
              <w:pStyle w:val="Jurisdictioncommentsbodytext"/>
              <w:rPr>
                <w:rFonts w:cs="Arial"/>
                <w:szCs w:val="24"/>
              </w:rPr>
            </w:pPr>
            <w:r w:rsidRPr="00932E62">
              <w:rPr>
                <w:rFonts w:cs="Arial"/>
                <w:szCs w:val="24"/>
              </w:rPr>
              <w:t xml:space="preserve">Planning commenced between the Australian and Queensland Governments for an agreement that will set out arrangements for eligible people with disability to transition between 2016 and 2019 to the NDIS. The bilateral agreement </w:t>
            </w:r>
            <w:r>
              <w:rPr>
                <w:rFonts w:cs="Arial"/>
                <w:szCs w:val="24"/>
              </w:rPr>
              <w:t>is scheduled to</w:t>
            </w:r>
            <w:r w:rsidRPr="00932E62">
              <w:rPr>
                <w:rFonts w:cs="Arial"/>
                <w:szCs w:val="24"/>
              </w:rPr>
              <w:t xml:space="preserve"> be in place by December 2014 in line with the Heads of Agreement timetable. </w:t>
            </w:r>
          </w:p>
          <w:p w:rsidR="00DD2380" w:rsidRPr="00932E62" w:rsidRDefault="00DD2380" w:rsidP="00DD2380">
            <w:pPr>
              <w:pStyle w:val="Jurisdictioncommentsbodytext"/>
              <w:rPr>
                <w:rFonts w:cs="Arial"/>
                <w:szCs w:val="24"/>
              </w:rPr>
            </w:pPr>
            <w:r w:rsidRPr="00D26296">
              <w:rPr>
                <w:rFonts w:cs="Arial"/>
                <w:szCs w:val="24"/>
              </w:rPr>
              <w:t>In 2013</w:t>
            </w:r>
            <w:r w:rsidR="00B84AF2">
              <w:rPr>
                <w:rFonts w:cs="Arial"/>
                <w:szCs w:val="24"/>
              </w:rPr>
              <w:noBreakHyphen/>
            </w:r>
            <w:r w:rsidRPr="00D26296">
              <w:rPr>
                <w:rFonts w:cs="Arial"/>
                <w:szCs w:val="24"/>
              </w:rPr>
              <w:t xml:space="preserve">14, planning commenced for a </w:t>
            </w:r>
            <w:r w:rsidRPr="00D26296">
              <w:rPr>
                <w:rFonts w:cs="Arial"/>
                <w:color w:val="000000" w:themeColor="text1"/>
                <w:szCs w:val="24"/>
              </w:rPr>
              <w:t>Queensland</w:t>
            </w:r>
            <w:r w:rsidRPr="00D26296">
              <w:rPr>
                <w:rFonts w:cs="Arial"/>
                <w:szCs w:val="24"/>
              </w:rPr>
              <w:t xml:space="preserve"> Sector NDIS Workforce Strategy and a Queensland Aboriginal and Torres Strait Islander NDIS Workforce Strategy with the aim to assist organisations to attract and retain skilled workers to meet the expected increased workforce demand of 13</w:t>
            </w:r>
            <w:r>
              <w:rPr>
                <w:rFonts w:cs="Arial"/>
                <w:szCs w:val="24"/>
              </w:rPr>
              <w:t> </w:t>
            </w:r>
            <w:r w:rsidRPr="00D26296">
              <w:rPr>
                <w:rFonts w:cs="Arial"/>
                <w:szCs w:val="24"/>
              </w:rPr>
              <w:t>000</w:t>
            </w:r>
            <w:r w:rsidR="00FF6647">
              <w:rPr>
                <w:rFonts w:cs="Arial"/>
                <w:szCs w:val="24"/>
              </w:rPr>
              <w:t> </w:t>
            </w:r>
            <w:r w:rsidRPr="00D26296">
              <w:rPr>
                <w:rFonts w:cs="Arial"/>
                <w:szCs w:val="24"/>
              </w:rPr>
              <w:t>jobs.</w:t>
            </w:r>
            <w:r w:rsidRPr="00932E62">
              <w:rPr>
                <w:rFonts w:cs="Arial"/>
                <w:szCs w:val="24"/>
              </w:rPr>
              <w:t xml:space="preserve"> </w:t>
            </w:r>
          </w:p>
          <w:p w:rsidR="00DD2380" w:rsidRPr="00932E62" w:rsidRDefault="00DD2380" w:rsidP="00DD2380">
            <w:pPr>
              <w:pStyle w:val="Jurisdictioncommentsbodytext"/>
              <w:rPr>
                <w:rFonts w:cs="Arial"/>
                <w:szCs w:val="24"/>
              </w:rPr>
            </w:pPr>
            <w:r w:rsidRPr="00932E62">
              <w:rPr>
                <w:rFonts w:cs="Arial"/>
                <w:szCs w:val="24"/>
              </w:rPr>
              <w:t>Your Life Your Choice self</w:t>
            </w:r>
            <w:r w:rsidR="00B84AF2">
              <w:rPr>
                <w:rFonts w:cs="Arial"/>
                <w:szCs w:val="24"/>
              </w:rPr>
              <w:noBreakHyphen/>
            </w:r>
            <w:r w:rsidRPr="00932E62">
              <w:rPr>
                <w:rFonts w:cs="Arial"/>
                <w:szCs w:val="24"/>
              </w:rPr>
              <w:t xml:space="preserve">directed support framework provides people with disability </w:t>
            </w:r>
            <w:r>
              <w:rPr>
                <w:rFonts w:cs="Arial"/>
                <w:szCs w:val="24"/>
              </w:rPr>
              <w:t xml:space="preserve">the opportunity </w:t>
            </w:r>
            <w:r w:rsidRPr="00932E62">
              <w:rPr>
                <w:rFonts w:cs="Arial"/>
                <w:szCs w:val="24"/>
              </w:rPr>
              <w:t>to have greater choice and control over the</w:t>
            </w:r>
            <w:r>
              <w:rPr>
                <w:rFonts w:cs="Arial"/>
                <w:szCs w:val="24"/>
              </w:rPr>
              <w:t>ir</w:t>
            </w:r>
            <w:r w:rsidRPr="00932E62">
              <w:rPr>
                <w:rFonts w:cs="Arial"/>
                <w:szCs w:val="24"/>
              </w:rPr>
              <w:t xml:space="preserve"> disability services. As at 30</w:t>
            </w:r>
            <w:r w:rsidR="00B84AF2">
              <w:rPr>
                <w:rFonts w:cs="Arial"/>
                <w:szCs w:val="24"/>
              </w:rPr>
              <w:t> </w:t>
            </w:r>
            <w:r w:rsidRPr="00932E62">
              <w:rPr>
                <w:rFonts w:cs="Arial"/>
                <w:szCs w:val="24"/>
              </w:rPr>
              <w:t>September 2014, there were 1197 people with disability who had chosen self</w:t>
            </w:r>
            <w:r w:rsidR="00B84AF2">
              <w:rPr>
                <w:rFonts w:cs="Arial"/>
                <w:szCs w:val="24"/>
              </w:rPr>
              <w:noBreakHyphen/>
            </w:r>
            <w:r w:rsidRPr="00932E62">
              <w:rPr>
                <w:rFonts w:cs="Arial"/>
                <w:szCs w:val="24"/>
              </w:rPr>
              <w:t>directed support; 75 chose to receive direct payments and 1122</w:t>
            </w:r>
            <w:r w:rsidR="00FF6647">
              <w:rPr>
                <w:rFonts w:cs="Arial"/>
                <w:szCs w:val="24"/>
              </w:rPr>
              <w:t> </w:t>
            </w:r>
            <w:r w:rsidRPr="00932E62">
              <w:rPr>
                <w:rFonts w:cs="Arial"/>
                <w:szCs w:val="24"/>
              </w:rPr>
              <w:t>chose to use a host provider.</w:t>
            </w:r>
          </w:p>
          <w:p w:rsidR="00DD2380" w:rsidRPr="00932E62" w:rsidRDefault="00DD2380" w:rsidP="00DD2380">
            <w:pPr>
              <w:pStyle w:val="Jurisdictioncommentsbodytext"/>
              <w:rPr>
                <w:rFonts w:cs="Arial"/>
                <w:szCs w:val="24"/>
              </w:rPr>
            </w:pPr>
            <w:r w:rsidRPr="00932E62">
              <w:rPr>
                <w:rFonts w:cs="Arial"/>
                <w:szCs w:val="24"/>
              </w:rPr>
              <w:t>Commencing from 2012</w:t>
            </w:r>
            <w:r w:rsidR="00B84AF2">
              <w:rPr>
                <w:rFonts w:cs="Arial"/>
                <w:szCs w:val="24"/>
              </w:rPr>
              <w:noBreakHyphen/>
            </w:r>
            <w:r w:rsidRPr="00932E62">
              <w:rPr>
                <w:rFonts w:cs="Arial"/>
                <w:szCs w:val="24"/>
              </w:rPr>
              <w:t>13, the three</w:t>
            </w:r>
            <w:r w:rsidR="00B84AF2">
              <w:rPr>
                <w:rFonts w:cs="Arial"/>
                <w:szCs w:val="24"/>
              </w:rPr>
              <w:noBreakHyphen/>
            </w:r>
            <w:r w:rsidRPr="00932E62">
              <w:rPr>
                <w:rFonts w:cs="Arial"/>
                <w:szCs w:val="24"/>
              </w:rPr>
              <w:t>year Elderly Parent Carer Innovation Trial supports elderly parents of adult sons or daughters with disability to secure sustainable and long</w:t>
            </w:r>
            <w:r w:rsidR="00B84AF2">
              <w:rPr>
                <w:rFonts w:cs="Arial"/>
                <w:szCs w:val="24"/>
              </w:rPr>
              <w:noBreakHyphen/>
            </w:r>
            <w:r w:rsidRPr="00932E62">
              <w:rPr>
                <w:rFonts w:cs="Arial"/>
                <w:szCs w:val="24"/>
              </w:rPr>
              <w:t>term future living arrangements for when they are no longer able to care for their family member with disability. In 2013</w:t>
            </w:r>
            <w:r w:rsidR="00B84AF2">
              <w:rPr>
                <w:rFonts w:cs="Arial"/>
                <w:szCs w:val="24"/>
              </w:rPr>
              <w:noBreakHyphen/>
            </w:r>
            <w:r w:rsidRPr="00932E62">
              <w:rPr>
                <w:rFonts w:cs="Arial"/>
                <w:szCs w:val="24"/>
              </w:rPr>
              <w:t>14, two funding rounds were completed and over</w:t>
            </w:r>
            <w:r w:rsidRPr="00932E62">
              <w:rPr>
                <w:rFonts w:cs="Arial"/>
                <w:color w:val="1F497D"/>
                <w:szCs w:val="24"/>
              </w:rPr>
              <w:t xml:space="preserve"> </w:t>
            </w:r>
            <w:r w:rsidRPr="00932E62">
              <w:rPr>
                <w:rFonts w:cs="Arial"/>
                <w:szCs w:val="24"/>
              </w:rPr>
              <w:t xml:space="preserve">$7.18 million </w:t>
            </w:r>
            <w:proofErr w:type="gramStart"/>
            <w:r w:rsidRPr="00932E62">
              <w:rPr>
                <w:rFonts w:cs="Arial"/>
                <w:szCs w:val="24"/>
              </w:rPr>
              <w:t>was</w:t>
            </w:r>
            <w:proofErr w:type="gramEnd"/>
            <w:r w:rsidRPr="00932E62">
              <w:rPr>
                <w:rFonts w:cs="Arial"/>
                <w:szCs w:val="24"/>
              </w:rPr>
              <w:t xml:space="preserve"> awarded to create up to 61 plac</w:t>
            </w:r>
            <w:r w:rsidR="007058B9">
              <w:rPr>
                <w:rFonts w:cs="Arial"/>
                <w:szCs w:val="24"/>
              </w:rPr>
              <w:t>es for adults with disability.</w:t>
            </w:r>
          </w:p>
          <w:p w:rsidR="00DD2380" w:rsidRPr="00932E62" w:rsidRDefault="00DD2380" w:rsidP="00DD2380">
            <w:pPr>
              <w:pStyle w:val="Jurisdictioncommentsbodytext"/>
              <w:rPr>
                <w:rFonts w:cs="Arial"/>
                <w:b/>
                <w:szCs w:val="24"/>
              </w:rPr>
            </w:pPr>
            <w:r w:rsidRPr="00932E62">
              <w:rPr>
                <w:rFonts w:cs="Arial"/>
                <w:szCs w:val="24"/>
              </w:rPr>
              <w:t>In 2013</w:t>
            </w:r>
            <w:r w:rsidR="00B84AF2">
              <w:rPr>
                <w:rFonts w:cs="Arial"/>
                <w:szCs w:val="24"/>
              </w:rPr>
              <w:noBreakHyphen/>
            </w:r>
            <w:r w:rsidRPr="00932E62">
              <w:rPr>
                <w:rFonts w:cs="Arial"/>
                <w:szCs w:val="24"/>
              </w:rPr>
              <w:t>14, the Queensland Government provided Disability Services funding of $16.</w:t>
            </w:r>
            <w:r>
              <w:rPr>
                <w:rFonts w:cs="Arial"/>
                <w:szCs w:val="24"/>
              </w:rPr>
              <w:t>24</w:t>
            </w:r>
            <w:r w:rsidRPr="00932E62">
              <w:rPr>
                <w:rFonts w:cs="Arial"/>
                <w:szCs w:val="24"/>
              </w:rPr>
              <w:t xml:space="preserve"> million for the Spinal Cord Injuries Response (SCIR) program assisting 175 people with disability including 26 clients with new individual funding. </w:t>
            </w:r>
            <w:r w:rsidRPr="00012FFF">
              <w:rPr>
                <w:rFonts w:cs="Arial"/>
              </w:rPr>
              <w:t xml:space="preserve">In addition, $2.68 million was funded to </w:t>
            </w:r>
            <w:r>
              <w:rPr>
                <w:rFonts w:cs="Arial"/>
              </w:rPr>
              <w:t>51</w:t>
            </w:r>
            <w:r w:rsidRPr="00012FFF">
              <w:rPr>
                <w:rFonts w:cs="Arial"/>
              </w:rPr>
              <w:t xml:space="preserve"> people for home modifications.</w:t>
            </w:r>
          </w:p>
          <w:p w:rsidR="00DD2380" w:rsidRDefault="00DD2380" w:rsidP="00DD2380">
            <w:pPr>
              <w:pStyle w:val="Jurisdictioncommentsbodytext"/>
              <w:rPr>
                <w:rFonts w:cs="Arial"/>
                <w:szCs w:val="24"/>
              </w:rPr>
            </w:pPr>
            <w:r w:rsidRPr="00932E62">
              <w:rPr>
                <w:rFonts w:cs="Arial"/>
                <w:szCs w:val="24"/>
              </w:rPr>
              <w:t>In 2013</w:t>
            </w:r>
            <w:r w:rsidR="00B84AF2">
              <w:rPr>
                <w:rFonts w:cs="Arial"/>
                <w:szCs w:val="24"/>
              </w:rPr>
              <w:noBreakHyphen/>
            </w:r>
            <w:r w:rsidRPr="00932E62">
              <w:rPr>
                <w:rFonts w:cs="Arial"/>
                <w:szCs w:val="24"/>
              </w:rPr>
              <w:t>14, $2 million was allocated for 25 younger people with disability, who were long</w:t>
            </w:r>
            <w:r w:rsidR="00B84AF2">
              <w:rPr>
                <w:rFonts w:cs="Arial"/>
                <w:szCs w:val="24"/>
              </w:rPr>
              <w:noBreakHyphen/>
            </w:r>
            <w:r w:rsidRPr="00932E62">
              <w:rPr>
                <w:rFonts w:cs="Arial"/>
                <w:szCs w:val="24"/>
              </w:rPr>
              <w:t>stay residents in Queensland public health facilities, to transition to community living.</w:t>
            </w:r>
          </w:p>
          <w:p w:rsidR="001F39F2" w:rsidRPr="00DD2380" w:rsidRDefault="001F39F2" w:rsidP="00DF3F46">
            <w:pPr>
              <w:pStyle w:val="Jurisdictioncommentsbodytext"/>
            </w:pPr>
          </w:p>
        </w:tc>
        <w:tc>
          <w:tcPr>
            <w:tcW w:w="850" w:type="dxa"/>
            <w:tcBorders>
              <w:left w:val="nil"/>
            </w:tcBorders>
          </w:tcPr>
          <w:p w:rsidR="00A8683A" w:rsidRDefault="001F39F2" w:rsidP="00585E2C">
            <w:pPr>
              <w:pStyle w:val="BodyText"/>
              <w:rPr>
                <w:rFonts w:ascii="Arial" w:hAnsi="Arial"/>
              </w:rPr>
            </w:pP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Pr="00DD2380">
              <w:rPr>
                <w:rFonts w:ascii="Arial" w:hAnsi="Arial"/>
              </w:rPr>
              <w:br/>
            </w:r>
            <w:r w:rsidR="00263BEE" w:rsidRPr="00DD2380">
              <w:rPr>
                <w:rFonts w:ascii="Arial" w:hAnsi="Arial"/>
              </w:rPr>
              <w:br/>
            </w:r>
            <w:r w:rsidRPr="00DD2380">
              <w:rPr>
                <w:rFonts w:ascii="Arial" w:hAnsi="Arial"/>
              </w:rPr>
              <w:br/>
            </w:r>
          </w:p>
          <w:p w:rsidR="001F39F2" w:rsidRDefault="001F39F2" w:rsidP="00585E2C">
            <w:pPr>
              <w:pStyle w:val="BodyText"/>
            </w:pPr>
          </w:p>
          <w:p w:rsidR="00A8683A" w:rsidRDefault="00A8683A" w:rsidP="00585E2C">
            <w:pPr>
              <w:pStyle w:val="BodyText"/>
            </w:pPr>
          </w:p>
          <w:p w:rsidR="00A8683A" w:rsidRPr="00DD2380" w:rsidRDefault="00A8683A" w:rsidP="00585E2C">
            <w:pPr>
              <w:pStyle w:val="BodyText"/>
            </w:pPr>
          </w:p>
          <w:p w:rsidR="001F39F2" w:rsidRPr="00DD2380" w:rsidRDefault="001F39F2" w:rsidP="00585E2C">
            <w:pPr>
              <w:pStyle w:val="BodyText"/>
              <w:rPr>
                <w:sz w:val="132"/>
              </w:rPr>
            </w:pPr>
            <w:r w:rsidRPr="00DD2380">
              <w:rPr>
                <w:b/>
                <w:sz w:val="132"/>
              </w:rPr>
              <w:t>”</w:t>
            </w:r>
          </w:p>
        </w:tc>
      </w:tr>
    </w:tbl>
    <w:p w:rsidR="002450EA" w:rsidRPr="008F5F24" w:rsidRDefault="002450EA" w:rsidP="002450EA">
      <w:pPr>
        <w:pStyle w:val="BodyText"/>
        <w:rPr>
          <w:color w:val="A6A6A6" w:themeColor="background1" w:themeShade="A6"/>
        </w:rPr>
      </w:pPr>
      <w:r w:rsidRPr="008F5F24">
        <w:rPr>
          <w:color w:val="A6A6A6" w:themeColor="background1" w:themeShade="A6"/>
        </w:rPr>
        <w:br w:type="page"/>
      </w:r>
    </w:p>
    <w:tbl>
      <w:tblPr>
        <w:tblW w:w="10632" w:type="dxa"/>
        <w:tblInd w:w="-885" w:type="dxa"/>
        <w:tblLayout w:type="fixed"/>
        <w:tblLook w:val="0000" w:firstRow="0" w:lastRow="0" w:firstColumn="0" w:lastColumn="0" w:noHBand="0" w:noVBand="0"/>
      </w:tblPr>
      <w:tblGrid>
        <w:gridCol w:w="993"/>
        <w:gridCol w:w="8789"/>
        <w:gridCol w:w="850"/>
      </w:tblGrid>
      <w:tr w:rsidR="008F5F24" w:rsidRPr="00375FFD" w:rsidTr="00B83E02">
        <w:trPr>
          <w:cantSplit/>
        </w:trPr>
        <w:tc>
          <w:tcPr>
            <w:tcW w:w="993" w:type="dxa"/>
            <w:vMerge w:val="restart"/>
          </w:tcPr>
          <w:p w:rsidR="001F39F2" w:rsidRPr="00375FFD" w:rsidRDefault="001F39F2" w:rsidP="00585E2C">
            <w:pPr>
              <w:pStyle w:val="BodyText"/>
            </w:pPr>
            <w:r w:rsidRPr="00375FFD">
              <w:rPr>
                <w:b/>
                <w:sz w:val="132"/>
              </w:rPr>
              <w:lastRenderedPageBreak/>
              <w:t>“</w:t>
            </w:r>
          </w:p>
        </w:tc>
        <w:tc>
          <w:tcPr>
            <w:tcW w:w="8789" w:type="dxa"/>
          </w:tcPr>
          <w:p w:rsidR="001F39F2" w:rsidRPr="00375FFD" w:rsidRDefault="001F39F2" w:rsidP="00585E2C">
            <w:pPr>
              <w:pStyle w:val="Jurisdictioncommentsheading"/>
            </w:pPr>
            <w:r w:rsidRPr="00375FFD">
              <w:t>Western Australian Government comments</w:t>
            </w:r>
          </w:p>
        </w:tc>
        <w:tc>
          <w:tcPr>
            <w:tcW w:w="850" w:type="dxa"/>
          </w:tcPr>
          <w:p w:rsidR="001F39F2" w:rsidRPr="00375FFD" w:rsidRDefault="001F39F2" w:rsidP="00585E2C">
            <w:pPr>
              <w:spacing w:after="140"/>
              <w:rPr>
                <w:rFonts w:ascii="Arial" w:hAnsi="Arial"/>
                <w:b/>
              </w:rPr>
            </w:pPr>
          </w:p>
        </w:tc>
      </w:tr>
      <w:tr w:rsidR="008F5F24" w:rsidRPr="00375FFD" w:rsidTr="00B83E02">
        <w:trPr>
          <w:cantSplit/>
          <w:trHeight w:hRule="exact" w:val="12600"/>
        </w:trPr>
        <w:tc>
          <w:tcPr>
            <w:tcW w:w="993" w:type="dxa"/>
            <w:vMerge/>
          </w:tcPr>
          <w:p w:rsidR="001F39F2" w:rsidRPr="00375FFD" w:rsidRDefault="001F39F2" w:rsidP="00585E2C">
            <w:pPr>
              <w:pStyle w:val="BodyText"/>
            </w:pPr>
          </w:p>
        </w:tc>
        <w:tc>
          <w:tcPr>
            <w:tcW w:w="8789" w:type="dxa"/>
          </w:tcPr>
          <w:p w:rsidR="007058B9" w:rsidRDefault="007058B9" w:rsidP="00375FFD">
            <w:pPr>
              <w:pStyle w:val="Jurisdictioncommentsbodytext"/>
            </w:pPr>
            <w:r>
              <w:t>In 2013</w:t>
            </w:r>
            <w:r w:rsidR="00B84AF2">
              <w:noBreakHyphen/>
            </w:r>
            <w:r>
              <w:t>14, 24 </w:t>
            </w:r>
            <w:r w:rsidR="00375FFD">
              <w:t>017 West</w:t>
            </w:r>
            <w:r>
              <w:t>ern</w:t>
            </w:r>
            <w:r w:rsidR="00375FFD">
              <w:t xml:space="preserve"> Australians accessed a disability support service. The </w:t>
            </w:r>
            <w:r>
              <w:t>Disability Services C</w:t>
            </w:r>
            <w:r w:rsidR="00375FFD">
              <w:t xml:space="preserve">ommission’s </w:t>
            </w:r>
            <w:r>
              <w:t xml:space="preserve">(the </w:t>
            </w:r>
            <w:r w:rsidR="0010712D">
              <w:t>Commission</w:t>
            </w:r>
            <w:r>
              <w:t xml:space="preserve">) </w:t>
            </w:r>
            <w:r w:rsidR="00375FFD">
              <w:t>total expenditure was $794.12 million and averaged $33 065 per person in receipt of funded services.</w:t>
            </w:r>
            <w:r w:rsidR="0010712D">
              <w:t xml:space="preserve"> </w:t>
            </w:r>
            <w:r w:rsidR="00375FFD">
              <w:t xml:space="preserve">The Commission’s funding to disability sector organisations was $567.83 million, accounting for 71 per cent of the Commission’s total expenditure. </w:t>
            </w:r>
          </w:p>
          <w:p w:rsidR="00375FFD" w:rsidRDefault="007058B9" w:rsidP="00375FFD">
            <w:pPr>
              <w:pStyle w:val="Jurisdictioncommentsbodytext"/>
            </w:pPr>
            <w:r>
              <w:t>WA</w:t>
            </w:r>
            <w:r w:rsidR="00375FFD">
              <w:t xml:space="preserve"> has engaged in multiple reform projects in the transition towards a system where the individual with disability, their family and carers can have an increased level of control over determining what support or service they need, when they need it and which organisation they will use. </w:t>
            </w:r>
          </w:p>
          <w:p w:rsidR="00375FFD" w:rsidRDefault="00375FFD" w:rsidP="00375FFD">
            <w:pPr>
              <w:pStyle w:val="Jurisdictioncommentsbodytext"/>
            </w:pPr>
            <w:r>
              <w:t>Key in</w:t>
            </w:r>
            <w:r w:rsidR="007058B9">
              <w:t>itiatives implemented in 2013</w:t>
            </w:r>
            <w:r w:rsidR="00B84AF2">
              <w:noBreakHyphen/>
            </w:r>
            <w:r>
              <w:t>14 include:</w:t>
            </w:r>
          </w:p>
          <w:p w:rsidR="00375FFD" w:rsidRDefault="00375FFD" w:rsidP="00A8683A">
            <w:pPr>
              <w:pStyle w:val="Jurisdictioncommentslistbullet"/>
            </w:pPr>
            <w:r>
              <w:t>WA’s agreement to participate in the National Disability Insurance Scheme trial</w:t>
            </w:r>
            <w:r w:rsidR="007058B9">
              <w:t xml:space="preserve"> (NDIS)</w:t>
            </w:r>
            <w:r>
              <w:t>. Following the August 2013 agreement between the states and Commonwealth governments,</w:t>
            </w:r>
            <w:r w:rsidR="007058B9">
              <w:t xml:space="preserve"> WA</w:t>
            </w:r>
            <w:r>
              <w:t xml:space="preserve"> undertook significant steps to prepare for the 1 J</w:t>
            </w:r>
            <w:r w:rsidR="0010712D">
              <w:t>uly 2014 start of the two</w:t>
            </w:r>
            <w:r w:rsidR="00B84AF2">
              <w:noBreakHyphen/>
            </w:r>
            <w:r w:rsidR="0010712D">
              <w:t>model NDIS</w:t>
            </w:r>
            <w:r>
              <w:t xml:space="preserve"> trial in </w:t>
            </w:r>
            <w:r w:rsidR="007058B9">
              <w:t>WA</w:t>
            </w:r>
            <w:r>
              <w:t>, involving My Way NDIS in the Lower Southwest and NDIS</w:t>
            </w:r>
            <w:r w:rsidR="00B84AF2">
              <w:noBreakHyphen/>
            </w:r>
            <w:r>
              <w:t>NDIA in the Perth Hills.</w:t>
            </w:r>
          </w:p>
          <w:p w:rsidR="00375FFD" w:rsidRDefault="00375FFD" w:rsidP="00A8683A">
            <w:pPr>
              <w:pStyle w:val="Jurisdictioncommentslistbullet"/>
            </w:pPr>
            <w:r>
              <w:t>This year saw the establishment of a Disability Justice Service which supports people with disability who come in contact with the criminal justice system. A particular focus will be on supporting people with intellectual or cognitive disability who have been charged with offences but are deemed by the court system to be unfit to plead. Two key focus areas are the planning and preparation required to build and begin operating the state’s first disability justice centre by mid</w:t>
            </w:r>
            <w:r w:rsidR="00B84AF2">
              <w:noBreakHyphen/>
            </w:r>
            <w:r>
              <w:t>2015, and the start of the in</w:t>
            </w:r>
            <w:r w:rsidR="00B84AF2">
              <w:noBreakHyphen/>
            </w:r>
            <w:r>
              <w:t>reach service which provides support for people within prisons who have been unfit to stand trial.</w:t>
            </w:r>
          </w:p>
          <w:p w:rsidR="00375FFD" w:rsidRDefault="00375FFD" w:rsidP="00A8683A">
            <w:pPr>
              <w:pStyle w:val="Jurisdictioncommentslistbullet"/>
            </w:pPr>
            <w:r>
              <w:t>Roll</w:t>
            </w:r>
            <w:r w:rsidR="00B84AF2">
              <w:noBreakHyphen/>
            </w:r>
            <w:r>
              <w:t>out of the second round of State Government funding to support the sustainability of the not</w:t>
            </w:r>
            <w:r w:rsidR="00B84AF2">
              <w:noBreakHyphen/>
            </w:r>
            <w:r>
              <w:t>for</w:t>
            </w:r>
            <w:r w:rsidR="00B84AF2">
              <w:noBreakHyphen/>
            </w:r>
            <w:r>
              <w:t>profit sector. There was an allocation of $20 million for 2013</w:t>
            </w:r>
            <w:r w:rsidR="00B84AF2">
              <w:noBreakHyphen/>
            </w:r>
            <w:r>
              <w:t>14 and there w</w:t>
            </w:r>
            <w:r w:rsidR="0010712D">
              <w:t>ill be further funding in 2014</w:t>
            </w:r>
            <w:r w:rsidR="00B84AF2">
              <w:noBreakHyphen/>
            </w:r>
            <w:r>
              <w:t>15.</w:t>
            </w:r>
          </w:p>
          <w:p w:rsidR="00375FFD" w:rsidRDefault="00375FFD" w:rsidP="00A8683A">
            <w:pPr>
              <w:pStyle w:val="Jurisdictioncommentslistbullet"/>
            </w:pPr>
            <w:r>
              <w:t>The completion of a three</w:t>
            </w:r>
            <w:r w:rsidR="00B84AF2">
              <w:noBreakHyphen/>
            </w:r>
            <w:r>
              <w:t>year $95 million housing program that saw almost 240 people provided with universally designed community</w:t>
            </w:r>
            <w:r w:rsidR="00B84AF2">
              <w:noBreakHyphen/>
            </w:r>
            <w:r>
              <w:t xml:space="preserve">based accommodation. The housing program was a joint project between the </w:t>
            </w:r>
            <w:r w:rsidR="0010712D">
              <w:t>Commission</w:t>
            </w:r>
            <w:r>
              <w:t xml:space="preserve"> and the Department of Housing to find flexible appropriate housing that offered opportunities for people to live the life they chose in the community while meeting their disability</w:t>
            </w:r>
            <w:r w:rsidR="00B84AF2">
              <w:noBreakHyphen/>
            </w:r>
            <w:r>
              <w:t>related needs.</w:t>
            </w:r>
          </w:p>
          <w:p w:rsidR="001F39F2" w:rsidRPr="00375FFD" w:rsidRDefault="00375FFD" w:rsidP="00A8683A">
            <w:pPr>
              <w:pStyle w:val="Jurisdictioncommentsbodytext"/>
            </w:pPr>
            <w:r>
              <w:t>Preparations were made to enhance WA’s Quality System to incorporate the new national standards for disability services and ensure that requirements for the two</w:t>
            </w:r>
            <w:r w:rsidR="00B84AF2">
              <w:noBreakHyphen/>
            </w:r>
            <w:r>
              <w:t xml:space="preserve">model </w:t>
            </w:r>
            <w:r w:rsidR="0010712D">
              <w:t>NDIS</w:t>
            </w:r>
            <w:r>
              <w:t xml:space="preserve"> trial in WA are met</w:t>
            </w:r>
            <w:r w:rsidR="003C6EE8">
              <w:t>.</w:t>
            </w:r>
          </w:p>
        </w:tc>
        <w:tc>
          <w:tcPr>
            <w:tcW w:w="850" w:type="dxa"/>
            <w:tcBorders>
              <w:left w:val="nil"/>
            </w:tcBorders>
          </w:tcPr>
          <w:p w:rsidR="001F39F2" w:rsidRPr="00375FFD" w:rsidRDefault="001F39F2" w:rsidP="00585E2C">
            <w:pPr>
              <w:pStyle w:val="BodyText"/>
              <w:rPr>
                <w:rFonts w:ascii="Arial" w:hAnsi="Arial"/>
              </w:rPr>
            </w:pP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p>
          <w:p w:rsidR="001F39F2" w:rsidRPr="00375FFD" w:rsidRDefault="001F39F2" w:rsidP="00585E2C">
            <w:pPr>
              <w:pStyle w:val="BodyText"/>
              <w:rPr>
                <w:rFonts w:ascii="Arial" w:hAnsi="Arial"/>
              </w:rPr>
            </w:pPr>
          </w:p>
          <w:p w:rsidR="001F39F2" w:rsidRPr="00375FFD" w:rsidRDefault="001F39F2" w:rsidP="00585E2C">
            <w:pPr>
              <w:pStyle w:val="BodyText"/>
              <w:rPr>
                <w:rFonts w:ascii="Arial" w:hAnsi="Arial"/>
              </w:rPr>
            </w:pPr>
          </w:p>
          <w:p w:rsidR="00D478AD" w:rsidRPr="00375FFD" w:rsidRDefault="00D478AD" w:rsidP="00585E2C">
            <w:pPr>
              <w:pStyle w:val="BodyText"/>
              <w:rPr>
                <w:rFonts w:ascii="Arial" w:hAnsi="Arial"/>
              </w:rPr>
            </w:pPr>
          </w:p>
          <w:p w:rsidR="001F39F2" w:rsidRPr="00375FFD" w:rsidRDefault="001F39F2" w:rsidP="00362905">
            <w:pPr>
              <w:pStyle w:val="BodyText"/>
              <w:rPr>
                <w:sz w:val="132"/>
              </w:rPr>
            </w:pPr>
            <w:r w:rsidRPr="00375FFD">
              <w:rPr>
                <w:b/>
                <w:sz w:val="132"/>
              </w:rPr>
              <w:t>”</w:t>
            </w:r>
          </w:p>
        </w:tc>
      </w:tr>
    </w:tbl>
    <w:p w:rsidR="000261E8" w:rsidRDefault="000261E8">
      <w:r>
        <w:br w:type="page"/>
      </w:r>
    </w:p>
    <w:tbl>
      <w:tblPr>
        <w:tblW w:w="10632" w:type="dxa"/>
        <w:tblInd w:w="-885" w:type="dxa"/>
        <w:tblLayout w:type="fixed"/>
        <w:tblLook w:val="0000" w:firstRow="0" w:lastRow="0" w:firstColumn="0" w:lastColumn="0" w:noHBand="0" w:noVBand="0"/>
      </w:tblPr>
      <w:tblGrid>
        <w:gridCol w:w="993"/>
        <w:gridCol w:w="8789"/>
        <w:gridCol w:w="850"/>
      </w:tblGrid>
      <w:tr w:rsidR="008F5F24" w:rsidRPr="00AD1B3A" w:rsidTr="00B83E02">
        <w:trPr>
          <w:cantSplit/>
        </w:trPr>
        <w:tc>
          <w:tcPr>
            <w:tcW w:w="993" w:type="dxa"/>
            <w:vMerge w:val="restart"/>
          </w:tcPr>
          <w:p w:rsidR="001F39F2" w:rsidRPr="00AD1B3A" w:rsidRDefault="001F39F2" w:rsidP="00585E2C">
            <w:pPr>
              <w:pStyle w:val="BodyText"/>
            </w:pPr>
            <w:r w:rsidRPr="00AD1B3A">
              <w:rPr>
                <w:b/>
                <w:sz w:val="132"/>
              </w:rPr>
              <w:lastRenderedPageBreak/>
              <w:t>“</w:t>
            </w:r>
          </w:p>
        </w:tc>
        <w:tc>
          <w:tcPr>
            <w:tcW w:w="8789" w:type="dxa"/>
          </w:tcPr>
          <w:p w:rsidR="001F39F2" w:rsidRPr="00AD1B3A" w:rsidRDefault="001F39F2" w:rsidP="00585E2C">
            <w:pPr>
              <w:pStyle w:val="Jurisdictioncommentsheading"/>
            </w:pPr>
            <w:r w:rsidRPr="00AD1B3A">
              <w:t>South Australian Government comments</w:t>
            </w:r>
          </w:p>
        </w:tc>
        <w:tc>
          <w:tcPr>
            <w:tcW w:w="850" w:type="dxa"/>
          </w:tcPr>
          <w:p w:rsidR="001F39F2" w:rsidRPr="00AD1B3A" w:rsidRDefault="001F39F2" w:rsidP="00585E2C">
            <w:pPr>
              <w:spacing w:after="140"/>
              <w:rPr>
                <w:rFonts w:ascii="Arial" w:hAnsi="Arial"/>
                <w:b/>
              </w:rPr>
            </w:pPr>
          </w:p>
        </w:tc>
      </w:tr>
      <w:tr w:rsidR="00AD1B3A" w:rsidRPr="00AD1B3A" w:rsidTr="00AD1B3A">
        <w:trPr>
          <w:cantSplit/>
          <w:trHeight w:hRule="exact" w:val="12228"/>
        </w:trPr>
        <w:tc>
          <w:tcPr>
            <w:tcW w:w="993" w:type="dxa"/>
            <w:vMerge/>
          </w:tcPr>
          <w:p w:rsidR="001F39F2" w:rsidRPr="00AD1B3A" w:rsidRDefault="001F39F2" w:rsidP="00585E2C">
            <w:pPr>
              <w:pStyle w:val="BodyText"/>
            </w:pPr>
          </w:p>
        </w:tc>
        <w:tc>
          <w:tcPr>
            <w:tcW w:w="8789" w:type="dxa"/>
          </w:tcPr>
          <w:p w:rsidR="00AD1B3A" w:rsidRDefault="00AD1B3A" w:rsidP="00AD1B3A">
            <w:pPr>
              <w:pStyle w:val="Jurisdictioncommentsbodytext"/>
            </w:pPr>
            <w:r>
              <w:t xml:space="preserve">The South Australian Government is progressing significant reforms in the provision of disability services. A range of initiatives are being implemented to improve the rights, inclusion and participation of people with disability. These reforms are guided by the former Social Inclusion Board’s report </w:t>
            </w:r>
            <w:r>
              <w:rPr>
                <w:i/>
              </w:rPr>
              <w:t>Strong Voices: A Blueprint to Enhance Life and Claim the Rights of People with Disability in South Australia (2010</w:t>
            </w:r>
            <w:r w:rsidR="00B84AF2">
              <w:rPr>
                <w:i/>
              </w:rPr>
              <w:t>–</w:t>
            </w:r>
            <w:r>
              <w:rPr>
                <w:i/>
              </w:rPr>
              <w:t xml:space="preserve">2020). </w:t>
            </w:r>
          </w:p>
          <w:p w:rsidR="00AD1B3A" w:rsidRDefault="00AD1B3A" w:rsidP="00AD1B3A">
            <w:pPr>
              <w:pStyle w:val="Jurisdictioncommentsbodytext"/>
            </w:pPr>
            <w:r>
              <w:t>Highlights for 2013</w:t>
            </w:r>
            <w:r w:rsidR="00B84AF2">
              <w:noBreakHyphen/>
            </w:r>
            <w:r>
              <w:t>14 include:</w:t>
            </w:r>
          </w:p>
          <w:p w:rsidR="00AD1B3A" w:rsidRPr="004476A0" w:rsidRDefault="00AD1B3A" w:rsidP="00AD1B3A">
            <w:pPr>
              <w:pStyle w:val="Jurisdictioncommentslistbullet"/>
            </w:pPr>
            <w:r>
              <w:t>Launch of the National Disability Insurance Scheme</w:t>
            </w:r>
            <w:r w:rsidR="0010712D">
              <w:t xml:space="preserve"> (NDIS)</w:t>
            </w:r>
            <w:r>
              <w:t xml:space="preserve">. The focus of the trial in </w:t>
            </w:r>
            <w:r w:rsidR="0010712D">
              <w:t>SA</w:t>
            </w:r>
            <w:r>
              <w:t xml:space="preserve"> is on </w:t>
            </w:r>
            <w:r w:rsidRPr="00AD1B3A">
              <w:t>supporting</w:t>
            </w:r>
            <w:r>
              <w:t xml:space="preserve"> children aged from birth to 14 years. In the first year, over 1500 eligible children aged from birth to five years were able to access support through the NDIS and the scope is expanding each year. </w:t>
            </w:r>
          </w:p>
          <w:p w:rsidR="00AD1B3A" w:rsidRDefault="00AD1B3A" w:rsidP="00AD1B3A">
            <w:pPr>
              <w:pStyle w:val="Jurisdictioncommentslistbullet"/>
            </w:pPr>
            <w:r>
              <w:t>Expansion of State Government Individualised Funding Program, enabling people to have greater choice and control in the supports they need to achieve thei</w:t>
            </w:r>
            <w:r w:rsidR="0010712D">
              <w:t>r goals and aspirations. Over 3</w:t>
            </w:r>
            <w:r>
              <w:t>200 individuals in receipt of disability support services now have ongoing personal budgets.</w:t>
            </w:r>
          </w:p>
          <w:p w:rsidR="00AD1B3A" w:rsidRDefault="00AD1B3A" w:rsidP="00AD1B3A">
            <w:pPr>
              <w:pStyle w:val="Jurisdictioncommentslistbullet"/>
            </w:pPr>
            <w:r>
              <w:t>Implementation of a suite of policies which promote a systemic and systematic approach to safeguarding people with disability. These relate to management of care concerns, restrictive practices and supported decision making and consent.</w:t>
            </w:r>
          </w:p>
          <w:p w:rsidR="00AD1B3A" w:rsidRDefault="00AD1B3A" w:rsidP="0010712D">
            <w:pPr>
              <w:pStyle w:val="Jurisdictioncommentslistbullet"/>
            </w:pPr>
            <w:r>
              <w:t xml:space="preserve">Passing of </w:t>
            </w:r>
            <w:r w:rsidRPr="00AD1B3A">
              <w:rPr>
                <w:szCs w:val="24"/>
              </w:rPr>
              <w:t xml:space="preserve">the </w:t>
            </w:r>
            <w:r w:rsidRPr="00AD1B3A">
              <w:rPr>
                <w:i/>
                <w:szCs w:val="24"/>
              </w:rPr>
              <w:t>Disability Services (Assessment of Relevant History) Regulations 2014</w:t>
            </w:r>
            <w:r w:rsidRPr="00AD1B3A">
              <w:rPr>
                <w:szCs w:val="24"/>
              </w:rPr>
              <w:t xml:space="preserve">. </w:t>
            </w:r>
            <w:r w:rsidRPr="00224335">
              <w:t>These Regulations establish new screening arrangements for those who work or volunteer in the disability services sector, minimising the likelihood that a person who poses an unacceptable risk of harm or abuse is engaged in disability</w:t>
            </w:r>
            <w:r w:rsidR="00B84AF2">
              <w:noBreakHyphen/>
            </w:r>
            <w:r w:rsidRPr="00224335">
              <w:t>related work</w:t>
            </w:r>
            <w:r>
              <w:t xml:space="preserve">. A key feature of the Regulations is the concept of assessing an applicant’s ‘relevant history’ as opposed to simply ‘criminal history’. </w:t>
            </w:r>
            <w:r w:rsidRPr="00AD1453">
              <w:t>Relevant history is broader than criminal history and can also include police charges and workplace records held by government and non</w:t>
            </w:r>
            <w:r w:rsidR="00B84AF2">
              <w:noBreakHyphen/>
            </w:r>
            <w:r w:rsidRPr="00AD1453">
              <w:t>government agencies.</w:t>
            </w:r>
            <w:r w:rsidRPr="00AD1B3A">
              <w:rPr>
                <w:rFonts w:ascii="Bookman Old Style" w:hAnsi="Bookman Old Style"/>
              </w:rPr>
              <w:t xml:space="preserve"> </w:t>
            </w:r>
            <w:r>
              <w:t>Access to a greater range of information</w:t>
            </w:r>
            <w:r w:rsidRPr="00AD1453">
              <w:t xml:space="preserve"> facilitates a more robust screening </w:t>
            </w:r>
            <w:r>
              <w:t>assessment</w:t>
            </w:r>
            <w:r w:rsidRPr="00AD1453">
              <w:t>.</w:t>
            </w:r>
          </w:p>
          <w:p w:rsidR="00AD1B3A" w:rsidRDefault="00AD1B3A" w:rsidP="00AD1B3A">
            <w:pPr>
              <w:pStyle w:val="Jurisdictioncommentslistbullet"/>
            </w:pPr>
            <w:r>
              <w:t xml:space="preserve">Passing of the </w:t>
            </w:r>
            <w:r w:rsidRPr="00A35AD1">
              <w:t>Disability Services (Rights, Protection and Inclusion) Amendment Act</w:t>
            </w:r>
            <w:r>
              <w:t xml:space="preserve"> </w:t>
            </w:r>
            <w:r w:rsidRPr="00A35AD1">
              <w:t>2013</w:t>
            </w:r>
            <w:r>
              <w:t xml:space="preserve">. This followed significant consultation with people with disability, carers, advocates and organisations. The new Act contains a number of important provisions including referencing the United Nations </w:t>
            </w:r>
            <w:r w:rsidRPr="00AD1B3A">
              <w:rPr>
                <w:i/>
              </w:rPr>
              <w:t>Convention of the Rights of Persons with Disabilities</w:t>
            </w:r>
            <w:r>
              <w:t>, mandated safeguarding policies and strengthened powers to monitor and act on inadequate performance by agencies, both government and government</w:t>
            </w:r>
            <w:r w:rsidR="00B84AF2">
              <w:noBreakHyphen/>
            </w:r>
            <w:r>
              <w:t>funded.</w:t>
            </w:r>
          </w:p>
          <w:p w:rsidR="001F39F2" w:rsidRPr="00AD1B3A" w:rsidRDefault="00AD1B3A" w:rsidP="00AD1B3A">
            <w:pPr>
              <w:pStyle w:val="Jurisdictioncommentslistbullet"/>
            </w:pPr>
            <w:r>
              <w:t xml:space="preserve">Continued progress towards </w:t>
            </w:r>
            <w:r w:rsidRPr="00AD1B3A">
              <w:t>meeting</w:t>
            </w:r>
            <w:r>
              <w:t xml:space="preserve"> the </w:t>
            </w:r>
            <w:r>
              <w:rPr>
                <w:i/>
              </w:rPr>
              <w:t xml:space="preserve">South Australian Strategic </w:t>
            </w:r>
            <w:r w:rsidRPr="00230A10">
              <w:rPr>
                <w:i/>
              </w:rPr>
              <w:t>Plan</w:t>
            </w:r>
            <w:r>
              <w:t xml:space="preserve"> </w:t>
            </w:r>
            <w:r w:rsidRPr="008D6EB6">
              <w:t>www.saplan.org.au</w:t>
            </w:r>
            <w:r>
              <w:t xml:space="preserve"> Target 11, to increase the number of people with disability in stable, supported community accommodation to 7000 by 2020</w:t>
            </w:r>
            <w:r w:rsidR="0010712D">
              <w:t>.</w:t>
            </w:r>
          </w:p>
        </w:tc>
        <w:tc>
          <w:tcPr>
            <w:tcW w:w="850" w:type="dxa"/>
            <w:tcBorders>
              <w:left w:val="nil"/>
            </w:tcBorders>
          </w:tcPr>
          <w:p w:rsidR="001F39F2" w:rsidRPr="00AD1B3A" w:rsidRDefault="001F39F2" w:rsidP="00585E2C">
            <w:pPr>
              <w:pStyle w:val="BodyText"/>
              <w:rPr>
                <w:rFonts w:ascii="Arial" w:hAnsi="Arial"/>
              </w:rPr>
            </w:pP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r w:rsidRPr="00AD1B3A">
              <w:rPr>
                <w:rFonts w:ascii="Arial" w:hAnsi="Arial"/>
              </w:rPr>
              <w:br/>
            </w:r>
          </w:p>
          <w:p w:rsidR="00EC471A" w:rsidRDefault="00EC471A" w:rsidP="00585E2C">
            <w:pPr>
              <w:pStyle w:val="BodyText"/>
              <w:rPr>
                <w:rFonts w:ascii="Arial" w:hAnsi="Arial"/>
              </w:rPr>
            </w:pPr>
          </w:p>
          <w:p w:rsidR="00EC471A" w:rsidRDefault="00EC471A" w:rsidP="00585E2C">
            <w:pPr>
              <w:pStyle w:val="BodyText"/>
              <w:rPr>
                <w:rFonts w:ascii="Arial" w:hAnsi="Arial"/>
              </w:rPr>
            </w:pPr>
          </w:p>
          <w:p w:rsidR="001F39F2" w:rsidRPr="00AD1B3A" w:rsidRDefault="001F39F2" w:rsidP="00585E2C">
            <w:pPr>
              <w:pStyle w:val="BodyText"/>
            </w:pPr>
            <w:r w:rsidRPr="00AD1B3A">
              <w:rPr>
                <w:b/>
                <w:sz w:val="132"/>
              </w:rPr>
              <w:t>”</w:t>
            </w:r>
          </w:p>
        </w:tc>
      </w:tr>
    </w:tbl>
    <w:p w:rsidR="002450EA" w:rsidRPr="008F5F24" w:rsidRDefault="002450EA" w:rsidP="002450EA">
      <w:pPr>
        <w:pStyle w:val="BodyText"/>
        <w:rPr>
          <w:color w:val="A6A6A6" w:themeColor="background1" w:themeShade="A6"/>
        </w:rPr>
      </w:pPr>
      <w:r w:rsidRPr="008F5F24">
        <w:rPr>
          <w:color w:val="A6A6A6" w:themeColor="background1" w:themeShade="A6"/>
        </w:rPr>
        <w:br w:type="page"/>
      </w:r>
    </w:p>
    <w:tbl>
      <w:tblPr>
        <w:tblW w:w="10632" w:type="dxa"/>
        <w:tblInd w:w="-885" w:type="dxa"/>
        <w:tblLayout w:type="fixed"/>
        <w:tblLook w:val="0000" w:firstRow="0" w:lastRow="0" w:firstColumn="0" w:lastColumn="0" w:noHBand="0" w:noVBand="0"/>
      </w:tblPr>
      <w:tblGrid>
        <w:gridCol w:w="993"/>
        <w:gridCol w:w="8789"/>
        <w:gridCol w:w="850"/>
      </w:tblGrid>
      <w:tr w:rsidR="008F5F24" w:rsidRPr="00375FFD" w:rsidTr="00B83E02">
        <w:trPr>
          <w:cantSplit/>
        </w:trPr>
        <w:tc>
          <w:tcPr>
            <w:tcW w:w="993" w:type="dxa"/>
            <w:vMerge w:val="restart"/>
          </w:tcPr>
          <w:p w:rsidR="001F39F2" w:rsidRPr="00375FFD" w:rsidRDefault="001F39F2" w:rsidP="00585E2C">
            <w:pPr>
              <w:pStyle w:val="BodyText"/>
            </w:pPr>
            <w:r w:rsidRPr="00375FFD">
              <w:rPr>
                <w:b/>
                <w:sz w:val="132"/>
              </w:rPr>
              <w:lastRenderedPageBreak/>
              <w:t>“</w:t>
            </w:r>
          </w:p>
        </w:tc>
        <w:tc>
          <w:tcPr>
            <w:tcW w:w="8789" w:type="dxa"/>
          </w:tcPr>
          <w:p w:rsidR="001F39F2" w:rsidRPr="00375FFD" w:rsidRDefault="001F39F2" w:rsidP="00585E2C">
            <w:pPr>
              <w:pStyle w:val="Jurisdictioncommentsheading"/>
            </w:pPr>
            <w:r w:rsidRPr="00375FFD">
              <w:t>Tasmanian Government comments</w:t>
            </w:r>
          </w:p>
        </w:tc>
        <w:tc>
          <w:tcPr>
            <w:tcW w:w="850" w:type="dxa"/>
          </w:tcPr>
          <w:p w:rsidR="001F39F2" w:rsidRPr="00375FFD" w:rsidRDefault="001F39F2" w:rsidP="00585E2C">
            <w:pPr>
              <w:spacing w:after="140"/>
              <w:rPr>
                <w:rFonts w:ascii="Arial" w:hAnsi="Arial"/>
                <w:b/>
              </w:rPr>
            </w:pPr>
          </w:p>
        </w:tc>
      </w:tr>
      <w:tr w:rsidR="008F5F24" w:rsidRPr="00375FFD" w:rsidTr="00B83E02">
        <w:trPr>
          <w:cantSplit/>
          <w:trHeight w:hRule="exact" w:val="12600"/>
        </w:trPr>
        <w:tc>
          <w:tcPr>
            <w:tcW w:w="993" w:type="dxa"/>
            <w:vMerge/>
          </w:tcPr>
          <w:p w:rsidR="001F39F2" w:rsidRPr="00375FFD" w:rsidRDefault="001F39F2" w:rsidP="00585E2C">
            <w:pPr>
              <w:pStyle w:val="BodyText"/>
            </w:pPr>
          </w:p>
        </w:tc>
        <w:tc>
          <w:tcPr>
            <w:tcW w:w="8789" w:type="dxa"/>
          </w:tcPr>
          <w:p w:rsidR="00375FFD" w:rsidRDefault="00375FFD" w:rsidP="00375FFD">
            <w:pPr>
              <w:pStyle w:val="Jurisdictioncommentsbodytext"/>
            </w:pPr>
            <w:r>
              <w:t>In 2013</w:t>
            </w:r>
            <w:r w:rsidR="00B84AF2">
              <w:noBreakHyphen/>
            </w:r>
            <w:r>
              <w:t>14 Tasmania commenced a trial of the National Disability Insurance Scheme (NDIS) with a cohort of young people 15</w:t>
            </w:r>
            <w:r w:rsidR="003C6EE8">
              <w:t>–</w:t>
            </w:r>
            <w:r>
              <w:t>24 years of age. Eligible young people commenced entering the Scheme from July 2013. As at 30</w:t>
            </w:r>
            <w:r w:rsidR="00B84AF2">
              <w:t> </w:t>
            </w:r>
            <w:r>
              <w:t xml:space="preserve">June 2014, </w:t>
            </w:r>
            <w:r w:rsidR="00145AA8">
              <w:t>786</w:t>
            </w:r>
            <w:r>
              <w:t xml:space="preserve"> young people had become active participants in the NDIS</w:t>
            </w:r>
            <w:r w:rsidR="003C6EE8">
              <w:t>.</w:t>
            </w:r>
            <w:r>
              <w:t xml:space="preserve"> </w:t>
            </w:r>
          </w:p>
          <w:p w:rsidR="00375FFD" w:rsidRDefault="00375FFD" w:rsidP="00375FFD">
            <w:pPr>
              <w:pStyle w:val="Jurisdictioncommentsbodytext"/>
            </w:pPr>
            <w:r w:rsidRPr="0029237B">
              <w:t>The Disability Gateways, established in July 2010, provide an intake and referral model responsive to the needs of people with disability and work in partnership with mainstream and specialist disability services.</w:t>
            </w:r>
            <w:r>
              <w:t xml:space="preserve"> The Disability Gateways have played an active role in the NDIS trial in Tasmania, providing Local Area Coordination to participants in the Scheme in partnership with the National Disability Insurance Agency (NDIA).</w:t>
            </w:r>
          </w:p>
          <w:p w:rsidR="00375FFD" w:rsidRDefault="00375FFD" w:rsidP="00375FFD">
            <w:pPr>
              <w:pStyle w:val="Jurisdictioncommentsbodytext"/>
            </w:pPr>
            <w:r>
              <w:t>A review of Disability Gateways service model in 2012</w:t>
            </w:r>
            <w:r w:rsidR="00B84AF2">
              <w:noBreakHyphen/>
            </w:r>
            <w:r>
              <w:t>13 provided a comprehensive report and recommendations which Disability and Community Services and the Disability Gateways have worked together to implement over 2013</w:t>
            </w:r>
            <w:r w:rsidR="00B84AF2">
              <w:noBreakHyphen/>
            </w:r>
            <w:r>
              <w:t xml:space="preserve">14. The implementation of recommendations will continue through </w:t>
            </w:r>
            <w:r>
              <w:br/>
              <w:t>2014</w:t>
            </w:r>
            <w:r w:rsidR="00B84AF2">
              <w:noBreakHyphen/>
            </w:r>
            <w:r>
              <w:t>15.</w:t>
            </w:r>
          </w:p>
          <w:p w:rsidR="00375FFD" w:rsidRDefault="00375FFD" w:rsidP="00375FFD">
            <w:pPr>
              <w:pStyle w:val="Jurisdictioncommentsbodytext"/>
            </w:pPr>
            <w:r>
              <w:t>In 2013, Tasmania appointed a NDIS State Implementation Team (SIT) to work with the sector in order to ready non</w:t>
            </w:r>
            <w:r w:rsidR="00B84AF2">
              <w:noBreakHyphen/>
            </w:r>
            <w:r>
              <w:t>government disability service providers for the NDIS. The SIT have actively promoted sector development opportunities and worked with the NDIA, Disability Gateways and the sector to respond effectively to change.</w:t>
            </w:r>
          </w:p>
          <w:p w:rsidR="00375FFD" w:rsidRDefault="00375FFD" w:rsidP="00375FFD">
            <w:pPr>
              <w:pStyle w:val="Jurisdictioncommentsbodytext"/>
            </w:pPr>
            <w:r>
              <w:t>Tasmania undertook a Self</w:t>
            </w:r>
            <w:r w:rsidR="00B84AF2">
              <w:noBreakHyphen/>
            </w:r>
            <w:r>
              <w:t>Directed Funding pilot project with disability services clients outside the NDIS cohort during 2013</w:t>
            </w:r>
            <w:r w:rsidR="00B84AF2">
              <w:noBreakHyphen/>
            </w:r>
            <w:r>
              <w:t xml:space="preserve">14. The pilot was evaluated </w:t>
            </w:r>
            <w:r>
              <w:br/>
              <w:t>May</w:t>
            </w:r>
            <w:r w:rsidR="00B84AF2">
              <w:noBreakHyphen/>
            </w:r>
            <w:r>
              <w:t>June 2014. The evaluation showed that people participating in the pilot had positive experiences, demonstrated increased choice and control and reported greater wellbeing. Recommendations from the evaluation will be implemented during 2014</w:t>
            </w:r>
            <w:r w:rsidR="00B84AF2">
              <w:noBreakHyphen/>
            </w:r>
            <w:r>
              <w:t xml:space="preserve">15. </w:t>
            </w:r>
          </w:p>
          <w:p w:rsidR="00375FFD" w:rsidRDefault="00375FFD" w:rsidP="00375FFD">
            <w:pPr>
              <w:pStyle w:val="Jurisdictioncommentsbodytext"/>
            </w:pPr>
            <w:r>
              <w:t xml:space="preserve">The continued implementation of initiatives arising from the </w:t>
            </w:r>
            <w:r w:rsidRPr="00663EB3">
              <w:rPr>
                <w:i/>
              </w:rPr>
              <w:t>Disability Services Act 2011</w:t>
            </w:r>
            <w:r>
              <w:t xml:space="preserve"> in 2013</w:t>
            </w:r>
            <w:r w:rsidR="00B84AF2">
              <w:noBreakHyphen/>
            </w:r>
            <w:r>
              <w:t xml:space="preserve">14 included the appointment and training of Authorised Officers. Authorised Officers are empowered under the Act to enter premises, where services are funded by Government, to ensure that the services are being delivered, the person with disability is receiving the right support and the person with disability is safe and well. Authorised officers may inspect premises, open any container, filing cabinet or storage facility on the property and/or ask for copies of any documents or records. Consultation on the development of the Disability Services Strategic Plan, also a requirement of the </w:t>
            </w:r>
            <w:r w:rsidRPr="00663EB3">
              <w:rPr>
                <w:i/>
              </w:rPr>
              <w:t>Disability Services Act 2011</w:t>
            </w:r>
            <w:r>
              <w:t>, occurred during 2013</w:t>
            </w:r>
            <w:r w:rsidR="00B84AF2">
              <w:noBreakHyphen/>
            </w:r>
            <w:r>
              <w:t>14.</w:t>
            </w:r>
          </w:p>
          <w:p w:rsidR="001F39F2" w:rsidRPr="00375FFD" w:rsidRDefault="00375FFD" w:rsidP="00375FFD">
            <w:pPr>
              <w:pStyle w:val="Jurisdictioncommentsbodytext"/>
            </w:pPr>
            <w:r w:rsidRPr="0029237B">
              <w:t xml:space="preserve">Tasmania continues to support the provision of appropriate housing for people with disability. </w:t>
            </w:r>
            <w:r>
              <w:t>There are a number of building projects currently under construction which will provide accessible accommodation for people with disability as they come on line in 2014</w:t>
            </w:r>
            <w:r w:rsidR="00B84AF2">
              <w:noBreakHyphen/>
            </w:r>
            <w:r>
              <w:t>15. During 2013</w:t>
            </w:r>
            <w:r w:rsidR="00B84AF2">
              <w:noBreakHyphen/>
            </w:r>
            <w:r>
              <w:t>14 Tasmania has had a focus on better understanding the housing needs of people with disability in the context of a NDIS.</w:t>
            </w:r>
          </w:p>
        </w:tc>
        <w:tc>
          <w:tcPr>
            <w:tcW w:w="850" w:type="dxa"/>
            <w:tcBorders>
              <w:left w:val="nil"/>
            </w:tcBorders>
          </w:tcPr>
          <w:p w:rsidR="001F39F2" w:rsidRPr="00375FFD" w:rsidRDefault="001F39F2" w:rsidP="00585E2C">
            <w:pPr>
              <w:pStyle w:val="BodyText"/>
            </w:pP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p>
          <w:p w:rsidR="00D478AD" w:rsidRPr="00375FFD" w:rsidRDefault="00D478AD" w:rsidP="00585E2C">
            <w:pPr>
              <w:pStyle w:val="BodyText"/>
            </w:pPr>
          </w:p>
          <w:p w:rsidR="00D478AD" w:rsidRDefault="00D478AD" w:rsidP="00585E2C">
            <w:pPr>
              <w:pStyle w:val="BodyText"/>
            </w:pPr>
          </w:p>
          <w:p w:rsidR="00EC471A" w:rsidRDefault="00EC471A" w:rsidP="00585E2C">
            <w:pPr>
              <w:pStyle w:val="BodyText"/>
            </w:pPr>
          </w:p>
          <w:p w:rsidR="00EC471A" w:rsidRDefault="00EC471A" w:rsidP="00585E2C">
            <w:pPr>
              <w:pStyle w:val="BodyText"/>
            </w:pPr>
          </w:p>
          <w:p w:rsidR="00EC471A" w:rsidRPr="00375FFD" w:rsidRDefault="00EC471A" w:rsidP="00585E2C">
            <w:pPr>
              <w:pStyle w:val="BodyText"/>
            </w:pPr>
          </w:p>
          <w:p w:rsidR="001F39F2" w:rsidRPr="00375FFD" w:rsidRDefault="001F39F2" w:rsidP="00585E2C">
            <w:pPr>
              <w:pStyle w:val="BodyText"/>
            </w:pPr>
            <w:r w:rsidRPr="00375FFD">
              <w:rPr>
                <w:b/>
                <w:sz w:val="132"/>
              </w:rPr>
              <w:t>”</w:t>
            </w:r>
          </w:p>
        </w:tc>
      </w:tr>
    </w:tbl>
    <w:p w:rsidR="000261E8" w:rsidRDefault="000261E8">
      <w:r>
        <w:br w:type="page"/>
      </w:r>
    </w:p>
    <w:tbl>
      <w:tblPr>
        <w:tblW w:w="10632" w:type="dxa"/>
        <w:tblInd w:w="-885" w:type="dxa"/>
        <w:tblLayout w:type="fixed"/>
        <w:tblLook w:val="0000" w:firstRow="0" w:lastRow="0" w:firstColumn="0" w:lastColumn="0" w:noHBand="0" w:noVBand="0"/>
      </w:tblPr>
      <w:tblGrid>
        <w:gridCol w:w="993"/>
        <w:gridCol w:w="8789"/>
        <w:gridCol w:w="850"/>
      </w:tblGrid>
      <w:tr w:rsidR="008F5F24" w:rsidRPr="00375FFD" w:rsidTr="00B83E02">
        <w:trPr>
          <w:cantSplit/>
        </w:trPr>
        <w:tc>
          <w:tcPr>
            <w:tcW w:w="993" w:type="dxa"/>
            <w:vMerge w:val="restart"/>
          </w:tcPr>
          <w:p w:rsidR="001F39F2" w:rsidRPr="00375FFD" w:rsidRDefault="001F39F2" w:rsidP="00585E2C">
            <w:pPr>
              <w:pStyle w:val="BodyText"/>
            </w:pPr>
            <w:r w:rsidRPr="00375FFD">
              <w:rPr>
                <w:b/>
                <w:sz w:val="132"/>
              </w:rPr>
              <w:lastRenderedPageBreak/>
              <w:t>“</w:t>
            </w:r>
          </w:p>
        </w:tc>
        <w:tc>
          <w:tcPr>
            <w:tcW w:w="8789" w:type="dxa"/>
          </w:tcPr>
          <w:p w:rsidR="001F39F2" w:rsidRPr="00375FFD" w:rsidRDefault="001F39F2" w:rsidP="00585E2C">
            <w:pPr>
              <w:pStyle w:val="Jurisdictioncommentsheading"/>
            </w:pPr>
            <w:r w:rsidRPr="00375FFD">
              <w:t>Australian Capital Territory Government comments</w:t>
            </w:r>
          </w:p>
        </w:tc>
        <w:tc>
          <w:tcPr>
            <w:tcW w:w="850" w:type="dxa"/>
          </w:tcPr>
          <w:p w:rsidR="001F39F2" w:rsidRPr="00375FFD" w:rsidRDefault="001F39F2" w:rsidP="00585E2C">
            <w:pPr>
              <w:spacing w:after="140"/>
              <w:rPr>
                <w:rFonts w:ascii="Arial" w:hAnsi="Arial"/>
                <w:b/>
              </w:rPr>
            </w:pPr>
          </w:p>
        </w:tc>
      </w:tr>
      <w:tr w:rsidR="008F5F24" w:rsidRPr="00375FFD" w:rsidTr="00B83E02">
        <w:trPr>
          <w:cantSplit/>
          <w:trHeight w:hRule="exact" w:val="11951"/>
        </w:trPr>
        <w:tc>
          <w:tcPr>
            <w:tcW w:w="993" w:type="dxa"/>
            <w:vMerge/>
          </w:tcPr>
          <w:p w:rsidR="001F39F2" w:rsidRPr="00375FFD" w:rsidRDefault="001F39F2" w:rsidP="00585E2C">
            <w:pPr>
              <w:pStyle w:val="BodyText"/>
            </w:pPr>
          </w:p>
        </w:tc>
        <w:tc>
          <w:tcPr>
            <w:tcW w:w="8789" w:type="dxa"/>
          </w:tcPr>
          <w:p w:rsidR="0013461D" w:rsidRPr="00AF6293" w:rsidRDefault="00663EB3" w:rsidP="0013461D">
            <w:pPr>
              <w:pStyle w:val="Jurisdictioncommentsbodytext"/>
            </w:pPr>
            <w:r>
              <w:t>In 2013</w:t>
            </w:r>
            <w:r w:rsidR="00B84AF2">
              <w:noBreakHyphen/>
            </w:r>
            <w:r w:rsidR="0013461D" w:rsidRPr="00AF6293">
              <w:t xml:space="preserve">14, the Community Services Directorate, through Disability ACT continued to deliver on the ACT Government’s commitments under Future Directions: Towards Challenge 2014. During this period the </w:t>
            </w:r>
            <w:r w:rsidR="0013461D">
              <w:t xml:space="preserve">ACT </w:t>
            </w:r>
            <w:r w:rsidR="0013461D" w:rsidRPr="00AF6293">
              <w:t>Government also announced the gradual withdrawal of Disability ACT supported accommodation services by June 2017 and Therapy ACT services by December 2016</w:t>
            </w:r>
            <w:r w:rsidR="0013461D">
              <w:t>. This is</w:t>
            </w:r>
            <w:r w:rsidR="0013461D" w:rsidRPr="00AF6293">
              <w:t xml:space="preserve"> to support the</w:t>
            </w:r>
            <w:r w:rsidR="0013461D" w:rsidRPr="00A50623">
              <w:t xml:space="preserve"> move to individual choice and control and a market based model of support </w:t>
            </w:r>
            <w:r w:rsidR="0013461D">
              <w:t xml:space="preserve">under a </w:t>
            </w:r>
            <w:r w:rsidR="0013461D" w:rsidRPr="00AF6293">
              <w:t>National Disability Insurance Scheme (</w:t>
            </w:r>
            <w:r w:rsidR="0013461D">
              <w:t xml:space="preserve">NDIS). </w:t>
            </w:r>
            <w:r w:rsidR="0013461D" w:rsidRPr="00AF6293">
              <w:t xml:space="preserve">The ACT will be the first jurisdiction in Australia to accept all eligible </w:t>
            </w:r>
            <w:r w:rsidR="0013461D">
              <w:t>people</w:t>
            </w:r>
            <w:r w:rsidR="0013461D" w:rsidRPr="00AF6293">
              <w:t xml:space="preserve"> into the scheme by July 2016</w:t>
            </w:r>
            <w:r w:rsidR="0013461D">
              <w:t>.</w:t>
            </w:r>
            <w:r w:rsidR="0013461D" w:rsidRPr="00AF6293">
              <w:t xml:space="preserve"> </w:t>
            </w:r>
          </w:p>
          <w:p w:rsidR="0013461D" w:rsidRPr="00AF6293" w:rsidRDefault="0013461D" w:rsidP="0013461D">
            <w:pPr>
              <w:pStyle w:val="Jurisdictioncommentsbodytext"/>
            </w:pPr>
            <w:r w:rsidRPr="00AF6293">
              <w:t>In 2013</w:t>
            </w:r>
            <w:r w:rsidR="00B84AF2">
              <w:noBreakHyphen/>
            </w:r>
            <w:r w:rsidRPr="00AF6293">
              <w:t>14, a range of programs were implemented to improve outcomes and whole</w:t>
            </w:r>
            <w:r w:rsidR="00B84AF2">
              <w:noBreakHyphen/>
            </w:r>
            <w:r w:rsidRPr="00AF6293">
              <w:t>of</w:t>
            </w:r>
            <w:r w:rsidR="00B84AF2">
              <w:noBreakHyphen/>
            </w:r>
            <w:r w:rsidRPr="00AF6293">
              <w:t>life opportunities for people with disability in the ACT, while also preparing for the rollout of the NDIS from 1</w:t>
            </w:r>
            <w:r w:rsidR="00B84AF2">
              <w:t> </w:t>
            </w:r>
            <w:r w:rsidRPr="00AF6293">
              <w:t>July 2014</w:t>
            </w:r>
            <w:r>
              <w:t>.</w:t>
            </w:r>
            <w:r w:rsidRPr="00AF6293">
              <w:t xml:space="preserve"> Highlights </w:t>
            </w:r>
            <w:r>
              <w:t>include</w:t>
            </w:r>
            <w:r w:rsidRPr="00AF6293">
              <w:t>:</w:t>
            </w:r>
          </w:p>
          <w:p w:rsidR="0013461D" w:rsidRDefault="0013461D" w:rsidP="0013461D">
            <w:pPr>
              <w:pStyle w:val="Jurisdictioncommentslistbullet"/>
            </w:pPr>
            <w:r w:rsidRPr="00AF6293">
              <w:t xml:space="preserve">$7.7 million </w:t>
            </w:r>
            <w:r w:rsidR="00FF6647">
              <w:t>over two</w:t>
            </w:r>
            <w:r>
              <w:t xml:space="preserve"> years in grants </w:t>
            </w:r>
            <w:r w:rsidRPr="00AF6293">
              <w:t xml:space="preserve">through an Enhanced Service Offer program to assist </w:t>
            </w:r>
            <w:r>
              <w:t xml:space="preserve">1456 </w:t>
            </w:r>
            <w:r w:rsidRPr="00AF6293">
              <w:t>people with a disability, including psychosocial disability</w:t>
            </w:r>
            <w:r>
              <w:t>,</w:t>
            </w:r>
            <w:r w:rsidRPr="00AF6293">
              <w:t xml:space="preserve"> to prepare for the NDIS. </w:t>
            </w:r>
          </w:p>
          <w:p w:rsidR="0013461D" w:rsidRPr="00AF6293" w:rsidRDefault="0013461D" w:rsidP="0013461D">
            <w:pPr>
              <w:pStyle w:val="Jurisdictioncommentslistbullet"/>
            </w:pPr>
            <w:r>
              <w:t>25</w:t>
            </w:r>
            <w:r w:rsidRPr="00AF6293">
              <w:t xml:space="preserve"> organisations </w:t>
            </w:r>
            <w:r>
              <w:t xml:space="preserve">were offered </w:t>
            </w:r>
            <w:proofErr w:type="gramStart"/>
            <w:r w:rsidRPr="00AF6293">
              <w:t>a Governance</w:t>
            </w:r>
            <w:proofErr w:type="gramEnd"/>
            <w:r w:rsidRPr="00AF6293">
              <w:t xml:space="preserve"> and Fina</w:t>
            </w:r>
            <w:r>
              <w:t>ncial Management Package of $20 </w:t>
            </w:r>
            <w:r w:rsidRPr="00AF6293">
              <w:t>000</w:t>
            </w:r>
            <w:r>
              <w:t xml:space="preserve"> each</w:t>
            </w:r>
            <w:r w:rsidRPr="00AF6293">
              <w:t xml:space="preserve">, and </w:t>
            </w:r>
            <w:r>
              <w:t>20</w:t>
            </w:r>
            <w:r w:rsidRPr="00AF6293">
              <w:t xml:space="preserve"> organisations were offered a Bus</w:t>
            </w:r>
            <w:r>
              <w:t>iness Investment Package of $50 </w:t>
            </w:r>
            <w:r w:rsidRPr="00AF6293">
              <w:t xml:space="preserve">000 </w:t>
            </w:r>
            <w:r>
              <w:t xml:space="preserve">each </w:t>
            </w:r>
            <w:r w:rsidRPr="00AF6293">
              <w:t>as part of sector r</w:t>
            </w:r>
            <w:r w:rsidRPr="00A93608">
              <w:t>eadiness</w:t>
            </w:r>
            <w:r w:rsidRPr="00AF6293">
              <w:t xml:space="preserve"> for the NDIS. </w:t>
            </w:r>
          </w:p>
          <w:p w:rsidR="0013461D" w:rsidRPr="00E04D62" w:rsidRDefault="0013461D" w:rsidP="0013461D">
            <w:pPr>
              <w:pStyle w:val="Jurisdictioncommentslistbullet"/>
            </w:pPr>
            <w:r w:rsidRPr="00AF6293">
              <w:t xml:space="preserve">The </w:t>
            </w:r>
            <w:r w:rsidRPr="00F90BDF">
              <w:rPr>
                <w:i/>
              </w:rPr>
              <w:t>Disability Services (Disability Service Providers) Amendment Act 2014</w:t>
            </w:r>
            <w:r w:rsidRPr="00AF6293">
              <w:t xml:space="preserve"> was passed in June 2014 to enable the ACT to maintain existing safeguards and quality standards for disability services during the NDIS trial.</w:t>
            </w:r>
          </w:p>
          <w:p w:rsidR="0013461D" w:rsidRPr="00AF6293" w:rsidRDefault="0013461D" w:rsidP="0013461D">
            <w:pPr>
              <w:pStyle w:val="Jurisdictioncommentslistbullet"/>
            </w:pPr>
            <w:r w:rsidRPr="00AF6293">
              <w:t>Disability ACT consolidated its adult respite services and transferred the management of its three centre</w:t>
            </w:r>
            <w:r w:rsidR="00B84AF2">
              <w:noBreakHyphen/>
            </w:r>
            <w:r w:rsidRPr="00AF6293">
              <w:t>based respite houses to the non</w:t>
            </w:r>
            <w:r w:rsidR="00B84AF2">
              <w:noBreakHyphen/>
            </w:r>
            <w:r w:rsidRPr="00AF6293">
              <w:t>government sector.</w:t>
            </w:r>
          </w:p>
          <w:p w:rsidR="0013461D" w:rsidRPr="00A93608" w:rsidRDefault="0013461D" w:rsidP="0013461D">
            <w:pPr>
              <w:pStyle w:val="Jurisdictioncommentslistbullet"/>
            </w:pPr>
            <w:proofErr w:type="gramStart"/>
            <w:r w:rsidRPr="00A93608">
              <w:t>The Everyone</w:t>
            </w:r>
            <w:proofErr w:type="gramEnd"/>
            <w:r w:rsidRPr="00A93608">
              <w:t>, Everyday program teaching resource to promote inclusion in the community has been implemented in nine mainstream primary schools involving 87 teachers and 2769 students</w:t>
            </w:r>
            <w:r>
              <w:t>.</w:t>
            </w:r>
            <w:r w:rsidRPr="00A93608">
              <w:t xml:space="preserve"> An additional five schools implemented the program in Semester 2, 2014. </w:t>
            </w:r>
          </w:p>
          <w:p w:rsidR="0013461D" w:rsidRPr="00AF6293" w:rsidRDefault="0013461D" w:rsidP="0013461D">
            <w:pPr>
              <w:pStyle w:val="Jurisdictioncommentslistbullet"/>
            </w:pPr>
            <w:r w:rsidRPr="00AF6293">
              <w:t xml:space="preserve">Two Official Visitors for Disability </w:t>
            </w:r>
            <w:r>
              <w:t xml:space="preserve">Specialist </w:t>
            </w:r>
            <w:r w:rsidRPr="00AF6293">
              <w:t>Services were appointed to increase safeguards for people with disability</w:t>
            </w:r>
            <w:r>
              <w:t xml:space="preserve"> living in supported accommodation, accessing centre based respite services or residential aged care.</w:t>
            </w:r>
            <w:r w:rsidRPr="00AF6293">
              <w:t xml:space="preserve"> </w:t>
            </w:r>
          </w:p>
          <w:p w:rsidR="0013461D" w:rsidRDefault="0013461D" w:rsidP="0013461D">
            <w:pPr>
              <w:pStyle w:val="Jurisdictioncommentslistbullet"/>
              <w:rPr>
                <w:rFonts w:eastAsiaTheme="minorHAnsi" w:cstheme="minorBidi"/>
                <w:szCs w:val="22"/>
              </w:rPr>
            </w:pPr>
            <w:r w:rsidRPr="00AF6293">
              <w:t>The ACT Government continued to explore innovative housing options for people with disability including Project Independence; L</w:t>
            </w:r>
            <w:r w:rsidR="00663EB3">
              <w:t xml:space="preserve">iving </w:t>
            </w:r>
            <w:proofErr w:type="gramStart"/>
            <w:r w:rsidR="00663EB3">
              <w:t>In</w:t>
            </w:r>
            <w:proofErr w:type="gramEnd"/>
            <w:r w:rsidR="00663EB3">
              <w:t xml:space="preserve"> Networked Communities</w:t>
            </w:r>
            <w:r w:rsidRPr="00AF6293">
              <w:t>; Homeshare</w:t>
            </w:r>
            <w:r>
              <w:t xml:space="preserve"> model of support and a series of public information sessions and housing symposia to progress good outcomes.</w:t>
            </w:r>
          </w:p>
          <w:p w:rsidR="001F39F2" w:rsidRPr="00375FFD" w:rsidRDefault="001F39F2" w:rsidP="00B947F0">
            <w:pPr>
              <w:shd w:val="clear" w:color="auto" w:fill="FFFFFF"/>
              <w:autoSpaceDE w:val="0"/>
              <w:autoSpaceDN w:val="0"/>
              <w:adjustRightInd w:val="0"/>
              <w:spacing w:after="120" w:afterAutospacing="1"/>
              <w:ind w:left="360"/>
              <w:jc w:val="both"/>
            </w:pPr>
          </w:p>
        </w:tc>
        <w:tc>
          <w:tcPr>
            <w:tcW w:w="850" w:type="dxa"/>
            <w:tcBorders>
              <w:left w:val="nil"/>
            </w:tcBorders>
          </w:tcPr>
          <w:p w:rsidR="001F39F2" w:rsidRPr="00EC471A" w:rsidRDefault="001F39F2" w:rsidP="00362905">
            <w:pPr>
              <w:pStyle w:val="BodyText"/>
              <w:rPr>
                <w:rFonts w:ascii="Arial" w:hAnsi="Arial"/>
              </w:rPr>
            </w:pP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00CB70B5" w:rsidRPr="00375FFD">
              <w:rPr>
                <w:rFonts w:ascii="Arial" w:hAnsi="Arial"/>
              </w:rPr>
              <w:br/>
            </w:r>
            <w:r w:rsidR="00CB70B5" w:rsidRPr="00375FFD">
              <w:rPr>
                <w:rFonts w:ascii="Arial" w:hAnsi="Arial"/>
              </w:rPr>
              <w:br/>
            </w:r>
            <w:r w:rsidRPr="00375FFD">
              <w:rPr>
                <w:b/>
                <w:sz w:val="132"/>
              </w:rPr>
              <w:t>”</w:t>
            </w:r>
          </w:p>
        </w:tc>
      </w:tr>
    </w:tbl>
    <w:p w:rsidR="001F39F2" w:rsidRPr="008F5F24" w:rsidRDefault="001F39F2" w:rsidP="00585E2C">
      <w:pPr>
        <w:pStyle w:val="SequenceInfo"/>
        <w:rPr>
          <w:vanish w:val="0"/>
          <w:color w:val="A6A6A6" w:themeColor="background1" w:themeShade="A6"/>
          <w:sz w:val="12"/>
        </w:rPr>
      </w:pPr>
    </w:p>
    <w:p w:rsidR="000261E8" w:rsidRDefault="000261E8">
      <w:r>
        <w:br w:type="page"/>
      </w:r>
    </w:p>
    <w:tbl>
      <w:tblPr>
        <w:tblW w:w="10632" w:type="dxa"/>
        <w:tblInd w:w="-885" w:type="dxa"/>
        <w:tblLayout w:type="fixed"/>
        <w:tblLook w:val="0000" w:firstRow="0" w:lastRow="0" w:firstColumn="0" w:lastColumn="0" w:noHBand="0" w:noVBand="0"/>
      </w:tblPr>
      <w:tblGrid>
        <w:gridCol w:w="993"/>
        <w:gridCol w:w="8789"/>
        <w:gridCol w:w="850"/>
      </w:tblGrid>
      <w:tr w:rsidR="008F5F24" w:rsidRPr="00375FFD" w:rsidTr="000261E8">
        <w:trPr>
          <w:cantSplit/>
        </w:trPr>
        <w:tc>
          <w:tcPr>
            <w:tcW w:w="993" w:type="dxa"/>
            <w:vMerge w:val="restart"/>
          </w:tcPr>
          <w:p w:rsidR="001F39F2" w:rsidRPr="00375FFD" w:rsidRDefault="001F39F2" w:rsidP="00585E2C">
            <w:pPr>
              <w:pStyle w:val="BodyText"/>
            </w:pPr>
            <w:r w:rsidRPr="00375FFD">
              <w:rPr>
                <w:b/>
                <w:sz w:val="132"/>
              </w:rPr>
              <w:lastRenderedPageBreak/>
              <w:t>“</w:t>
            </w:r>
          </w:p>
        </w:tc>
        <w:tc>
          <w:tcPr>
            <w:tcW w:w="8789" w:type="dxa"/>
          </w:tcPr>
          <w:p w:rsidR="001F39F2" w:rsidRPr="00375FFD" w:rsidRDefault="001F39F2" w:rsidP="00585E2C">
            <w:pPr>
              <w:pStyle w:val="Jurisdictioncommentsheading"/>
            </w:pPr>
            <w:r w:rsidRPr="00375FFD">
              <w:t>Northern Territory Government comments</w:t>
            </w:r>
          </w:p>
        </w:tc>
        <w:tc>
          <w:tcPr>
            <w:tcW w:w="850" w:type="dxa"/>
          </w:tcPr>
          <w:p w:rsidR="001F39F2" w:rsidRPr="00375FFD" w:rsidRDefault="001F39F2" w:rsidP="00585E2C">
            <w:pPr>
              <w:spacing w:after="140"/>
              <w:rPr>
                <w:rFonts w:ascii="Arial" w:hAnsi="Arial"/>
                <w:b/>
              </w:rPr>
            </w:pPr>
          </w:p>
        </w:tc>
      </w:tr>
      <w:tr w:rsidR="008F5F24" w:rsidRPr="00375FFD" w:rsidTr="000261E8">
        <w:trPr>
          <w:cantSplit/>
          <w:trHeight w:hRule="exact" w:val="12600"/>
        </w:trPr>
        <w:tc>
          <w:tcPr>
            <w:tcW w:w="993" w:type="dxa"/>
            <w:vMerge/>
          </w:tcPr>
          <w:p w:rsidR="001F39F2" w:rsidRPr="00375FFD" w:rsidRDefault="001F39F2" w:rsidP="00585E2C">
            <w:pPr>
              <w:pStyle w:val="BodyText"/>
            </w:pPr>
          </w:p>
        </w:tc>
        <w:tc>
          <w:tcPr>
            <w:tcW w:w="8789" w:type="dxa"/>
          </w:tcPr>
          <w:p w:rsidR="00375FFD" w:rsidRPr="0068535B" w:rsidRDefault="00375FFD" w:rsidP="00375FFD">
            <w:pPr>
              <w:pStyle w:val="Jurisdictioncommentsbodytext"/>
            </w:pPr>
            <w:r w:rsidRPr="0068535B">
              <w:t xml:space="preserve">The </w:t>
            </w:r>
            <w:r w:rsidR="00663EB3">
              <w:t>NT</w:t>
            </w:r>
            <w:r w:rsidRPr="0068535B">
              <w:t xml:space="preserve"> Government </w:t>
            </w:r>
            <w:r>
              <w:t>is committed to ensuring a</w:t>
            </w:r>
            <w:r w:rsidRPr="0068535B">
              <w:t xml:space="preserve"> society where people with a disability have productive and fulfilling lives </w:t>
            </w:r>
            <w:r>
              <w:t>as</w:t>
            </w:r>
            <w:r w:rsidRPr="0068535B">
              <w:t xml:space="preserve"> valued members of their communities. </w:t>
            </w:r>
            <w:r>
              <w:t>This is delivered through d</w:t>
            </w:r>
            <w:r w:rsidRPr="0068535B">
              <w:t xml:space="preserve">isability support provision </w:t>
            </w:r>
            <w:r>
              <w:t xml:space="preserve">that </w:t>
            </w:r>
            <w:r w:rsidRPr="0068535B">
              <w:t>is based on contemporary best practice</w:t>
            </w:r>
            <w:r>
              <w:t xml:space="preserve"> and</w:t>
            </w:r>
            <w:r w:rsidRPr="0068535B">
              <w:t xml:space="preserve"> underpinned by a collaborative approach. </w:t>
            </w:r>
            <w:r>
              <w:t xml:space="preserve">Through </w:t>
            </w:r>
            <w:r w:rsidRPr="0068535B">
              <w:t>continu</w:t>
            </w:r>
            <w:r>
              <w:t>ed provision of improved access</w:t>
            </w:r>
            <w:r w:rsidRPr="0068535B">
              <w:t xml:space="preserve"> to support services for Territorians with a disability,</w:t>
            </w:r>
            <w:r>
              <w:t xml:space="preserve"> the Territory also aims to </w:t>
            </w:r>
            <w:r w:rsidRPr="0068535B">
              <w:t>ensur</w:t>
            </w:r>
            <w:r>
              <w:t>e</w:t>
            </w:r>
            <w:r w:rsidRPr="0068535B">
              <w:t xml:space="preserve"> that carers </w:t>
            </w:r>
            <w:r>
              <w:t xml:space="preserve">of people with disability </w:t>
            </w:r>
            <w:r w:rsidRPr="0068535B">
              <w:t>also enjoy good health, wellbeing, resilience and financial security.</w:t>
            </w:r>
            <w:r>
              <w:t xml:space="preserve"> </w:t>
            </w:r>
          </w:p>
          <w:p w:rsidR="00375FFD" w:rsidRPr="0068535B" w:rsidRDefault="00375FFD" w:rsidP="00375FFD">
            <w:pPr>
              <w:pStyle w:val="Jurisdictioncommentsbodytext"/>
            </w:pPr>
            <w:r w:rsidRPr="0068535B">
              <w:t>Key initiatives undertaken to</w:t>
            </w:r>
            <w:r>
              <w:t xml:space="preserve"> progress disability reform in the </w:t>
            </w:r>
            <w:r w:rsidR="00663EB3">
              <w:t>NT</w:t>
            </w:r>
            <w:r>
              <w:t xml:space="preserve"> </w:t>
            </w:r>
            <w:r w:rsidRPr="0068535B">
              <w:t>in 201</w:t>
            </w:r>
            <w:r>
              <w:t>3</w:t>
            </w:r>
            <w:r w:rsidR="00B84AF2">
              <w:noBreakHyphen/>
            </w:r>
            <w:r w:rsidRPr="0068535B">
              <w:t>1</w:t>
            </w:r>
            <w:r>
              <w:t>4</w:t>
            </w:r>
            <w:r w:rsidRPr="0068535B">
              <w:t xml:space="preserve"> include:</w:t>
            </w:r>
          </w:p>
          <w:p w:rsidR="00375FFD" w:rsidRDefault="00375FFD" w:rsidP="00375FFD">
            <w:pPr>
              <w:pStyle w:val="Jurisdictioncommentslistbullet"/>
              <w:rPr>
                <w:rFonts w:cs="Arial"/>
              </w:rPr>
            </w:pPr>
            <w:r w:rsidRPr="0068535B">
              <w:rPr>
                <w:rFonts w:cs="Arial"/>
              </w:rPr>
              <w:t xml:space="preserve">The </w:t>
            </w:r>
            <w:r>
              <w:rPr>
                <w:rFonts w:cs="Arial"/>
              </w:rPr>
              <w:t xml:space="preserve">portfolio of Minister for Disability Services was established in February 2014. This is the first time this portfolio has existed in the </w:t>
            </w:r>
            <w:r w:rsidR="00663EB3">
              <w:rPr>
                <w:rFonts w:cs="Arial"/>
              </w:rPr>
              <w:t>NT</w:t>
            </w:r>
            <w:r>
              <w:rPr>
                <w:rFonts w:cs="Arial"/>
              </w:rPr>
              <w:t>.</w:t>
            </w:r>
          </w:p>
          <w:p w:rsidR="00375FFD" w:rsidRDefault="00375FFD" w:rsidP="00375FFD">
            <w:pPr>
              <w:pStyle w:val="Jurisdictioncommentslistbullet"/>
              <w:rPr>
                <w:rFonts w:cs="Arial"/>
              </w:rPr>
            </w:pPr>
            <w:r>
              <w:rPr>
                <w:rFonts w:cs="Arial"/>
              </w:rPr>
              <w:t xml:space="preserve">The Ministerial Advisory Council on Disability Reform (the MAC) was established in May 2014 to provide strategic advice to the </w:t>
            </w:r>
            <w:r w:rsidR="00663EB3">
              <w:rPr>
                <w:rFonts w:cs="Arial"/>
              </w:rPr>
              <w:t>NT</w:t>
            </w:r>
            <w:r>
              <w:rPr>
                <w:rFonts w:cs="Arial"/>
              </w:rPr>
              <w:t xml:space="preserve"> Government on key disability reform issues. The MAC membership is comprised of disability service providers and consumers of disability services from across the NT.</w:t>
            </w:r>
          </w:p>
          <w:p w:rsidR="00375FFD" w:rsidRDefault="00375FFD" w:rsidP="00375FFD">
            <w:pPr>
              <w:pStyle w:val="Jurisdictioncommentslistbullet"/>
              <w:rPr>
                <w:rFonts w:cs="Arial"/>
              </w:rPr>
            </w:pPr>
            <w:r>
              <w:rPr>
                <w:rFonts w:cs="Arial"/>
              </w:rPr>
              <w:t>In March 2014, the NT Government established the Disability Services Scholarship.</w:t>
            </w:r>
            <w:r w:rsidR="002466CC">
              <w:rPr>
                <w:rFonts w:cs="Arial"/>
              </w:rPr>
              <w:t xml:space="preserve"> </w:t>
            </w:r>
            <w:r w:rsidRPr="004F512E">
              <w:rPr>
                <w:rFonts w:eastAsia="Cambria" w:cs="Arial"/>
              </w:rPr>
              <w:t xml:space="preserve">The scholarships are aimed at building the capacity of the disability services sector in the </w:t>
            </w:r>
            <w:r w:rsidR="00663EB3">
              <w:rPr>
                <w:rFonts w:eastAsia="Cambria" w:cs="Arial"/>
              </w:rPr>
              <w:t>NT</w:t>
            </w:r>
            <w:r w:rsidRPr="004F512E">
              <w:rPr>
                <w:rFonts w:eastAsia="Cambria" w:cs="Arial"/>
              </w:rPr>
              <w:t xml:space="preserve">. The scholarships are awarded to employees and staff working in the disability services </w:t>
            </w:r>
            <w:r w:rsidRPr="00FA7949">
              <w:rPr>
                <w:rFonts w:eastAsia="Cambria" w:cs="Arial"/>
              </w:rPr>
              <w:t xml:space="preserve">sector </w:t>
            </w:r>
            <w:r w:rsidRPr="00FA7949">
              <w:rPr>
                <w:rFonts w:cs="Arial"/>
              </w:rPr>
              <w:t>(</w:t>
            </w:r>
            <w:r w:rsidRPr="00DA345C">
              <w:rPr>
                <w:rFonts w:eastAsia="Calibri" w:cs="Arial"/>
              </w:rPr>
              <w:t>a non</w:t>
            </w:r>
            <w:r w:rsidR="003C6EE8">
              <w:rPr>
                <w:rFonts w:eastAsia="Calibri" w:cs="Arial"/>
              </w:rPr>
              <w:noBreakHyphen/>
            </w:r>
            <w:r w:rsidRPr="00DA345C">
              <w:rPr>
                <w:rFonts w:eastAsia="Calibri" w:cs="Arial"/>
              </w:rPr>
              <w:t>government organisation, Local Government, or front</w:t>
            </w:r>
            <w:r w:rsidR="00B84AF2">
              <w:rPr>
                <w:rFonts w:eastAsia="Calibri" w:cs="Arial"/>
              </w:rPr>
              <w:noBreakHyphen/>
            </w:r>
            <w:r w:rsidRPr="00DA345C">
              <w:rPr>
                <w:rFonts w:eastAsia="Calibri" w:cs="Arial"/>
              </w:rPr>
              <w:t xml:space="preserve">line </w:t>
            </w:r>
            <w:r w:rsidR="00663EB3">
              <w:rPr>
                <w:rFonts w:eastAsia="Calibri" w:cs="Arial"/>
              </w:rPr>
              <w:t>NT</w:t>
            </w:r>
            <w:r w:rsidRPr="00DA345C">
              <w:rPr>
                <w:rFonts w:eastAsia="Calibri" w:cs="Arial"/>
              </w:rPr>
              <w:t xml:space="preserve"> Government agency)</w:t>
            </w:r>
            <w:r w:rsidRPr="00FA7949">
              <w:rPr>
                <w:rFonts w:cs="Arial"/>
              </w:rPr>
              <w:t xml:space="preserve"> </w:t>
            </w:r>
            <w:r w:rsidRPr="00FA7949">
              <w:rPr>
                <w:rFonts w:eastAsia="Cambria" w:cs="Arial"/>
              </w:rPr>
              <w:t>in the</w:t>
            </w:r>
            <w:r w:rsidRPr="004F512E">
              <w:rPr>
                <w:rFonts w:eastAsia="Cambria" w:cs="Arial"/>
              </w:rPr>
              <w:t xml:space="preserve"> </w:t>
            </w:r>
            <w:r w:rsidR="00663EB3">
              <w:rPr>
                <w:rFonts w:eastAsia="Cambria" w:cs="Arial"/>
              </w:rPr>
              <w:t>NT</w:t>
            </w:r>
            <w:r w:rsidRPr="004F512E">
              <w:rPr>
                <w:rFonts w:eastAsia="Cambria" w:cs="Arial"/>
              </w:rPr>
              <w:t xml:space="preserve"> who </w:t>
            </w:r>
            <w:proofErr w:type="gramStart"/>
            <w:r w:rsidRPr="004F512E">
              <w:rPr>
                <w:rFonts w:eastAsia="Cambria" w:cs="Arial"/>
              </w:rPr>
              <w:t>are</w:t>
            </w:r>
            <w:proofErr w:type="gramEnd"/>
            <w:r w:rsidRPr="004F512E">
              <w:rPr>
                <w:rFonts w:eastAsia="Cambria" w:cs="Arial"/>
              </w:rPr>
              <w:t xml:space="preserve"> currently enrolled or intending to enrol in a course that is relevant to the strategic workforce directions of the disability services</w:t>
            </w:r>
            <w:r>
              <w:rPr>
                <w:rFonts w:eastAsia="Cambria" w:cs="Arial"/>
              </w:rPr>
              <w:t>.</w:t>
            </w:r>
            <w:r w:rsidR="002466CC">
              <w:rPr>
                <w:rFonts w:eastAsia="Cambria" w:cs="Arial"/>
              </w:rPr>
              <w:t xml:space="preserve"> </w:t>
            </w:r>
            <w:r>
              <w:rPr>
                <w:rFonts w:cs="Arial"/>
              </w:rPr>
              <w:t>Four annual scholarships will be awarded each year.</w:t>
            </w:r>
            <w:r w:rsidR="002466CC">
              <w:rPr>
                <w:rFonts w:cs="Arial"/>
              </w:rPr>
              <w:t xml:space="preserve"> </w:t>
            </w:r>
          </w:p>
          <w:p w:rsidR="00375FFD" w:rsidRDefault="00375FFD" w:rsidP="00375FFD">
            <w:pPr>
              <w:pStyle w:val="Jurisdictioncommentslistbullet"/>
              <w:rPr>
                <w:rFonts w:cs="Arial"/>
              </w:rPr>
            </w:pPr>
            <w:r w:rsidRPr="00A41AEF">
              <w:rPr>
                <w:rFonts w:cs="Arial"/>
              </w:rPr>
              <w:t xml:space="preserve">On </w:t>
            </w:r>
            <w:r>
              <w:rPr>
                <w:rFonts w:cs="Arial"/>
              </w:rPr>
              <w:t>1</w:t>
            </w:r>
            <w:r w:rsidR="00B84AF2">
              <w:rPr>
                <w:rFonts w:cs="Arial"/>
              </w:rPr>
              <w:t> </w:t>
            </w:r>
            <w:r w:rsidRPr="00A41AEF">
              <w:rPr>
                <w:rFonts w:cs="Arial"/>
              </w:rPr>
              <w:t xml:space="preserve">July </w:t>
            </w:r>
            <w:r>
              <w:rPr>
                <w:rFonts w:cs="Arial"/>
              </w:rPr>
              <w:t>2014</w:t>
            </w:r>
            <w:r w:rsidRPr="00A41AEF">
              <w:rPr>
                <w:rFonts w:cs="Arial"/>
              </w:rPr>
              <w:t xml:space="preserve">, the National Disability Insurance Scheme trial was launched in the Barkly region. As the only remote trial in the country, the Barkly is distinctly different from the other trials currently underway in Australia. More than 100 Barkly residents with significant and profound disabilities will have their needs assessed under the trial, and most of the participants are </w:t>
            </w:r>
            <w:r w:rsidR="00AD1B3A">
              <w:rPr>
                <w:rFonts w:cs="Arial"/>
              </w:rPr>
              <w:t>Aboriginal or Torres Strait Islander</w:t>
            </w:r>
            <w:r w:rsidRPr="00A41AEF">
              <w:rPr>
                <w:rFonts w:cs="Arial"/>
              </w:rPr>
              <w:t xml:space="preserve">. The Barkly trial will run for </w:t>
            </w:r>
            <w:r>
              <w:rPr>
                <w:rFonts w:cs="Arial"/>
              </w:rPr>
              <w:t>two</w:t>
            </w:r>
            <w:r w:rsidRPr="00A41AEF">
              <w:rPr>
                <w:rFonts w:cs="Arial"/>
              </w:rPr>
              <w:t xml:space="preserve"> years concluding on 30</w:t>
            </w:r>
            <w:r w:rsidR="00B84AF2">
              <w:rPr>
                <w:rFonts w:cs="Arial"/>
              </w:rPr>
              <w:t> </w:t>
            </w:r>
            <w:r w:rsidRPr="00A41AEF">
              <w:rPr>
                <w:rFonts w:cs="Arial"/>
              </w:rPr>
              <w:t>June 2016</w:t>
            </w:r>
            <w:r>
              <w:rPr>
                <w:rFonts w:cs="Arial"/>
              </w:rPr>
              <w:t>.</w:t>
            </w:r>
          </w:p>
          <w:p w:rsidR="001F39F2" w:rsidRPr="00EC471A" w:rsidRDefault="00375FFD" w:rsidP="00EC471A">
            <w:pPr>
              <w:pStyle w:val="Jurisdictioncommentslistbullet"/>
              <w:rPr>
                <w:rStyle w:val="DraftingNote"/>
                <w:rFonts w:cs="Arial"/>
                <w:b w:val="0"/>
                <w:color w:val="auto"/>
                <w:u w:val="none"/>
              </w:rPr>
            </w:pPr>
            <w:r>
              <w:t xml:space="preserve">The Department of Health proudly contributed to the 2013 </w:t>
            </w:r>
            <w:r w:rsidR="00663EB3">
              <w:t>NT</w:t>
            </w:r>
            <w:r>
              <w:t xml:space="preserve"> Disability Services Awards which celebrated its third year in the </w:t>
            </w:r>
            <w:r w:rsidR="00663EB3">
              <w:t>NT</w:t>
            </w:r>
            <w:r>
              <w:t>. This event provides a great opportunity to celebrate the achievements of outstanding individuals and organisations in the disability sector.</w:t>
            </w:r>
          </w:p>
        </w:tc>
        <w:tc>
          <w:tcPr>
            <w:tcW w:w="850" w:type="dxa"/>
          </w:tcPr>
          <w:p w:rsidR="001F39F2" w:rsidRPr="00375FFD" w:rsidRDefault="001F39F2" w:rsidP="00585E2C">
            <w:pPr>
              <w:pStyle w:val="BodyText"/>
            </w:pP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r w:rsidRPr="00375FFD">
              <w:rPr>
                <w:rFonts w:ascii="Arial" w:hAnsi="Arial"/>
              </w:rPr>
              <w:br/>
            </w:r>
          </w:p>
          <w:p w:rsidR="001F39F2" w:rsidRPr="00375FFD" w:rsidRDefault="001F39F2" w:rsidP="00585E2C">
            <w:pPr>
              <w:pStyle w:val="BodyText"/>
            </w:pPr>
          </w:p>
          <w:p w:rsidR="00362905" w:rsidRPr="00375FFD" w:rsidRDefault="00362905" w:rsidP="00585E2C">
            <w:pPr>
              <w:pStyle w:val="BodyText"/>
            </w:pPr>
          </w:p>
          <w:p w:rsidR="00362905" w:rsidRPr="00375FFD" w:rsidRDefault="00362905" w:rsidP="00585E2C">
            <w:pPr>
              <w:pStyle w:val="BodyText"/>
            </w:pPr>
          </w:p>
          <w:p w:rsidR="00362905" w:rsidRPr="00375FFD" w:rsidRDefault="00362905" w:rsidP="00585E2C">
            <w:pPr>
              <w:pStyle w:val="BodyText"/>
            </w:pPr>
          </w:p>
          <w:p w:rsidR="001F39F2" w:rsidRPr="00375FFD" w:rsidRDefault="001F39F2" w:rsidP="00585E2C">
            <w:pPr>
              <w:pStyle w:val="BodyText"/>
            </w:pPr>
            <w:r w:rsidRPr="00375FFD">
              <w:rPr>
                <w:b/>
                <w:sz w:val="132"/>
              </w:rPr>
              <w:t>”</w:t>
            </w:r>
          </w:p>
        </w:tc>
      </w:tr>
    </w:tbl>
    <w:p w:rsidR="001F39F2" w:rsidRPr="00AE3578" w:rsidRDefault="001F39F2" w:rsidP="00AE3578">
      <w:pPr>
        <w:pStyle w:val="Heading2"/>
      </w:pPr>
      <w:r w:rsidRPr="008F5F24">
        <w:rPr>
          <w:color w:val="A6A6A6" w:themeColor="background1" w:themeShade="A6"/>
        </w:rPr>
        <w:br w:type="page"/>
      </w:r>
      <w:bookmarkStart w:id="26" w:name="_Toc248563907"/>
      <w:bookmarkStart w:id="27" w:name="_Toc397527178"/>
      <w:r w:rsidR="00321568" w:rsidRPr="00AE3578">
        <w:lastRenderedPageBreak/>
        <w:t>14.</w:t>
      </w:r>
      <w:r w:rsidR="0085284B">
        <w:rPr>
          <w:noProof/>
        </w:rPr>
        <w:t>6</w:t>
      </w:r>
      <w:r w:rsidRPr="00AE3578">
        <w:tab/>
        <w:t>Service user data quality and other issues</w:t>
      </w:r>
      <w:bookmarkEnd w:id="26"/>
      <w:bookmarkEnd w:id="27"/>
    </w:p>
    <w:p w:rsidR="001F39F2" w:rsidRPr="00B947F0" w:rsidRDefault="001F39F2" w:rsidP="00585E2C">
      <w:pPr>
        <w:pStyle w:val="Heading3"/>
      </w:pPr>
      <w:r w:rsidRPr="00B947F0">
        <w:t>Data quality</w:t>
      </w:r>
    </w:p>
    <w:p w:rsidR="001F39F2" w:rsidRPr="00B947F0" w:rsidRDefault="001F39F2" w:rsidP="00585E2C">
      <w:pPr>
        <w:pStyle w:val="BodyText"/>
      </w:pPr>
      <w:r w:rsidRPr="00B947F0">
        <w:t>Data quality considerations should be taken into account when interpreting the DS NMDS service user data used in this chapter. In particular, data quality should be considered when making comparisons across jurisdictions and across years.</w:t>
      </w:r>
    </w:p>
    <w:p w:rsidR="001F39F2" w:rsidRPr="000261E8" w:rsidRDefault="001F39F2" w:rsidP="00585E2C">
      <w:pPr>
        <w:pStyle w:val="BodyText"/>
      </w:pPr>
      <w:r w:rsidRPr="000261E8">
        <w:t>There are three aspects of quality that affect the accuracy and reliability of the data reported in this chapter:</w:t>
      </w:r>
    </w:p>
    <w:p w:rsidR="001F39F2" w:rsidRPr="000261E8" w:rsidRDefault="001F39F2" w:rsidP="00585E2C">
      <w:pPr>
        <w:pStyle w:val="ListBullet"/>
      </w:pPr>
      <w:r w:rsidRPr="000261E8">
        <w:t xml:space="preserve">service type outlet </w:t>
      </w:r>
      <w:r w:rsidR="00E60DF9" w:rsidRPr="000261E8">
        <w:t>participation</w:t>
      </w:r>
      <w:r w:rsidRPr="000261E8">
        <w:t xml:space="preserve"> rates</w:t>
      </w:r>
    </w:p>
    <w:p w:rsidR="001F39F2" w:rsidRPr="000261E8" w:rsidRDefault="001F39F2" w:rsidP="00585E2C">
      <w:pPr>
        <w:pStyle w:val="ListBullet"/>
      </w:pPr>
      <w:r w:rsidRPr="000261E8">
        <w:t xml:space="preserve">service user </w:t>
      </w:r>
      <w:r w:rsidR="00E60DF9" w:rsidRPr="000261E8">
        <w:t>participation</w:t>
      </w:r>
      <w:r w:rsidRPr="000261E8">
        <w:t xml:space="preserve"> rates</w:t>
      </w:r>
    </w:p>
    <w:p w:rsidR="001F39F2" w:rsidRPr="000261E8" w:rsidRDefault="001F39F2" w:rsidP="00585E2C">
      <w:pPr>
        <w:pStyle w:val="ListBullet"/>
      </w:pPr>
      <w:r w:rsidRPr="000261E8">
        <w:t>‘</w:t>
      </w:r>
      <w:proofErr w:type="gramStart"/>
      <w:r w:rsidRPr="000261E8">
        <w:t>not</w:t>
      </w:r>
      <w:proofErr w:type="gramEnd"/>
      <w:r w:rsidRPr="000261E8">
        <w:t xml:space="preserve"> stated’ </w:t>
      </w:r>
      <w:r w:rsidR="00E60DF9" w:rsidRPr="000261E8">
        <w:t xml:space="preserve">response </w:t>
      </w:r>
      <w:r w:rsidRPr="000261E8">
        <w:t>rates for individual data items.</w:t>
      </w:r>
    </w:p>
    <w:p w:rsidR="001F39F2" w:rsidRPr="000261E8" w:rsidRDefault="001F39F2" w:rsidP="00585E2C">
      <w:pPr>
        <w:pStyle w:val="BodyText"/>
      </w:pPr>
      <w:r w:rsidRPr="000261E8">
        <w:t>The first two of these affect the service user counts — nationally, by jurisdiction and service type — and all three affect the accuracy of analyses of individual data items (AIHW 201</w:t>
      </w:r>
      <w:r w:rsidR="00E60DF9" w:rsidRPr="000261E8">
        <w:t>2</w:t>
      </w:r>
      <w:r w:rsidRPr="000261E8">
        <w:t>a).</w:t>
      </w:r>
    </w:p>
    <w:p w:rsidR="008B15C5" w:rsidRPr="000261E8" w:rsidRDefault="001F39F2" w:rsidP="00585E2C">
      <w:pPr>
        <w:pStyle w:val="BodyText"/>
      </w:pPr>
      <w:r w:rsidRPr="000261E8">
        <w:t>‘Not stated’ rates for individual data items vary between jurisdictions (AIHW 201</w:t>
      </w:r>
      <w:r w:rsidR="00E60DF9" w:rsidRPr="000261E8">
        <w:t>2</w:t>
      </w:r>
      <w:r w:rsidRPr="000261E8">
        <w:t xml:space="preserve">a). </w:t>
      </w:r>
      <w:r w:rsidR="008B15C5" w:rsidRPr="000261E8">
        <w:t>R</w:t>
      </w:r>
      <w:r w:rsidRPr="000261E8">
        <w:t>eason</w:t>
      </w:r>
      <w:r w:rsidR="008B15C5" w:rsidRPr="000261E8">
        <w:t>s</w:t>
      </w:r>
      <w:r w:rsidRPr="000261E8">
        <w:t xml:space="preserve"> for the higher level of not stated responses to some data items may be</w:t>
      </w:r>
      <w:r w:rsidR="008B15C5" w:rsidRPr="000261E8">
        <w:t>:</w:t>
      </w:r>
    </w:p>
    <w:p w:rsidR="001F39F2" w:rsidRPr="000261E8" w:rsidRDefault="001F39F2" w:rsidP="00585E2C">
      <w:pPr>
        <w:pStyle w:val="ListBullet"/>
      </w:pPr>
      <w:proofErr w:type="gramStart"/>
      <w:r w:rsidRPr="000261E8">
        <w:t>the</w:t>
      </w:r>
      <w:proofErr w:type="gramEnd"/>
      <w:r w:rsidRPr="000261E8">
        <w:t xml:space="preserve"> increased efforts to improve the coverage and completeness of the DS</w:t>
      </w:r>
      <w:r w:rsidR="009506B1" w:rsidRPr="000261E8">
        <w:t> </w:t>
      </w:r>
      <w:r w:rsidRPr="000261E8">
        <w:t>NMDS collection overall. For example, therapy services (a community support service) in the ACT participated for the first time in the 2004</w:t>
      </w:r>
      <w:r w:rsidR="00B84AF2">
        <w:noBreakHyphen/>
      </w:r>
      <w:r w:rsidRPr="000261E8">
        <w:t>05 collection. In an effort to include all users of these services, provisional data collection processes were used that meant minimal data were provided for each user (AIHW 201</w:t>
      </w:r>
      <w:r w:rsidR="00E60DF9" w:rsidRPr="000261E8">
        <w:t>2</w:t>
      </w:r>
      <w:r w:rsidRPr="000261E8">
        <w:t xml:space="preserve">a) </w:t>
      </w:r>
    </w:p>
    <w:p w:rsidR="00AA09BF" w:rsidRPr="000261E8" w:rsidRDefault="00AA09BF" w:rsidP="00585E2C">
      <w:pPr>
        <w:pStyle w:val="ListBullet"/>
      </w:pPr>
      <w:proofErr w:type="gramStart"/>
      <w:r w:rsidRPr="000261E8">
        <w:t>changes</w:t>
      </w:r>
      <w:proofErr w:type="gramEnd"/>
      <w:r w:rsidRPr="000261E8">
        <w:t xml:space="preserve"> in collection practices, such as data on </w:t>
      </w:r>
      <w:r w:rsidR="00427F0F" w:rsidRPr="000261E8">
        <w:t xml:space="preserve">communication and frequency of support needed for </w:t>
      </w:r>
      <w:r w:rsidRPr="000261E8">
        <w:t>new users of open employment services not being collected in 2010</w:t>
      </w:r>
      <w:r w:rsidR="00B84AF2">
        <w:noBreakHyphen/>
      </w:r>
      <w:r w:rsidRPr="000261E8">
        <w:t>11. This change resulted in high overall non</w:t>
      </w:r>
      <w:r w:rsidR="00B84AF2">
        <w:noBreakHyphen/>
      </w:r>
      <w:r w:rsidRPr="000261E8">
        <w:t>response rates for these items and data not being strictly comparable with previous years.</w:t>
      </w:r>
    </w:p>
    <w:p w:rsidR="001F39F2" w:rsidRPr="00B947F0" w:rsidRDefault="001F39F2" w:rsidP="00585E2C">
      <w:pPr>
        <w:pStyle w:val="Heading3"/>
      </w:pPr>
      <w:r w:rsidRPr="00B947F0">
        <w:t>Other issues</w:t>
      </w:r>
    </w:p>
    <w:p w:rsidR="001F39F2" w:rsidRPr="00E33512" w:rsidRDefault="001F39F2" w:rsidP="00585E2C">
      <w:pPr>
        <w:pStyle w:val="Heading4"/>
      </w:pPr>
      <w:r w:rsidRPr="00E33512">
        <w:t>Service user data/data items not collected</w:t>
      </w:r>
    </w:p>
    <w:p w:rsidR="001F39F2" w:rsidRPr="00E33512" w:rsidRDefault="001F39F2" w:rsidP="00585E2C">
      <w:pPr>
        <w:pStyle w:val="BodyText"/>
      </w:pPr>
      <w:r w:rsidRPr="00E33512">
        <w:t>Service user data are not collected for the following NDA specialist disability service types: advocacy, information/referral, combined information/advocacy, mutual support/self</w:t>
      </w:r>
      <w:r w:rsidR="00B84AF2">
        <w:noBreakHyphen/>
      </w:r>
      <w:r w:rsidRPr="00E33512">
        <w:t xml:space="preserve">help groups, print disability/alternative formats of communication, research and evaluation, training and development, peak bodies and other support services. In </w:t>
      </w:r>
      <w:r w:rsidRPr="00E33512">
        <w:lastRenderedPageBreak/>
        <w:t>addition, some service types are not required to collect all service user data items. In particular:</w:t>
      </w:r>
    </w:p>
    <w:p w:rsidR="001F39F2" w:rsidRPr="00E33512" w:rsidRDefault="001F39F2" w:rsidP="00585E2C">
      <w:pPr>
        <w:pStyle w:val="ListBullet"/>
      </w:pPr>
      <w:r w:rsidRPr="00E33512">
        <w:t>‘recreation/holiday programs’ (service type 3.02) are required to collect only information related to the statistical linkage key (selected letters of name, date of birth, sex, commencement date and date of last service)</w:t>
      </w:r>
    </w:p>
    <w:p w:rsidR="001F39F2" w:rsidRPr="00E33512" w:rsidRDefault="001F39F2" w:rsidP="00585E2C">
      <w:pPr>
        <w:pStyle w:val="ListBullet"/>
      </w:pPr>
      <w:proofErr w:type="gramStart"/>
      <w:r w:rsidRPr="00E33512">
        <w:t>employment</w:t>
      </w:r>
      <w:proofErr w:type="gramEnd"/>
      <w:r w:rsidRPr="00E33512">
        <w:t xml:space="preserve"> services (service types 5.01 and 5.02) are not required to collect selected informal carer information, including primary status (AIHW 2007).</w:t>
      </w:r>
    </w:p>
    <w:p w:rsidR="001F39F2" w:rsidRPr="00FC0943" w:rsidRDefault="001F39F2" w:rsidP="00585E2C">
      <w:pPr>
        <w:pStyle w:val="Heading4"/>
      </w:pPr>
      <w:r w:rsidRPr="00FC0943">
        <w:t>Specialist psychiatric disability services</w:t>
      </w:r>
    </w:p>
    <w:p w:rsidR="001F39F2" w:rsidRPr="00FC0943" w:rsidRDefault="001F39F2" w:rsidP="00585E2C">
      <w:pPr>
        <w:pStyle w:val="BodyText"/>
      </w:pPr>
      <w:r w:rsidRPr="00FC0943">
        <w:t>Data for specialist psychiatric disability services are excluded to improve the comparability of data across jurisdictions. People with psychiatric disability may use a range of NDA specialist disability service types. In some jurisdictions (Victoria</w:t>
      </w:r>
      <w:r w:rsidR="00E33512">
        <w:t xml:space="preserve"> and</w:t>
      </w:r>
      <w:r w:rsidRPr="00FC0943">
        <w:t xml:space="preserve"> </w:t>
      </w:r>
      <w:r w:rsidR="00E33512" w:rsidRPr="00FC0943">
        <w:t>Queensland</w:t>
      </w:r>
      <w:r w:rsidRPr="00FC0943">
        <w:t xml:space="preserve">), specialist psychiatric disability services are funded specifically to provide such support (AIHW </w:t>
      </w:r>
      <w:r w:rsidR="00E33512">
        <w:t>2014</w:t>
      </w:r>
      <w:r w:rsidR="00302BC1">
        <w:t>a</w:t>
      </w:r>
      <w:r w:rsidRPr="00FC0943">
        <w:t xml:space="preserve">). Nationally in </w:t>
      </w:r>
      <w:r w:rsidR="00FC0943">
        <w:t>2012</w:t>
      </w:r>
      <w:r w:rsidR="00B84AF2">
        <w:noBreakHyphen/>
      </w:r>
      <w:r w:rsidR="00FC0943">
        <w:t>13</w:t>
      </w:r>
      <w:r w:rsidRPr="00A278D0">
        <w:t xml:space="preserve">, </w:t>
      </w:r>
      <w:r w:rsidR="00A278D0" w:rsidRPr="00A278D0">
        <w:t>12 594</w:t>
      </w:r>
      <w:r w:rsidR="00FC0943" w:rsidRPr="00FC0943">
        <w:t> </w:t>
      </w:r>
      <w:r w:rsidRPr="00FC0943">
        <w:t>people used only specialist psychiatric disability services (AIHW unpublished). Data for these services are included in other publications on the DS NMDS, such as AIHW (2011a). Therefore, service user data for Victoria, Queensland</w:t>
      </w:r>
      <w:r w:rsidR="004A3F42" w:rsidRPr="00FC0943">
        <w:t>,</w:t>
      </w:r>
      <w:r w:rsidRPr="00FC0943">
        <w:t xml:space="preserve"> </w:t>
      </w:r>
      <w:r w:rsidR="004A3F42" w:rsidRPr="00FC0943">
        <w:t xml:space="preserve">and Australia </w:t>
      </w:r>
      <w:r w:rsidRPr="00FC0943">
        <w:t xml:space="preserve">in this chapter will differ </w:t>
      </w:r>
      <w:r w:rsidR="000A1FED" w:rsidRPr="00FC0943">
        <w:t>from</w:t>
      </w:r>
      <w:r w:rsidRPr="00FC0943">
        <w:t xml:space="preserve"> other publications.</w:t>
      </w:r>
    </w:p>
    <w:p w:rsidR="001F39F2" w:rsidRPr="00E33512" w:rsidRDefault="001F39F2" w:rsidP="00585E2C">
      <w:pPr>
        <w:pStyle w:val="Heading4"/>
      </w:pPr>
      <w:r w:rsidRPr="00E33512">
        <w:t>Statistical linkage key</w:t>
      </w:r>
    </w:p>
    <w:p w:rsidR="001F39F2" w:rsidRPr="00E33512" w:rsidRDefault="001F39F2" w:rsidP="00585E2C">
      <w:pPr>
        <w:pStyle w:val="BodyText"/>
      </w:pPr>
      <w:r w:rsidRPr="00E33512">
        <w:t xml:space="preserve">A statistical linkage key is used to derive the service user counts in this chapter. The statistical linkage key enables the number of service users to be estimated from data collected from different service outlets and agencies (AIHW </w:t>
      </w:r>
      <w:r w:rsidR="00E33512">
        <w:t>2014</w:t>
      </w:r>
      <w:r w:rsidR="00302BC1">
        <w:t>a</w:t>
      </w:r>
      <w:r w:rsidRPr="00E33512">
        <w:t xml:space="preserve">). Using the linkage key minimises double counting of service users who use more than one service outlet during the reporting period. </w:t>
      </w:r>
    </w:p>
    <w:p w:rsidR="001F39F2" w:rsidRPr="00E33512" w:rsidRDefault="001F39F2" w:rsidP="00585E2C">
      <w:pPr>
        <w:pStyle w:val="BodyText"/>
      </w:pPr>
      <w:r w:rsidRPr="00E33512">
        <w:t xml:space="preserve">The statistical linkage key components of each service record are compared with the statistical linkage key components of all other records. Records that have matching statistical linkage keys are assumed to belong to the same service user. </w:t>
      </w:r>
    </w:p>
    <w:p w:rsidR="001F39F2" w:rsidRPr="00A23E95" w:rsidRDefault="001F39F2" w:rsidP="00585E2C">
      <w:pPr>
        <w:pStyle w:val="BodyText"/>
      </w:pPr>
      <w:r w:rsidRPr="00A23E95">
        <w:t>As the statistical linkage key is not a unique identifier, some degree of false linking is expected. A small probability exists that some of the linked records do not actually belong to the same service user and, conversely, that some records that did not link do belong to the same service user. The statistical linkage key does not enable the linking of records to the extent needed to be certain that a ‘service user’ is one individual person.</w:t>
      </w:r>
    </w:p>
    <w:p w:rsidR="001F39F2" w:rsidRPr="00A23E95" w:rsidRDefault="001F39F2" w:rsidP="00585E2C">
      <w:pPr>
        <w:pStyle w:val="BodyText"/>
      </w:pPr>
      <w:r w:rsidRPr="00A23E95">
        <w:t xml:space="preserve">Missing or invalid statistical linkage keys cannot be linked to other records and so must be treated as belonging to separate service users. This may result in the number of service users being overestimated (AIHW </w:t>
      </w:r>
      <w:r w:rsidR="00A23E95">
        <w:t>2014</w:t>
      </w:r>
      <w:r w:rsidR="00302BC1">
        <w:t>a</w:t>
      </w:r>
      <w:r w:rsidRPr="00A23E95">
        <w:t>).</w:t>
      </w:r>
    </w:p>
    <w:p w:rsidR="001F39F2" w:rsidRPr="00131BC7" w:rsidRDefault="001F39F2" w:rsidP="00585E2C">
      <w:pPr>
        <w:pStyle w:val="Heading4"/>
      </w:pPr>
      <w:r w:rsidRPr="00131BC7">
        <w:lastRenderedPageBreak/>
        <w:t>Deriving potential populations for the special needs groups</w:t>
      </w:r>
    </w:p>
    <w:p w:rsidR="001F39F2" w:rsidRPr="00C01037" w:rsidRDefault="001F39F2" w:rsidP="00585E2C">
      <w:pPr>
        <w:pStyle w:val="BodyText"/>
      </w:pPr>
      <w:r w:rsidRPr="00C01037">
        <w:t xml:space="preserve">Potential populations have been estimated for each of the special needs groups (outer regional and remote/very remote areas, </w:t>
      </w:r>
      <w:r w:rsidR="00904E97" w:rsidRPr="00C01037">
        <w:t>Aboriginal and Torres Strait Islander</w:t>
      </w:r>
      <w:r w:rsidRPr="00C01037">
        <w:t xml:space="preserve"> and people born in a non</w:t>
      </w:r>
      <w:r w:rsidR="00B84AF2">
        <w:noBreakHyphen/>
      </w:r>
      <w:r w:rsidRPr="00C01037">
        <w:t>English speaking country) and for those outside of the special needs groups (major cities and inner regional areas, non</w:t>
      </w:r>
      <w:r w:rsidR="00B84AF2">
        <w:noBreakHyphen/>
      </w:r>
      <w:r w:rsidRPr="00C01037">
        <w:t xml:space="preserve">Indigenous and people born in an English speaking country). These potential populations are estimates of the number of people with the potential to require disability support services in the relevant group, including individuals who meet the service eligibility criteria but who do not </w:t>
      </w:r>
      <w:r w:rsidR="001804E8">
        <w:t>use</w:t>
      </w:r>
      <w:r w:rsidR="001804E8" w:rsidRPr="00C01037">
        <w:t xml:space="preserve"> </w:t>
      </w:r>
      <w:r w:rsidRPr="00C01037">
        <w:t xml:space="preserve">the services. </w:t>
      </w:r>
    </w:p>
    <w:p w:rsidR="001F39F2" w:rsidRPr="00AE71E5" w:rsidRDefault="001F39F2" w:rsidP="00585E2C">
      <w:pPr>
        <w:pStyle w:val="BodyText"/>
      </w:pPr>
      <w:r w:rsidRPr="00AE71E5">
        <w:t>The approach used to derive the potential population estimates by country of birth and geographic location involved the following steps:</w:t>
      </w:r>
    </w:p>
    <w:p w:rsidR="001F39F2" w:rsidRPr="00AE71E5" w:rsidRDefault="000261E8" w:rsidP="00151167">
      <w:pPr>
        <w:pStyle w:val="ListBullet"/>
      </w:pPr>
      <w:r>
        <w:t>d</w:t>
      </w:r>
      <w:r w:rsidR="001F39F2" w:rsidRPr="00AE71E5">
        <w:rPr>
          <w:rStyle w:val="ListBulletChar"/>
        </w:rPr>
        <w:t>e</w:t>
      </w:r>
      <w:r w:rsidR="001F39F2" w:rsidRPr="00AE71E5">
        <w:t>riving State/Territory based 10</w:t>
      </w:r>
      <w:r w:rsidR="00B84AF2">
        <w:noBreakHyphen/>
      </w:r>
      <w:r w:rsidR="001F39F2" w:rsidRPr="00AE71E5">
        <w:t>year age and sex specific proportions of people with A</w:t>
      </w:r>
      <w:r w:rsidR="001804E8">
        <w:t xml:space="preserve"> </w:t>
      </w:r>
      <w:r w:rsidR="00151167">
        <w:t>C</w:t>
      </w:r>
      <w:r w:rsidR="00151167" w:rsidRPr="00151167">
        <w:t xml:space="preserve">ore Activity Need for Assistance </w:t>
      </w:r>
      <w:r w:rsidR="001804E8">
        <w:t>(A</w:t>
      </w:r>
      <w:r w:rsidR="001F39F2" w:rsidRPr="00AE71E5">
        <w:t>SSNP</w:t>
      </w:r>
      <w:r w:rsidR="001804E8">
        <w:t>)</w:t>
      </w:r>
      <w:r w:rsidR="001F39F2" w:rsidRPr="00AE71E5">
        <w:t xml:space="preserve"> by geographic location and country of birth using the </w:t>
      </w:r>
      <w:r w:rsidR="00AE71E5" w:rsidRPr="00AE71E5">
        <w:t>2011</w:t>
      </w:r>
      <w:r w:rsidR="001804E8">
        <w:t xml:space="preserve"> </w:t>
      </w:r>
      <w:r w:rsidR="001F39F2" w:rsidRPr="00AE71E5">
        <w:t>Census</w:t>
      </w:r>
    </w:p>
    <w:p w:rsidR="001F39F2" w:rsidRPr="00AE71E5" w:rsidRDefault="000261E8" w:rsidP="00626A1F">
      <w:pPr>
        <w:pStyle w:val="ListBullet"/>
      </w:pPr>
      <w:r>
        <w:t>m</w:t>
      </w:r>
      <w:r w:rsidR="001F39F2" w:rsidRPr="00AE71E5">
        <w:t>ultiplying these State/Territory based 10</w:t>
      </w:r>
      <w:r w:rsidR="00B84AF2">
        <w:noBreakHyphen/>
      </w:r>
      <w:r w:rsidR="001F39F2" w:rsidRPr="00AE71E5">
        <w:t>year age and sex specific proportions by the 10</w:t>
      </w:r>
      <w:r w:rsidR="00B84AF2">
        <w:noBreakHyphen/>
      </w:r>
      <w:r w:rsidR="001F39F2" w:rsidRPr="00AE71E5">
        <w:t xml:space="preserve">year age specific estimates of the number of people </w:t>
      </w:r>
      <w:r w:rsidR="00D0796E" w:rsidRPr="00AE71E5">
        <w:t xml:space="preserve">in the </w:t>
      </w:r>
      <w:r w:rsidR="004C674F" w:rsidRPr="00AE71E5">
        <w:t xml:space="preserve">potential </w:t>
      </w:r>
      <w:r w:rsidR="00D0796E" w:rsidRPr="00AE71E5">
        <w:t>population</w:t>
      </w:r>
      <w:r w:rsidR="001F39F2" w:rsidRPr="00AE71E5">
        <w:t xml:space="preserve"> in each State/Territory</w:t>
      </w:r>
    </w:p>
    <w:p w:rsidR="001F39F2" w:rsidRPr="00AE71E5" w:rsidRDefault="000261E8" w:rsidP="00585E2C">
      <w:pPr>
        <w:pStyle w:val="ListBullet"/>
      </w:pPr>
      <w:r>
        <w:t>s</w:t>
      </w:r>
      <w:r w:rsidR="001F39F2" w:rsidRPr="00AE71E5">
        <w:t>umming the resultant 10</w:t>
      </w:r>
      <w:r w:rsidR="00B84AF2">
        <w:noBreakHyphen/>
      </w:r>
      <w:r w:rsidR="001F39F2" w:rsidRPr="00AE71E5">
        <w:t>year age and sex group counts to derive the total potential populations for the geographic locations, people born in Australia, people born in another English speaking country and people born in a non</w:t>
      </w:r>
      <w:r w:rsidR="00B84AF2">
        <w:noBreakHyphen/>
      </w:r>
      <w:r w:rsidR="001F39F2" w:rsidRPr="00AE71E5">
        <w:t>English speaking country. Summing the potential populations for people born in Australia and people born in another English speaking country to derive the total potential population for people born in an English speaking country</w:t>
      </w:r>
    </w:p>
    <w:p w:rsidR="001F39F2" w:rsidRPr="006B69A1" w:rsidRDefault="000261E8" w:rsidP="00585E2C">
      <w:pPr>
        <w:pStyle w:val="ListBullet"/>
      </w:pPr>
      <w:proofErr w:type="gramStart"/>
      <w:r>
        <w:t>f</w:t>
      </w:r>
      <w:r w:rsidR="001F39F2" w:rsidRPr="006B69A1">
        <w:t>or</w:t>
      </w:r>
      <w:proofErr w:type="gramEnd"/>
      <w:r w:rsidR="001F39F2" w:rsidRPr="006B69A1">
        <w:t xml:space="preserve"> employment, repeating the above steps, but restricting the calculations to those people aged 15–64 years, then multiplying each State/Territory total by State/Territory specific labour force participation rates for people aged </w:t>
      </w:r>
      <w:r w:rsidR="001F39F2" w:rsidRPr="006B69A1">
        <w:br/>
        <w:t xml:space="preserve">15–64 years. </w:t>
      </w:r>
    </w:p>
    <w:p w:rsidR="001F39F2" w:rsidRPr="006B69A1" w:rsidRDefault="001F39F2" w:rsidP="00585E2C">
      <w:pPr>
        <w:pStyle w:val="BodyText"/>
        <w:keepNext/>
      </w:pPr>
      <w:r w:rsidRPr="006B69A1">
        <w:t>The approach used to derive the potential populations by Indigenous status involved the following steps:</w:t>
      </w:r>
    </w:p>
    <w:p w:rsidR="001F39F2" w:rsidRPr="001361A1" w:rsidRDefault="000261E8" w:rsidP="00585E2C">
      <w:pPr>
        <w:pStyle w:val="ListBullet"/>
      </w:pPr>
      <w:r>
        <w:t>d</w:t>
      </w:r>
      <w:r w:rsidR="001F39F2" w:rsidRPr="00DF055D">
        <w:rPr>
          <w:rStyle w:val="ListBulletChar"/>
        </w:rPr>
        <w:t>e</w:t>
      </w:r>
      <w:r w:rsidR="001F39F2" w:rsidRPr="00DF055D">
        <w:t>riving current State/Territory based 10</w:t>
      </w:r>
      <w:r w:rsidR="00B84AF2">
        <w:noBreakHyphen/>
      </w:r>
      <w:r w:rsidR="001F39F2" w:rsidRPr="00DF055D">
        <w:t>year age and sex specific rate ratios of people with ASSNP by Indigenous</w:t>
      </w:r>
      <w:r w:rsidR="001F39F2" w:rsidRPr="00B70DE2">
        <w:t xml:space="preserve"> status using the </w:t>
      </w:r>
      <w:r w:rsidR="00147FD2" w:rsidRPr="001361A1">
        <w:t>2011 Census</w:t>
      </w:r>
    </w:p>
    <w:p w:rsidR="001F39F2" w:rsidRPr="00DF055D" w:rsidRDefault="000261E8" w:rsidP="00626A1F">
      <w:pPr>
        <w:pStyle w:val="ListBullet"/>
      </w:pPr>
      <w:proofErr w:type="gramStart"/>
      <w:r>
        <w:t>m</w:t>
      </w:r>
      <w:r w:rsidR="001F39F2" w:rsidRPr="00DF055D">
        <w:t>ultiplying</w:t>
      </w:r>
      <w:proofErr w:type="gramEnd"/>
      <w:r w:rsidR="001F39F2" w:rsidRPr="00DF055D">
        <w:t xml:space="preserve"> the current State/Territory </w:t>
      </w:r>
      <w:r w:rsidR="00904E97" w:rsidRPr="00DF055D">
        <w:t>Aboriginal and Torres Strait Islander</w:t>
      </w:r>
      <w:r w:rsidR="001F39F2" w:rsidRPr="00DF055D">
        <w:t xml:space="preserve"> and </w:t>
      </w:r>
      <w:r>
        <w:br/>
      </w:r>
      <w:r w:rsidR="001F39F2" w:rsidRPr="00DF055D">
        <w:t>non</w:t>
      </w:r>
      <w:r w:rsidR="00B84AF2">
        <w:noBreakHyphen/>
      </w:r>
      <w:r w:rsidR="001F39F2" w:rsidRPr="00DF055D">
        <w:t>Indigenous 10</w:t>
      </w:r>
      <w:r w:rsidR="00B84AF2">
        <w:noBreakHyphen/>
      </w:r>
      <w:r w:rsidR="001F39F2" w:rsidRPr="00DF055D">
        <w:t>year age and sex population estimates by national 10</w:t>
      </w:r>
      <w:r w:rsidR="00B84AF2">
        <w:noBreakHyphen/>
      </w:r>
      <w:r w:rsidR="001F39F2" w:rsidRPr="00DF055D">
        <w:t xml:space="preserve">year age and sex specific rates of </w:t>
      </w:r>
      <w:r w:rsidR="00D0796E" w:rsidRPr="00DF055D">
        <w:t>the potential population</w:t>
      </w:r>
      <w:r w:rsidR="001F39F2" w:rsidRPr="00DF055D">
        <w:t xml:space="preserve"> from the </w:t>
      </w:r>
      <w:r w:rsidR="00AC1840" w:rsidRPr="00DF055D">
        <w:t xml:space="preserve">2012 </w:t>
      </w:r>
      <w:r w:rsidR="001F39F2" w:rsidRPr="00DF055D">
        <w:t xml:space="preserve">SDAC. Then multiplying the </w:t>
      </w:r>
      <w:r w:rsidR="00904E97" w:rsidRPr="00DF055D">
        <w:t>Aboriginal and Torres Strait Islander</w:t>
      </w:r>
      <w:r w:rsidR="001F39F2" w:rsidRPr="00DF055D">
        <w:t xml:space="preserve"> and non</w:t>
      </w:r>
      <w:r w:rsidR="00B84AF2">
        <w:noBreakHyphen/>
      </w:r>
      <w:r w:rsidR="001F39F2" w:rsidRPr="00DF055D">
        <w:t>Indigenous counts for each 10</w:t>
      </w:r>
      <w:r w:rsidR="00B84AF2">
        <w:noBreakHyphen/>
      </w:r>
      <w:r w:rsidR="001F39F2" w:rsidRPr="00DF055D">
        <w:t>year age and sex group by the 10</w:t>
      </w:r>
      <w:r w:rsidR="00B84AF2">
        <w:noBreakHyphen/>
      </w:r>
      <w:r w:rsidR="001F39F2" w:rsidRPr="00DF055D">
        <w:t xml:space="preserve">year age and sex specific rate ratios of people with ASSNP to obtain an </w:t>
      </w:r>
      <w:r w:rsidR="00904E97" w:rsidRPr="00DF055D">
        <w:t>Aboriginal and Torres Strait Islander</w:t>
      </w:r>
      <w:r w:rsidR="001F39F2" w:rsidRPr="00DF055D">
        <w:t>/non</w:t>
      </w:r>
      <w:r w:rsidR="00B84AF2">
        <w:noBreakHyphen/>
      </w:r>
      <w:r w:rsidR="001F39F2" w:rsidRPr="00DF055D">
        <w:t>Indigenous potential population within each age and sex group</w:t>
      </w:r>
    </w:p>
    <w:p w:rsidR="001F39F2" w:rsidRPr="00DF055D" w:rsidRDefault="000261E8" w:rsidP="00585E2C">
      <w:pPr>
        <w:pStyle w:val="ListBullet"/>
      </w:pPr>
      <w:r>
        <w:t>s</w:t>
      </w:r>
      <w:r w:rsidR="001F39F2" w:rsidRPr="00DF055D">
        <w:t>umming the 10</w:t>
      </w:r>
      <w:r w:rsidR="00B84AF2">
        <w:noBreakHyphen/>
      </w:r>
      <w:r w:rsidR="001F39F2" w:rsidRPr="00DF055D">
        <w:t xml:space="preserve">year age and sex group counts to derive a total </w:t>
      </w:r>
      <w:r w:rsidR="00904E97" w:rsidRPr="00DF055D">
        <w:t>Aboriginal and Torres Strait Islander</w:t>
      </w:r>
      <w:r w:rsidR="001F39F2" w:rsidRPr="00DF055D">
        <w:t xml:space="preserve"> and non</w:t>
      </w:r>
      <w:r w:rsidR="00B84AF2">
        <w:noBreakHyphen/>
      </w:r>
      <w:r w:rsidR="001F39F2" w:rsidRPr="00DF055D">
        <w:t>Indigenous potential population for each State/Territory</w:t>
      </w:r>
    </w:p>
    <w:p w:rsidR="001F39F2" w:rsidRPr="00DF055D" w:rsidRDefault="000261E8" w:rsidP="00585E2C">
      <w:pPr>
        <w:pStyle w:val="ListBullet"/>
      </w:pPr>
      <w:proofErr w:type="gramStart"/>
      <w:r>
        <w:lastRenderedPageBreak/>
        <w:t>f</w:t>
      </w:r>
      <w:r w:rsidR="001F39F2" w:rsidRPr="00DF055D">
        <w:t>or</w:t>
      </w:r>
      <w:proofErr w:type="gramEnd"/>
      <w:r w:rsidR="001F39F2" w:rsidRPr="00DF055D">
        <w:t xml:space="preserve"> employment, repeating the above steps, but restricting the calculations to those people aged 15–64 years, then multiplying each State/Territory total by State/Territory specific labour force participation rates for people aged 15–64 years. </w:t>
      </w:r>
    </w:p>
    <w:p w:rsidR="001F39F2" w:rsidRPr="00DF055D" w:rsidRDefault="001F39F2" w:rsidP="006C5F8E">
      <w:pPr>
        <w:pStyle w:val="Heading4"/>
      </w:pPr>
      <w:r w:rsidRPr="00DF055D">
        <w:t>Data quality issues</w:t>
      </w:r>
    </w:p>
    <w:p w:rsidR="001F39F2" w:rsidRPr="00DF055D" w:rsidRDefault="001F39F2" w:rsidP="00585E2C">
      <w:pPr>
        <w:pStyle w:val="BodyText"/>
      </w:pPr>
      <w:r w:rsidRPr="00DF055D">
        <w:t>Data measuring the potential populations of the special needs groups are not explicitly available for the required time periods and have been estimated using several different data sources (as noted above), under several key assumptions. Some issues with this approach are:</w:t>
      </w:r>
    </w:p>
    <w:p w:rsidR="001F39F2" w:rsidRPr="00DF055D" w:rsidRDefault="001F39F2" w:rsidP="00585E2C">
      <w:pPr>
        <w:pStyle w:val="ListBullet"/>
      </w:pPr>
      <w:r w:rsidRPr="00DF055D">
        <w:t>The method used to estimate the potential populations assumes:</w:t>
      </w:r>
    </w:p>
    <w:p w:rsidR="001F39F2" w:rsidRPr="00DF055D" w:rsidRDefault="001F39F2" w:rsidP="00585E2C">
      <w:pPr>
        <w:pStyle w:val="ListBullet2"/>
      </w:pPr>
      <w:r w:rsidRPr="00DF055D">
        <w:t>that disability rates vary only by age and sex, and there is no effect of remoteness, disadvantage, or any other variable — this is likely to affect the reliability of comparisons across states and territories, however, it is currently not possible to detect the size or direction of any potential bias</w:t>
      </w:r>
    </w:p>
    <w:p w:rsidR="001F39F2" w:rsidRPr="008F5F24" w:rsidRDefault="001F39F2" w:rsidP="00585E2C">
      <w:pPr>
        <w:pStyle w:val="ListBullet2"/>
        <w:rPr>
          <w:color w:val="A6A6A6" w:themeColor="background1" w:themeShade="A6"/>
        </w:rPr>
      </w:pPr>
      <w:proofErr w:type="gramStart"/>
      <w:r w:rsidRPr="00DF055D">
        <w:t>that</w:t>
      </w:r>
      <w:proofErr w:type="gramEnd"/>
      <w:r w:rsidRPr="00DF055D">
        <w:t xml:space="preserve"> age</w:t>
      </w:r>
      <w:r w:rsidR="00B84AF2">
        <w:noBreakHyphen/>
      </w:r>
      <w:r w:rsidRPr="00DF055D">
        <w:t xml:space="preserve"> and sex</w:t>
      </w:r>
      <w:r w:rsidR="00DF3B3B">
        <w:t>–</w:t>
      </w:r>
      <w:r w:rsidRPr="00DF055D">
        <w:t>specific disability rates do not change significantly over time</w:t>
      </w:r>
      <w:r w:rsidRPr="008F5F24">
        <w:rPr>
          <w:color w:val="A6A6A6" w:themeColor="background1" w:themeShade="A6"/>
        </w:rPr>
        <w:t>.</w:t>
      </w:r>
    </w:p>
    <w:p w:rsidR="00DF055D" w:rsidRPr="00DF055D" w:rsidRDefault="00DF055D" w:rsidP="00DF055D">
      <w:pPr>
        <w:pStyle w:val="ListBullet"/>
      </w:pPr>
      <w:r w:rsidRPr="00DF055D">
        <w:t xml:space="preserve">New potential population estimates based on the 2012 SDAC </w:t>
      </w:r>
      <w:r w:rsidR="00BB0AC5">
        <w:t>have</w:t>
      </w:r>
      <w:r w:rsidR="00BB0AC5" w:rsidRPr="00DF055D">
        <w:t xml:space="preserve"> creat</w:t>
      </w:r>
      <w:r w:rsidR="00BB0AC5">
        <w:t>ed</w:t>
      </w:r>
      <w:r w:rsidRPr="00DF055D">
        <w:t xml:space="preserve"> a break in series, as potential population data extracted from this survey </w:t>
      </w:r>
      <w:r w:rsidR="000261E8">
        <w:t>are</w:t>
      </w:r>
      <w:r w:rsidRPr="00DF055D">
        <w:t xml:space="preserve"> substantially higher than those extracted from the 2009 SDAC</w:t>
      </w:r>
      <w:r>
        <w:t xml:space="preserve">. </w:t>
      </w:r>
      <w:r w:rsidRPr="00DF055D">
        <w:t>The growth in the potential populati</w:t>
      </w:r>
      <w:r>
        <w:t>on between 2009 and 2012 was 63 </w:t>
      </w:r>
      <w:r w:rsidRPr="00DF055D">
        <w:t xml:space="preserve">100 or 13 per cent. This </w:t>
      </w:r>
      <w:r w:rsidR="00F55821">
        <w:t>contributed to an increase in</w:t>
      </w:r>
      <w:r w:rsidRPr="00DF055D">
        <w:t xml:space="preserve"> prevalence amongst the population aged 0–64 years</w:t>
      </w:r>
      <w:r w:rsidR="00FD547A">
        <w:t>,</w:t>
      </w:r>
      <w:r w:rsidR="001166B3">
        <w:t xml:space="preserve"> </w:t>
      </w:r>
      <w:r w:rsidRPr="00DF055D">
        <w:t xml:space="preserve">from 2.6 per cent to 2.8 per cent. The growth in the </w:t>
      </w:r>
      <w:r w:rsidR="00FD547A">
        <w:t>number of people with a profound</w:t>
      </w:r>
      <w:r w:rsidR="00FD547A" w:rsidRPr="00DF055D">
        <w:t xml:space="preserve"> </w:t>
      </w:r>
      <w:r w:rsidRPr="00DF055D">
        <w:t>or severe core activity limitation over the same period was 47 300, or 7</w:t>
      </w:r>
      <w:r>
        <w:t> </w:t>
      </w:r>
      <w:r w:rsidRPr="00DF055D">
        <w:t>per</w:t>
      </w:r>
      <w:r>
        <w:t> </w:t>
      </w:r>
      <w:r w:rsidRPr="00DF055D">
        <w:t xml:space="preserve">cent. This </w:t>
      </w:r>
      <w:r w:rsidR="00F55821">
        <w:t>contributed to an increase in</w:t>
      </w:r>
      <w:r w:rsidR="00F55821" w:rsidRPr="00DF055D" w:rsidDel="00F55821">
        <w:t xml:space="preserve"> </w:t>
      </w:r>
      <w:r w:rsidRPr="00DF055D">
        <w:t>prevalence</w:t>
      </w:r>
      <w:r w:rsidR="00FD547A">
        <w:t>,</w:t>
      </w:r>
      <w:r w:rsidRPr="00DF055D">
        <w:t xml:space="preserve"> from 3.6 per cent of the population aged 0–64 years to 3.7 per cent.</w:t>
      </w:r>
      <w:r>
        <w:t xml:space="preserve"> </w:t>
      </w:r>
      <w:r w:rsidRPr="00DF055D">
        <w:t>To minimise the size of the change in the potential population from 2011</w:t>
      </w:r>
      <w:r w:rsidR="00B84AF2">
        <w:noBreakHyphen/>
      </w:r>
      <w:r w:rsidRPr="00DF055D">
        <w:t>12 to 2012</w:t>
      </w:r>
      <w:r w:rsidR="00B84AF2">
        <w:noBreakHyphen/>
      </w:r>
      <w:r w:rsidRPr="00DF055D">
        <w:t>13, SDAC data</w:t>
      </w:r>
      <w:r>
        <w:t xml:space="preserve"> </w:t>
      </w:r>
      <w:r w:rsidR="000261E8">
        <w:t>have</w:t>
      </w:r>
      <w:r w:rsidRPr="00DF055D">
        <w:t xml:space="preserve"> b</w:t>
      </w:r>
      <w:r>
        <w:t>e</w:t>
      </w:r>
      <w:r w:rsidRPr="00DF055D">
        <w:t>e</w:t>
      </w:r>
      <w:r>
        <w:t>n</w:t>
      </w:r>
      <w:r w:rsidRPr="00DF055D">
        <w:t xml:space="preserve"> smoothed between 2009 and 2012</w:t>
      </w:r>
      <w:r w:rsidR="00476310">
        <w:t xml:space="preserve"> and the</w:t>
      </w:r>
      <w:r w:rsidRPr="000261E8">
        <w:t xml:space="preserve"> potential population has been backcast to 2008</w:t>
      </w:r>
      <w:r w:rsidR="00B84AF2">
        <w:noBreakHyphen/>
      </w:r>
      <w:r w:rsidRPr="000261E8">
        <w:t xml:space="preserve">09 for this Report. </w:t>
      </w:r>
    </w:p>
    <w:p w:rsidR="001F39F2" w:rsidRPr="00DF055D" w:rsidRDefault="001F39F2" w:rsidP="00585E2C">
      <w:pPr>
        <w:pStyle w:val="ListBullet"/>
      </w:pPr>
      <w:r w:rsidRPr="00DF055D">
        <w:t xml:space="preserve">The rate ratio/proportion adjustments (that is, multiplication) assumes consistency between the rate ratio/proportion as calculated from the </w:t>
      </w:r>
      <w:r w:rsidR="00DF055D" w:rsidRPr="00DF055D">
        <w:t xml:space="preserve">2011 </w:t>
      </w:r>
      <w:r w:rsidRPr="00DF055D">
        <w:t xml:space="preserve">Census and the corresponding information if it were collected from the </w:t>
      </w:r>
      <w:r w:rsidR="00DF055D" w:rsidRPr="00DF055D">
        <w:t xml:space="preserve">2012 </w:t>
      </w:r>
      <w:r w:rsidRPr="00DF055D">
        <w:t xml:space="preserve">SDAC. Two points to note </w:t>
      </w:r>
      <w:r w:rsidR="00FD547A">
        <w:t>about</w:t>
      </w:r>
      <w:r w:rsidR="00FD547A" w:rsidRPr="00DF055D">
        <w:t xml:space="preserve"> </w:t>
      </w:r>
      <w:r w:rsidRPr="00DF055D">
        <w:t>this assumption are that:</w:t>
      </w:r>
    </w:p>
    <w:p w:rsidR="001F39F2" w:rsidRPr="00DF055D" w:rsidRDefault="001F39F2" w:rsidP="00626A1F">
      <w:pPr>
        <w:pStyle w:val="ListBullet2"/>
      </w:pPr>
      <w:r w:rsidRPr="00DF055D">
        <w:t>information about people with ASSNP is based on the self</w:t>
      </w:r>
      <w:r w:rsidR="00B84AF2">
        <w:noBreakHyphen/>
      </w:r>
      <w:r w:rsidRPr="00DF055D">
        <w:t xml:space="preserve">enumeration of four questions under the </w:t>
      </w:r>
      <w:r w:rsidR="00DF055D" w:rsidRPr="00DF055D">
        <w:t xml:space="preserve">2011 </w:t>
      </w:r>
      <w:r w:rsidRPr="00DF055D">
        <w:t>Census</w:t>
      </w:r>
      <w:r w:rsidR="00FD547A">
        <w:t xml:space="preserve"> (although personal </w:t>
      </w:r>
      <w:r w:rsidR="00FD547A" w:rsidRPr="00DF055D">
        <w:t>intervie</w:t>
      </w:r>
      <w:r w:rsidR="00FD547A">
        <w:t>ws</w:t>
      </w:r>
      <w:r w:rsidR="00FD547A" w:rsidRPr="00DF055D">
        <w:t xml:space="preserve"> in</w:t>
      </w:r>
      <w:r w:rsidR="00FD547A">
        <w:t xml:space="preserve"> were conducted</w:t>
      </w:r>
      <w:r w:rsidR="00FD547A" w:rsidRPr="00DF055D">
        <w:t xml:space="preserve"> </w:t>
      </w:r>
      <w:r w:rsidR="001166B3">
        <w:t xml:space="preserve">in </w:t>
      </w:r>
      <w:r w:rsidR="00FD547A" w:rsidRPr="00DF055D">
        <w:t>Aboriginal and Torres Strait Islander communities)</w:t>
      </w:r>
      <w:r w:rsidRPr="00DF055D">
        <w:t xml:space="preserve">, whereas in SDAC </w:t>
      </w:r>
      <w:r w:rsidR="00DF055D" w:rsidRPr="00DF055D">
        <w:t xml:space="preserve">2012 </w:t>
      </w:r>
      <w:r w:rsidRPr="00DF055D">
        <w:t xml:space="preserve">people are </w:t>
      </w:r>
      <w:r w:rsidR="00D0796E" w:rsidRPr="00DF055D">
        <w:t>deemed to be in the potential population</w:t>
      </w:r>
      <w:r w:rsidRPr="00DF055D">
        <w:t xml:space="preserve"> on the basis of a comprehensive </w:t>
      </w:r>
      <w:r w:rsidR="00FD547A">
        <w:br/>
      </w:r>
      <w:r w:rsidRPr="00DF055D">
        <w:t>interviewer</w:t>
      </w:r>
      <w:r w:rsidR="00FD547A">
        <w:t>–</w:t>
      </w:r>
      <w:r w:rsidRPr="00DF055D">
        <w:t>administered module of questions —</w:t>
      </w:r>
      <w:r w:rsidR="00DF3B3B">
        <w:t xml:space="preserve"> </w:t>
      </w:r>
      <w:r w:rsidR="00FD547A">
        <w:t>although</w:t>
      </w:r>
      <w:r w:rsidRPr="00DF055D">
        <w:t xml:space="preserve"> the two populations are different, </w:t>
      </w:r>
      <w:r w:rsidR="00FD547A">
        <w:t>they</w:t>
      </w:r>
      <w:r w:rsidR="00FD547A" w:rsidRPr="00DF055D">
        <w:t xml:space="preserve"> </w:t>
      </w:r>
      <w:r w:rsidRPr="00DF055D">
        <w:t>are conceptually related</w:t>
      </w:r>
    </w:p>
    <w:p w:rsidR="001F39F2" w:rsidRPr="00DF055D" w:rsidRDefault="001F39F2" w:rsidP="00585E2C">
      <w:pPr>
        <w:pStyle w:val="ListBullet2"/>
      </w:pPr>
      <w:r w:rsidRPr="00DF055D">
        <w:t xml:space="preserve">the special needs groups identification may not be the same between the </w:t>
      </w:r>
      <w:r w:rsidRPr="00DF055D">
        <w:br/>
      </w:r>
      <w:r w:rsidR="00DF055D" w:rsidRPr="00DF055D">
        <w:t>2011</w:t>
      </w:r>
      <w:r w:rsidR="00476310">
        <w:t xml:space="preserve"> </w:t>
      </w:r>
      <w:r w:rsidRPr="00DF055D">
        <w:t xml:space="preserve">Census and the </w:t>
      </w:r>
      <w:r w:rsidR="00DF055D" w:rsidRPr="00DF055D">
        <w:t>2012</w:t>
      </w:r>
      <w:r w:rsidR="00476310">
        <w:t xml:space="preserve"> </w:t>
      </w:r>
      <w:r w:rsidRPr="00DF055D">
        <w:t xml:space="preserve">SDAC (ABS research indicates, for example, that the </w:t>
      </w:r>
      <w:r w:rsidR="00904E97" w:rsidRPr="00DF055D">
        <w:t>Aboriginal and Torres Strait Islander</w:t>
      </w:r>
      <w:r w:rsidRPr="00DF055D">
        <w:t xml:space="preserve"> identification rate differs </w:t>
      </w:r>
      <w:r w:rsidR="00FD547A">
        <w:t>between</w:t>
      </w:r>
      <w:r w:rsidR="00FD547A" w:rsidRPr="00DF055D">
        <w:t xml:space="preserve"> </w:t>
      </w:r>
      <w:r w:rsidRPr="00DF055D">
        <w:t>the Census and interviewer administered surveys)</w:t>
      </w:r>
      <w:r w:rsidR="00FD547A">
        <w:t>.</w:t>
      </w:r>
    </w:p>
    <w:p w:rsidR="001F39F2" w:rsidRPr="00DF055D" w:rsidRDefault="001F39F2" w:rsidP="00585E2C">
      <w:pPr>
        <w:pStyle w:val="ListBullet"/>
      </w:pPr>
      <w:r w:rsidRPr="00DF055D">
        <w:lastRenderedPageBreak/>
        <w:t xml:space="preserve">It is not known if the data collection instruments are culturally appropriate for all special needs groups; nor is it known how this, combined with different data collection methods, impacts on the accuracy of the estimated potential population </w:t>
      </w:r>
    </w:p>
    <w:p w:rsidR="00DF055D" w:rsidRDefault="001F39F2" w:rsidP="00585E2C">
      <w:pPr>
        <w:pStyle w:val="ListBullet"/>
      </w:pPr>
      <w:r w:rsidRPr="00DF055D">
        <w:t>There are a number of potential sources of error related to the Census that stem from failure to return a Census form or failure to answer every applicable question. 20</w:t>
      </w:r>
      <w:r w:rsidR="00470BF6" w:rsidRPr="00DF055D">
        <w:t>11</w:t>
      </w:r>
      <w:r w:rsidRPr="00DF055D">
        <w:t xml:space="preserve"> Census data </w:t>
      </w:r>
      <w:r w:rsidR="00FD547A">
        <w:t xml:space="preserve">used in calculating the potential population </w:t>
      </w:r>
      <w:r w:rsidRPr="00DF055D">
        <w:t xml:space="preserve">exclude people for whom data is not </w:t>
      </w:r>
      <w:r w:rsidR="00FD547A">
        <w:t>stated</w:t>
      </w:r>
      <w:r w:rsidRPr="00DF055D">
        <w:t xml:space="preserve">. As with any collection, should the characteristics of interest (for example, ASSNP and/or special needs group status) of the people excluded differ from those people included, a potential for bias is introduced. In particular, for </w:t>
      </w:r>
      <w:r w:rsidR="00904E97" w:rsidRPr="00DF055D">
        <w:t>Aboriginal and Torres Strait Islander</w:t>
      </w:r>
      <w:r w:rsidRPr="00DF055D">
        <w:t xml:space="preserve"> estimates, differential undercount of </w:t>
      </w:r>
      <w:r w:rsidR="00904E97" w:rsidRPr="00DF055D">
        <w:t xml:space="preserve">Aboriginal and Torres Strait </w:t>
      </w:r>
      <w:r w:rsidR="00C21DBC">
        <w:t>Islander people</w:t>
      </w:r>
      <w:r w:rsidRPr="00DF055D">
        <w:t xml:space="preserve"> across states and territories may introduce bias into the results that would affect the comparability of estimates across jurisdictions, if those missed by the Census had a different rate of disability status to those included.</w:t>
      </w:r>
    </w:p>
    <w:p w:rsidR="001F39F2" w:rsidRDefault="00321568" w:rsidP="00585E2C">
      <w:pPr>
        <w:pStyle w:val="Heading2"/>
      </w:pPr>
      <w:bookmarkStart w:id="28" w:name="_Toc248563908"/>
      <w:bookmarkStart w:id="29" w:name="_Toc397527179"/>
      <w:r>
        <w:lastRenderedPageBreak/>
        <w:t>14.</w:t>
      </w:r>
      <w:r w:rsidR="0085284B">
        <w:rPr>
          <w:noProof/>
        </w:rPr>
        <w:t>7</w:t>
      </w:r>
      <w:r w:rsidR="001F39F2" w:rsidRPr="00B947F0">
        <w:tab/>
        <w:t>Definitions of key terms</w:t>
      </w:r>
      <w:bookmarkEnd w:id="28"/>
      <w:bookmarkEnd w:id="29"/>
    </w:p>
    <w:tbl>
      <w:tblPr>
        <w:tblW w:w="0" w:type="auto"/>
        <w:tblLayout w:type="fixed"/>
        <w:tblCellMar>
          <w:left w:w="0" w:type="dxa"/>
          <w:right w:w="0" w:type="dxa"/>
        </w:tblCellMar>
        <w:tblLook w:val="0000" w:firstRow="0" w:lastRow="0" w:firstColumn="0" w:lastColumn="0" w:noHBand="0" w:noVBand="0"/>
      </w:tblPr>
      <w:tblGrid>
        <w:gridCol w:w="2268"/>
        <w:gridCol w:w="6521"/>
      </w:tblGrid>
      <w:tr w:rsidR="008F5F24" w:rsidRPr="00CD291E" w:rsidTr="00EC471A">
        <w:tc>
          <w:tcPr>
            <w:tcW w:w="2268" w:type="dxa"/>
          </w:tcPr>
          <w:p w:rsidR="001F39F2" w:rsidRPr="00CD291E" w:rsidRDefault="001F39F2" w:rsidP="00585E2C">
            <w:pPr>
              <w:pStyle w:val="TableBodyText"/>
              <w:spacing w:before="60" w:after="60"/>
              <w:ind w:left="0"/>
              <w:jc w:val="left"/>
              <w:rPr>
                <w:b/>
              </w:rPr>
            </w:pPr>
            <w:r w:rsidRPr="00CD291E">
              <w:rPr>
                <w:b/>
              </w:rPr>
              <w:t>Accommodation support service users receiving community accommodation and care services</w:t>
            </w:r>
          </w:p>
        </w:tc>
        <w:tc>
          <w:tcPr>
            <w:tcW w:w="6521" w:type="dxa"/>
          </w:tcPr>
          <w:p w:rsidR="001F39F2" w:rsidRPr="00CD291E" w:rsidRDefault="001F39F2" w:rsidP="00302BC1">
            <w:pPr>
              <w:pStyle w:val="TableBodyText"/>
              <w:spacing w:before="60" w:after="60"/>
              <w:ind w:left="0"/>
              <w:jc w:val="left"/>
            </w:pPr>
            <w:r w:rsidRPr="00CD291E">
              <w:t>People using the following NDA accommodation support services: group homes; attendant care/personal care; in</w:t>
            </w:r>
            <w:r w:rsidR="00B84AF2">
              <w:noBreakHyphen/>
            </w:r>
            <w:r w:rsidRPr="00CD291E">
              <w:t>home accommodation support; alternative family placement and other accommodation support (types 1.04–1.08), as a proportion of all people using NDA accommodation support services (excludes service users of specialist psychiatric disability services only). See A</w:t>
            </w:r>
            <w:r w:rsidR="0086127D">
              <w:t xml:space="preserve">ustralian </w:t>
            </w:r>
            <w:r w:rsidR="0086127D" w:rsidRPr="00CD291E">
              <w:t>I</w:t>
            </w:r>
            <w:r w:rsidR="0086127D">
              <w:t xml:space="preserve">nstitute of </w:t>
            </w:r>
            <w:r w:rsidRPr="00CD291E">
              <w:t>H</w:t>
            </w:r>
            <w:r w:rsidR="0086127D">
              <w:t xml:space="preserve">ealth and </w:t>
            </w:r>
            <w:r w:rsidR="0086127D" w:rsidRPr="00CD291E">
              <w:t>W</w:t>
            </w:r>
            <w:r w:rsidR="0086127D">
              <w:t>elfare (AIHW)</w:t>
            </w:r>
            <w:r w:rsidRPr="00CD291E">
              <w:t xml:space="preserve"> (</w:t>
            </w:r>
            <w:r w:rsidR="00302BC1">
              <w:t>2014b</w:t>
            </w:r>
            <w:r w:rsidRPr="00CD291E">
              <w:t>) for more information on service types 1.04–1.08.</w:t>
            </w:r>
          </w:p>
        </w:tc>
      </w:tr>
      <w:tr w:rsidR="00790BFD" w:rsidRPr="00790BFD" w:rsidTr="00EC471A">
        <w:tc>
          <w:tcPr>
            <w:tcW w:w="2268" w:type="dxa"/>
          </w:tcPr>
          <w:p w:rsidR="001F39F2" w:rsidRPr="00790BFD" w:rsidRDefault="001F39F2" w:rsidP="00585E2C">
            <w:pPr>
              <w:pStyle w:val="TableBodyText"/>
              <w:spacing w:before="60" w:after="60"/>
              <w:ind w:left="0"/>
              <w:jc w:val="left"/>
              <w:rPr>
                <w:b/>
              </w:rPr>
            </w:pPr>
            <w:r w:rsidRPr="00790BFD">
              <w:rPr>
                <w:b/>
              </w:rPr>
              <w:t>Administration expenditure as a proportion of total expenditure</w:t>
            </w:r>
          </w:p>
        </w:tc>
        <w:tc>
          <w:tcPr>
            <w:tcW w:w="6521" w:type="dxa"/>
          </w:tcPr>
          <w:p w:rsidR="001F39F2" w:rsidRPr="00790BFD" w:rsidRDefault="001F39F2" w:rsidP="00585E2C">
            <w:pPr>
              <w:pStyle w:val="TableBodyText"/>
              <w:spacing w:before="60" w:after="60"/>
              <w:ind w:left="0"/>
              <w:jc w:val="left"/>
            </w:pPr>
            <w:r w:rsidRPr="00790BFD">
              <w:t>The numerator — expenditure (accrual) by jurisdictions on administering the disability service system as a whole (including the regional program management and administration, the central policy and program management and administration, and the disability program share of corporate administration costs under the umbrella department, but excluding administration expenditure on a service that has been already counted in the direct expenditure on the service) — divided by the denominator — total government expenditure on services for people with disability (including expenditure on both programs and administration, direct expenditure and grants to government service providers, and government grants to non</w:t>
            </w:r>
            <w:r w:rsidRPr="00790BFD">
              <w:noBreakHyphen/>
              <w:t>government service providers (except major capital grants).</w:t>
            </w:r>
          </w:p>
        </w:tc>
      </w:tr>
      <w:tr w:rsidR="00845A5C" w:rsidRPr="00CD50C4" w:rsidTr="00EC471A">
        <w:tblPrEx>
          <w:tblCellMar>
            <w:left w:w="108" w:type="dxa"/>
            <w:right w:w="108" w:type="dxa"/>
          </w:tblCellMar>
        </w:tblPrEx>
        <w:trPr>
          <w:cantSplit/>
        </w:trPr>
        <w:tc>
          <w:tcPr>
            <w:tcW w:w="2268" w:type="dxa"/>
            <w:shd w:val="clear" w:color="auto" w:fill="FFFFFF" w:themeFill="background1"/>
          </w:tcPr>
          <w:p w:rsidR="00845A5C" w:rsidRPr="00CD50C4" w:rsidRDefault="00845A5C" w:rsidP="00003459">
            <w:pPr>
              <w:pStyle w:val="TableBodyText"/>
              <w:jc w:val="left"/>
              <w:rPr>
                <w:b/>
              </w:rPr>
            </w:pPr>
            <w:r w:rsidRPr="00CD50C4">
              <w:rPr>
                <w:b/>
              </w:rPr>
              <w:t>Comparability</w:t>
            </w:r>
          </w:p>
        </w:tc>
        <w:tc>
          <w:tcPr>
            <w:tcW w:w="6521" w:type="dxa"/>
            <w:shd w:val="clear" w:color="auto" w:fill="FFFFFF" w:themeFill="background1"/>
          </w:tcPr>
          <w:p w:rsidR="00845A5C" w:rsidRPr="00CD50C4" w:rsidRDefault="001E2734" w:rsidP="00003459">
            <w:pPr>
              <w:pStyle w:val="TableBodyText"/>
              <w:ind w:left="-108"/>
              <w:jc w:val="left"/>
            </w:pPr>
            <w:r w:rsidRPr="001E2734">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845A5C" w:rsidRPr="00CD50C4" w:rsidTr="00EC471A">
        <w:tblPrEx>
          <w:tblCellMar>
            <w:left w:w="108" w:type="dxa"/>
            <w:right w:w="108" w:type="dxa"/>
          </w:tblCellMar>
        </w:tblPrEx>
        <w:trPr>
          <w:cantSplit/>
        </w:trPr>
        <w:tc>
          <w:tcPr>
            <w:tcW w:w="2268" w:type="dxa"/>
            <w:shd w:val="clear" w:color="auto" w:fill="FFFFFF" w:themeFill="background1"/>
          </w:tcPr>
          <w:p w:rsidR="00845A5C" w:rsidRPr="00CD50C4" w:rsidRDefault="00845A5C" w:rsidP="00003459">
            <w:pPr>
              <w:pStyle w:val="TableBodyText"/>
              <w:jc w:val="left"/>
              <w:rPr>
                <w:b/>
              </w:rPr>
            </w:pPr>
            <w:r w:rsidRPr="00CD50C4">
              <w:rPr>
                <w:b/>
              </w:rPr>
              <w:t>Completeness</w:t>
            </w:r>
          </w:p>
        </w:tc>
        <w:tc>
          <w:tcPr>
            <w:tcW w:w="6521" w:type="dxa"/>
            <w:shd w:val="clear" w:color="auto" w:fill="FFFFFF" w:themeFill="background1"/>
          </w:tcPr>
          <w:p w:rsidR="00845A5C" w:rsidRPr="00CD50C4" w:rsidRDefault="001E2734" w:rsidP="00003459">
            <w:pPr>
              <w:pStyle w:val="TableBodyText"/>
              <w:ind w:left="-108"/>
              <w:jc w:val="left"/>
            </w:pPr>
            <w:r w:rsidRPr="001E2734">
              <w:t>Data are considered complete if all required data are available for all jurisdictions that provide the service.</w:t>
            </w:r>
          </w:p>
        </w:tc>
      </w:tr>
      <w:tr w:rsidR="00790BFD" w:rsidRPr="00790BFD" w:rsidTr="00EC471A">
        <w:tc>
          <w:tcPr>
            <w:tcW w:w="2268" w:type="dxa"/>
          </w:tcPr>
          <w:p w:rsidR="001F39F2" w:rsidRPr="00790BFD" w:rsidRDefault="001F39F2" w:rsidP="00790BFD">
            <w:pPr>
              <w:pStyle w:val="TableBodyText"/>
              <w:spacing w:before="60" w:after="60"/>
              <w:ind w:left="0"/>
              <w:jc w:val="left"/>
              <w:rPr>
                <w:b/>
              </w:rPr>
            </w:pPr>
            <w:r w:rsidRPr="00790BFD">
              <w:rPr>
                <w:b/>
              </w:rPr>
              <w:t xml:space="preserve">Core activities as per the </w:t>
            </w:r>
            <w:r w:rsidR="00790BFD" w:rsidRPr="00790BFD">
              <w:rPr>
                <w:b/>
              </w:rPr>
              <w:t xml:space="preserve">2012 </w:t>
            </w:r>
            <w:r w:rsidRPr="00790BFD">
              <w:rPr>
                <w:b/>
              </w:rPr>
              <w:t>ABS SDAC</w:t>
            </w:r>
          </w:p>
        </w:tc>
        <w:tc>
          <w:tcPr>
            <w:tcW w:w="6521" w:type="dxa"/>
          </w:tcPr>
          <w:p w:rsidR="001F39F2" w:rsidRPr="00790BFD" w:rsidRDefault="00790BFD" w:rsidP="00585E2C">
            <w:pPr>
              <w:pStyle w:val="TableBodyText"/>
              <w:spacing w:before="60" w:after="60"/>
              <w:ind w:left="0"/>
              <w:jc w:val="left"/>
            </w:pPr>
            <w:r>
              <w:t>C</w:t>
            </w:r>
            <w:r w:rsidRPr="00790BFD">
              <w:t>ommunication, mobility and self</w:t>
            </w:r>
            <w:r w:rsidR="000802ED" w:rsidRPr="00790BFD">
              <w:noBreakHyphen/>
            </w:r>
            <w:r w:rsidRPr="00790BFD">
              <w:t>care</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t>Cost per user of government provided accommodation support services — group homes</w:t>
            </w:r>
          </w:p>
        </w:tc>
        <w:tc>
          <w:tcPr>
            <w:tcW w:w="6521" w:type="dxa"/>
          </w:tcPr>
          <w:p w:rsidR="001F39F2" w:rsidRPr="00060ADF" w:rsidRDefault="001F39F2" w:rsidP="00585E2C">
            <w:pPr>
              <w:pStyle w:val="TableBodyText"/>
              <w:spacing w:before="60" w:after="60"/>
              <w:ind w:left="0"/>
              <w:jc w:val="left"/>
            </w:pPr>
            <w:r w:rsidRPr="00060ADF">
              <w:t>The numerator — government expenditure (accrual) on government provided accommodation support services in group homes (as defined by DS NMDS service type 1.04) — divided by the denominator — the number of users of government provided accommodation support services in group homes.</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rFonts w:ascii="Times New Roman" w:hAnsi="Times New Roman"/>
                <w:b/>
                <w:sz w:val="26"/>
              </w:rPr>
              <w:br w:type="page"/>
            </w:r>
            <w:r w:rsidRPr="00060ADF">
              <w:rPr>
                <w:b/>
              </w:rPr>
              <w:t xml:space="preserve">Cost per user of government provided accommodation support services — institutional/residential settings </w:t>
            </w:r>
          </w:p>
        </w:tc>
        <w:tc>
          <w:tcPr>
            <w:tcW w:w="6521" w:type="dxa"/>
          </w:tcPr>
          <w:p w:rsidR="001F39F2" w:rsidRPr="00060ADF" w:rsidRDefault="001F39F2" w:rsidP="00585E2C">
            <w:pPr>
              <w:pStyle w:val="TableBodyText"/>
              <w:spacing w:before="60" w:after="60"/>
              <w:ind w:left="0"/>
              <w:jc w:val="left"/>
            </w:pPr>
            <w:r w:rsidRPr="00060ADF">
              <w:t>The numerator — government expenditure (accrual) on government provided accommodation support services in institutional/residential settings (as defined by DS NMDS service types 1.01, 1.02 and 1.03) — divided by the denominator — the number of users of accommodation support services in institutional/residential settings. See AIHW (</w:t>
            </w:r>
            <w:r w:rsidR="00302BC1">
              <w:t>2014b</w:t>
            </w:r>
            <w:r w:rsidRPr="00060ADF">
              <w:t xml:space="preserve">) for more information on service types 1.01–1.03. </w:t>
            </w:r>
          </w:p>
        </w:tc>
      </w:tr>
      <w:tr w:rsidR="008F5F24" w:rsidRPr="00CE0D31" w:rsidTr="00EC471A">
        <w:tc>
          <w:tcPr>
            <w:tcW w:w="2268" w:type="dxa"/>
          </w:tcPr>
          <w:p w:rsidR="001F39F2" w:rsidRPr="00CE0D31" w:rsidRDefault="001F39F2" w:rsidP="00585E2C">
            <w:pPr>
              <w:pStyle w:val="TableBodyText"/>
              <w:spacing w:before="60" w:after="60"/>
              <w:ind w:left="0"/>
              <w:jc w:val="left"/>
              <w:rPr>
                <w:b/>
              </w:rPr>
            </w:pPr>
            <w:r w:rsidRPr="00CE0D31">
              <w:rPr>
                <w:b/>
              </w:rPr>
              <w:t>Disability</w:t>
            </w:r>
          </w:p>
        </w:tc>
        <w:tc>
          <w:tcPr>
            <w:tcW w:w="6521" w:type="dxa"/>
          </w:tcPr>
          <w:p w:rsidR="001F39F2" w:rsidRPr="00CE0D31" w:rsidRDefault="001F39F2" w:rsidP="00585E2C">
            <w:pPr>
              <w:pStyle w:val="TableBodyText"/>
              <w:spacing w:before="60" w:after="60"/>
              <w:jc w:val="left"/>
            </w:pPr>
            <w:r w:rsidRPr="00CE0D31">
              <w:t xml:space="preserve">The United Nation’s </w:t>
            </w:r>
            <w:r w:rsidRPr="00CE0D31">
              <w:rPr>
                <w:i/>
              </w:rPr>
              <w:t>Convention on the Rights of Persons with Disabilities</w:t>
            </w:r>
            <w:r w:rsidRPr="00CE0D31">
              <w:t>, ratified by Australia on 17</w:t>
            </w:r>
            <w:r w:rsidR="00B84AF2">
              <w:t> </w:t>
            </w:r>
            <w:r w:rsidRPr="00CE0D31">
              <w:t xml:space="preserve">July 2008, </w:t>
            </w:r>
            <w:proofErr w:type="gramStart"/>
            <w:r w:rsidRPr="00CE0D31">
              <w:t>defines</w:t>
            </w:r>
            <w:proofErr w:type="gramEnd"/>
            <w:r w:rsidRPr="00CE0D31">
              <w:t xml:space="preserve"> ‘persons with disabilities’ as those who have long</w:t>
            </w:r>
            <w:r w:rsidR="000802ED" w:rsidRPr="00790BFD">
              <w:noBreakHyphen/>
            </w:r>
            <w:r w:rsidRPr="00CE0D31">
              <w:t xml:space="preserve">term physical, mental, intellectual or sensory impairments which in interaction with various barriers may hinder their full and effective participation in society on an equal basis with others. </w:t>
            </w:r>
          </w:p>
          <w:p w:rsidR="001F39F2" w:rsidRPr="00CE0D31" w:rsidRDefault="001F39F2" w:rsidP="00585E2C">
            <w:pPr>
              <w:pStyle w:val="TableBodyText"/>
              <w:spacing w:before="60" w:after="60"/>
              <w:jc w:val="left"/>
            </w:pPr>
            <w:r w:rsidRPr="00CE0D31">
              <w:t xml:space="preserve">The </w:t>
            </w:r>
            <w:r w:rsidR="00BD1C57" w:rsidRPr="00CE0D31">
              <w:t>W</w:t>
            </w:r>
            <w:r w:rsidR="00BD1C57">
              <w:t xml:space="preserve">orld Health Organisation </w:t>
            </w:r>
            <w:r w:rsidRPr="00CE0D31">
              <w:t xml:space="preserve">defines ‘disabilities’ as impairments, activity limitations, and participation restrictions: an impairment is a problem in body function or structure; an activity limitation is a difficulty encountered by an individual in executing a task or action; and a participation restriction is a problem experienced by an individual in involvement in life situations. Disability is a complex phenomenon, reflecting an interaction between features of a person’s body and features of the society in which he or she lives (WHO 2009). </w:t>
            </w:r>
          </w:p>
          <w:p w:rsidR="00CE0D31" w:rsidRDefault="00CE0D31" w:rsidP="00CE0D31">
            <w:pPr>
              <w:pStyle w:val="TableBodyText"/>
              <w:spacing w:before="60" w:after="60"/>
              <w:jc w:val="left"/>
            </w:pPr>
            <w:r>
              <w:t>In the</w:t>
            </w:r>
            <w:r w:rsidRPr="00CE0D31">
              <w:t xml:space="preserve"> </w:t>
            </w:r>
            <w:r w:rsidR="001F39F2" w:rsidRPr="00CE0D31">
              <w:t xml:space="preserve">ABS SDAC </w:t>
            </w:r>
            <w:r w:rsidR="00CD1B6B">
              <w:t>2012</w:t>
            </w:r>
            <w:r w:rsidR="00CD1B6B" w:rsidRPr="00CE0D31">
              <w:t xml:space="preserve">, </w:t>
            </w:r>
            <w:r>
              <w:t xml:space="preserve">a person has a disability if they </w:t>
            </w:r>
            <w:r w:rsidRPr="00CE0D31">
              <w:t>‘report</w:t>
            </w:r>
            <w:r>
              <w:t xml:space="preserve"> they have a limitation, restriction or impairment, which has lasted, or is likely to last, for at least six months and restricts everyday activities. This includes:</w:t>
            </w:r>
          </w:p>
          <w:p w:rsidR="00CE0D31" w:rsidRDefault="00CE0D31" w:rsidP="00CE0D31">
            <w:pPr>
              <w:pStyle w:val="TableBullet"/>
            </w:pPr>
            <w:r>
              <w:t>loss of sight (not corrected by glasses or contact lenses)</w:t>
            </w:r>
          </w:p>
          <w:p w:rsidR="00CE0D31" w:rsidRDefault="00CE0D31" w:rsidP="00CE0D31">
            <w:pPr>
              <w:pStyle w:val="TableBullet"/>
            </w:pPr>
            <w:r>
              <w:t>loss of hearing where communication is restricted, or an aid to assist with, or substitute for, hearing is used</w:t>
            </w:r>
          </w:p>
          <w:p w:rsidR="00CE0D31" w:rsidRDefault="00CE0D31" w:rsidP="00CE0D31">
            <w:pPr>
              <w:pStyle w:val="TableBullet"/>
            </w:pPr>
            <w:r>
              <w:t>speech difficulties</w:t>
            </w:r>
          </w:p>
          <w:p w:rsidR="00CE0D31" w:rsidRDefault="00CE0D31" w:rsidP="00CE0D31">
            <w:pPr>
              <w:pStyle w:val="TableBullet"/>
            </w:pPr>
            <w:r>
              <w:t>shortness of breath or breathing difficulties causing restriction</w:t>
            </w:r>
          </w:p>
          <w:p w:rsidR="00CE0D31" w:rsidRDefault="00CE0D31" w:rsidP="00CE0D31">
            <w:pPr>
              <w:pStyle w:val="TableBullet"/>
            </w:pPr>
            <w:r>
              <w:lastRenderedPageBreak/>
              <w:t>chronic or recurrent pain or discomfort causing restriction</w:t>
            </w:r>
          </w:p>
          <w:p w:rsidR="00CE0D31" w:rsidRDefault="00CE0D31" w:rsidP="00CE0D31">
            <w:pPr>
              <w:pStyle w:val="TableBullet"/>
            </w:pPr>
            <w:r>
              <w:t>blackouts, seizures, or loss of consciousness</w:t>
            </w:r>
          </w:p>
          <w:p w:rsidR="00CE0D31" w:rsidRDefault="00CE0D31" w:rsidP="00CE0D31">
            <w:pPr>
              <w:pStyle w:val="TableBullet"/>
            </w:pPr>
            <w:r>
              <w:t>difficulty learning or understanding</w:t>
            </w:r>
          </w:p>
          <w:p w:rsidR="00CE0D31" w:rsidRDefault="00CE0D31" w:rsidP="00CE0D31">
            <w:pPr>
              <w:pStyle w:val="TableBullet"/>
            </w:pPr>
            <w:r>
              <w:t>incomplete use of arms or fingers</w:t>
            </w:r>
          </w:p>
          <w:p w:rsidR="00CE0D31" w:rsidRDefault="00CE0D31" w:rsidP="00CE0D31">
            <w:pPr>
              <w:pStyle w:val="TableBullet"/>
            </w:pPr>
            <w:r>
              <w:t>difficulty gripping or holding things</w:t>
            </w:r>
          </w:p>
          <w:p w:rsidR="00CE0D31" w:rsidRDefault="00CE0D31" w:rsidP="00CE0D31">
            <w:pPr>
              <w:pStyle w:val="TableBullet"/>
            </w:pPr>
            <w:r>
              <w:t>incomplete use of feet or legs</w:t>
            </w:r>
          </w:p>
          <w:p w:rsidR="00CE0D31" w:rsidRDefault="00CE0D31" w:rsidP="00CE0D31">
            <w:pPr>
              <w:pStyle w:val="TableBullet"/>
            </w:pPr>
            <w:r>
              <w:t>nervous or emotional condition causing restriction</w:t>
            </w:r>
          </w:p>
          <w:p w:rsidR="00CE0D31" w:rsidRDefault="00CE0D31" w:rsidP="00CE0D31">
            <w:pPr>
              <w:pStyle w:val="TableBullet"/>
            </w:pPr>
            <w:r>
              <w:t>restriction in physical activities or in doing physical work</w:t>
            </w:r>
          </w:p>
          <w:p w:rsidR="00CE0D31" w:rsidRDefault="00CE0D31" w:rsidP="00CE0D31">
            <w:pPr>
              <w:pStyle w:val="TableBullet"/>
            </w:pPr>
            <w:r>
              <w:t>disfigurement or deformity</w:t>
            </w:r>
          </w:p>
          <w:p w:rsidR="00CE0D31" w:rsidRDefault="00CE0D31" w:rsidP="00CE0D31">
            <w:pPr>
              <w:pStyle w:val="TableBullet"/>
            </w:pPr>
            <w:r>
              <w:t>mental illness or condition requiring help or supervision</w:t>
            </w:r>
          </w:p>
          <w:p w:rsidR="00CE0D31" w:rsidRDefault="00CE0D31" w:rsidP="00CE0D31">
            <w:pPr>
              <w:pStyle w:val="TableBullet"/>
            </w:pPr>
            <w:r>
              <w:t>long</w:t>
            </w:r>
            <w:r w:rsidR="00B84AF2">
              <w:noBreakHyphen/>
            </w:r>
            <w:r>
              <w:t>term effects of head injury, stroke or other brain damage causing restriction</w:t>
            </w:r>
          </w:p>
          <w:p w:rsidR="00CE0D31" w:rsidRDefault="00CE0D31" w:rsidP="00CE0D31">
            <w:pPr>
              <w:pStyle w:val="TableBullet"/>
            </w:pPr>
            <w:r>
              <w:t>receiving treatment or medication for any other long</w:t>
            </w:r>
            <w:r w:rsidR="00B84AF2">
              <w:noBreakHyphen/>
            </w:r>
            <w:r>
              <w:t>term conditions or ailments and still being restricted</w:t>
            </w:r>
          </w:p>
          <w:p w:rsidR="00E37D4C" w:rsidRDefault="00CE0D31" w:rsidP="00E37D4C">
            <w:pPr>
              <w:pStyle w:val="TableBullet"/>
            </w:pPr>
            <w:proofErr w:type="gramStart"/>
            <w:r>
              <w:t>any</w:t>
            </w:r>
            <w:proofErr w:type="gramEnd"/>
            <w:r>
              <w:t xml:space="preserve"> other long</w:t>
            </w:r>
            <w:r w:rsidR="00B84AF2">
              <w:noBreakHyphen/>
            </w:r>
            <w:r>
              <w:t>term conditions resulting in a restriction.</w:t>
            </w:r>
            <w:r w:rsidR="00570C28">
              <w:t xml:space="preserve"> </w:t>
            </w:r>
          </w:p>
          <w:p w:rsidR="001F39F2" w:rsidRPr="00CE0D31" w:rsidRDefault="001F39F2" w:rsidP="00E37D4C">
            <w:pPr>
              <w:pStyle w:val="TableBodyText"/>
              <w:spacing w:before="60" w:after="60"/>
              <w:jc w:val="left"/>
            </w:pPr>
            <w:r w:rsidRPr="00CE0D31">
              <w:t>The third CSTDA (2003, p.</w:t>
            </w:r>
            <w:r w:rsidR="00AE3578">
              <w:t> </w:t>
            </w:r>
            <w:r w:rsidRPr="00CE0D31">
              <w:t>9) defined ‘people with disabilities’ as those whose disability manifests itself before the age of 65 years and for which they require significant ongoing and/or long</w:t>
            </w:r>
            <w:r w:rsidR="00B84AF2">
              <w:noBreakHyphen/>
            </w:r>
            <w:r w:rsidRPr="00CE0D31">
              <w:t xml:space="preserve">term episodic support. For these people, the disability will be attributable to an intellectual, psychiatric, sensory, physical or neurological impairment or acquired brain injury (or some combination of these) which is likely to be permanent and results in substantially reduced capacity in at least one of the following: </w:t>
            </w:r>
            <w:r w:rsidR="00E37D4C" w:rsidRPr="00CE0D31">
              <w:t>self</w:t>
            </w:r>
            <w:r w:rsidR="00B84AF2">
              <w:noBreakHyphen/>
            </w:r>
            <w:r w:rsidR="00E37D4C" w:rsidRPr="00CE0D31">
              <w:t>care</w:t>
            </w:r>
            <w:r w:rsidRPr="00CE0D31">
              <w:t>/management, mobility and communication.</w:t>
            </w:r>
          </w:p>
        </w:tc>
      </w:tr>
      <w:tr w:rsidR="008F5F24" w:rsidRPr="00060ADF" w:rsidTr="00EC471A">
        <w:tc>
          <w:tcPr>
            <w:tcW w:w="2268" w:type="dxa"/>
          </w:tcPr>
          <w:p w:rsidR="005F5305" w:rsidRPr="00060ADF" w:rsidRDefault="005F5305" w:rsidP="00585E2C">
            <w:pPr>
              <w:pStyle w:val="TableBodyText"/>
              <w:spacing w:before="60" w:after="60"/>
              <w:ind w:left="0"/>
              <w:jc w:val="left"/>
              <w:rPr>
                <w:b/>
              </w:rPr>
            </w:pPr>
            <w:r w:rsidRPr="00060ADF">
              <w:rPr>
                <w:b/>
              </w:rPr>
              <w:lastRenderedPageBreak/>
              <w:t>Employment services</w:t>
            </w:r>
          </w:p>
        </w:tc>
        <w:tc>
          <w:tcPr>
            <w:tcW w:w="6521" w:type="dxa"/>
            <w:shd w:val="clear" w:color="auto" w:fill="auto"/>
          </w:tcPr>
          <w:p w:rsidR="005F5305" w:rsidRPr="00060ADF" w:rsidRDefault="005F5305" w:rsidP="00585E2C">
            <w:pPr>
              <w:pStyle w:val="TableBodyText"/>
              <w:spacing w:before="60" w:after="60"/>
              <w:jc w:val="left"/>
            </w:pPr>
            <w:r w:rsidRPr="00060ADF">
              <w:t>Employment services comprise open employment services and supported employment services. Where users of employment services are described without further qualification, this includes people who use either or both open and supported employment services.</w:t>
            </w:r>
          </w:p>
          <w:p w:rsidR="005F5305" w:rsidRPr="00060ADF" w:rsidRDefault="005F5305" w:rsidP="001166B3">
            <w:pPr>
              <w:pStyle w:val="TableBodyText"/>
              <w:spacing w:before="60" w:after="60"/>
              <w:jc w:val="left"/>
            </w:pPr>
            <w:r w:rsidRPr="00060ADF">
              <w:t xml:space="preserve">All open employment services are now included in the Disability Employment Services (DES) program administered by the </w:t>
            </w:r>
            <w:r w:rsidR="001166B3">
              <w:t>Department of Social Services (DSS</w:t>
            </w:r>
            <w:r w:rsidRPr="00060ADF">
              <w:t>).</w:t>
            </w:r>
            <w:r w:rsidR="00444C2A" w:rsidRPr="00060ADF">
              <w:t>Disability Employment Services has two parts: Disability Management Service is for job seekers with disability, injury or health condition who need assistance to find a job and occasional support to keep a job; and Employment Support Service provides assistance to people with permanent disability and who need regular, ongoing support to keep a job</w:t>
            </w:r>
            <w:r w:rsidRPr="00060ADF">
              <w:t xml:space="preserve">. Supported employment services are </w:t>
            </w:r>
            <w:r w:rsidR="00444C2A" w:rsidRPr="00060ADF">
              <w:t xml:space="preserve">administered by </w:t>
            </w:r>
            <w:r w:rsidR="006979F7" w:rsidRPr="00060ADF">
              <w:t xml:space="preserve">DSS (formerly </w:t>
            </w:r>
            <w:r w:rsidR="00444C2A" w:rsidRPr="00060ADF">
              <w:t>FaHCSIA</w:t>
            </w:r>
            <w:r w:rsidR="006979F7" w:rsidRPr="00060ADF">
              <w:t>)</w:t>
            </w:r>
            <w:r w:rsidR="00444C2A" w:rsidRPr="00060ADF">
              <w:t xml:space="preserve"> under the</w:t>
            </w:r>
            <w:r w:rsidR="006979F7" w:rsidRPr="00060ADF">
              <w:t xml:space="preserve"> Disability Employment Assistance activity as </w:t>
            </w:r>
            <w:r w:rsidR="00444C2A" w:rsidRPr="00060ADF">
              <w:t>Australian Disability Enterprise</w:t>
            </w:r>
            <w:r w:rsidR="006979F7" w:rsidRPr="00060ADF">
              <w:t>s</w:t>
            </w:r>
            <w:r w:rsidR="00444C2A" w:rsidRPr="00060ADF">
              <w:t>. Australian Disability Enterprises are commercial businesses that provide employment for people with disability in a supportive environment</w:t>
            </w:r>
            <w:r w:rsidRPr="00060ADF">
              <w:t>.</w:t>
            </w:r>
          </w:p>
        </w:tc>
      </w:tr>
      <w:tr w:rsidR="008F5F24" w:rsidRPr="00CD1B6B" w:rsidTr="00EC471A">
        <w:tc>
          <w:tcPr>
            <w:tcW w:w="2268" w:type="dxa"/>
          </w:tcPr>
          <w:p w:rsidR="001F39F2" w:rsidRPr="00CD1B6B" w:rsidRDefault="001F39F2" w:rsidP="00585E2C">
            <w:pPr>
              <w:pStyle w:val="TableBodyText"/>
              <w:spacing w:before="60" w:after="60"/>
              <w:ind w:left="0"/>
              <w:jc w:val="left"/>
              <w:rPr>
                <w:b/>
              </w:rPr>
            </w:pPr>
            <w:r w:rsidRPr="00CD1B6B">
              <w:rPr>
                <w:b/>
              </w:rPr>
              <w:t>Employment rate for people with a profound or severe core activity limitation</w:t>
            </w:r>
          </w:p>
        </w:tc>
        <w:tc>
          <w:tcPr>
            <w:tcW w:w="6521" w:type="dxa"/>
          </w:tcPr>
          <w:p w:rsidR="001F39F2" w:rsidRPr="00CD1B6B" w:rsidRDefault="001F39F2" w:rsidP="00585E2C">
            <w:pPr>
              <w:pStyle w:val="TableBodyText"/>
              <w:keepNext w:val="0"/>
              <w:spacing w:before="60" w:after="60"/>
              <w:ind w:left="0"/>
              <w:jc w:val="left"/>
            </w:pPr>
            <w:r w:rsidRPr="00CD1B6B">
              <w:t>Total estimated number of people aged 15–64 years with a profound or severe core activity limitation who are employed, divided by the total estimated number of people aged 15–64 years with a profound or severe core activity limitation in the labour force, multiplied by 100.</w:t>
            </w:r>
          </w:p>
        </w:tc>
      </w:tr>
      <w:tr w:rsidR="008F5F24" w:rsidRPr="00CD1B6B" w:rsidTr="00EC471A">
        <w:tc>
          <w:tcPr>
            <w:tcW w:w="2268" w:type="dxa"/>
          </w:tcPr>
          <w:p w:rsidR="001F39F2" w:rsidRPr="00CD1B6B" w:rsidRDefault="001F39F2" w:rsidP="00585E2C">
            <w:pPr>
              <w:pStyle w:val="TableBodyText"/>
              <w:spacing w:before="60" w:after="60"/>
              <w:ind w:left="0"/>
              <w:jc w:val="left"/>
              <w:rPr>
                <w:b/>
              </w:rPr>
            </w:pPr>
            <w:r w:rsidRPr="00CD1B6B">
              <w:rPr>
                <w:b/>
              </w:rPr>
              <w:t>Employment rate for total population</w:t>
            </w:r>
          </w:p>
        </w:tc>
        <w:tc>
          <w:tcPr>
            <w:tcW w:w="6521" w:type="dxa"/>
          </w:tcPr>
          <w:p w:rsidR="001F39F2" w:rsidRPr="00CD1B6B" w:rsidRDefault="001F39F2" w:rsidP="00585E2C">
            <w:pPr>
              <w:pStyle w:val="TableBodyText"/>
              <w:keepNext w:val="0"/>
              <w:spacing w:before="60" w:after="60"/>
              <w:ind w:left="0"/>
              <w:jc w:val="left"/>
            </w:pPr>
            <w:r w:rsidRPr="00CD1B6B">
              <w:t>Total estimated number of people aged 15–64 years who are employed, divided by the total number of people aged 15–64 years in the labour force, multiplied by 100.</w:t>
            </w:r>
          </w:p>
        </w:tc>
      </w:tr>
      <w:tr w:rsidR="008F5F24" w:rsidRPr="00CD1B6B" w:rsidTr="00EC471A">
        <w:tc>
          <w:tcPr>
            <w:tcW w:w="2268" w:type="dxa"/>
          </w:tcPr>
          <w:p w:rsidR="001F39F2" w:rsidRPr="00CD1B6B" w:rsidRDefault="001F39F2" w:rsidP="00585E2C">
            <w:pPr>
              <w:pStyle w:val="TableBodyText"/>
              <w:spacing w:before="60" w:after="60"/>
              <w:ind w:left="0"/>
              <w:jc w:val="left"/>
              <w:rPr>
                <w:b/>
              </w:rPr>
            </w:pPr>
            <w:r w:rsidRPr="00CD1B6B">
              <w:rPr>
                <w:b/>
              </w:rPr>
              <w:t>Funded agency</w:t>
            </w:r>
          </w:p>
        </w:tc>
        <w:tc>
          <w:tcPr>
            <w:tcW w:w="6521" w:type="dxa"/>
          </w:tcPr>
          <w:p w:rsidR="001F39F2" w:rsidRPr="00CD1B6B" w:rsidRDefault="001F39F2" w:rsidP="00585E2C">
            <w:pPr>
              <w:pStyle w:val="TableBodyText"/>
              <w:keepNext w:val="0"/>
              <w:spacing w:before="60" w:after="60"/>
              <w:ind w:left="0"/>
              <w:jc w:val="left"/>
            </w:pPr>
            <w:r w:rsidRPr="00CD1B6B">
              <w:t>An organisation that delivers one or more NDA service types (service type outlets). Funded agencies are usually legal entities. They are generally responsible for providing DS NMDS data to jurisdictions. Where a funded agency operates only one service type outlet, the service type outlet and the funded agency are the same entity.</w:t>
            </w:r>
          </w:p>
        </w:tc>
      </w:tr>
      <w:tr w:rsidR="00232292" w:rsidRPr="00232292" w:rsidTr="00EC471A">
        <w:tc>
          <w:tcPr>
            <w:tcW w:w="2268" w:type="dxa"/>
          </w:tcPr>
          <w:p w:rsidR="001F39F2" w:rsidRPr="00232292" w:rsidRDefault="001F39F2" w:rsidP="00585E2C">
            <w:pPr>
              <w:pStyle w:val="TableBodyText"/>
              <w:spacing w:before="60" w:after="60"/>
              <w:ind w:left="0"/>
              <w:jc w:val="left"/>
              <w:rPr>
                <w:b/>
              </w:rPr>
            </w:pPr>
            <w:r w:rsidRPr="00232292">
              <w:rPr>
                <w:b/>
              </w:rPr>
              <w:t>Geographic location</w:t>
            </w:r>
          </w:p>
        </w:tc>
        <w:tc>
          <w:tcPr>
            <w:tcW w:w="6521" w:type="dxa"/>
          </w:tcPr>
          <w:p w:rsidR="001F39F2" w:rsidRPr="00232292" w:rsidRDefault="001F39F2" w:rsidP="006731B7">
            <w:pPr>
              <w:pStyle w:val="TableBodyText"/>
              <w:spacing w:before="60" w:after="60"/>
              <w:ind w:left="0"/>
              <w:jc w:val="left"/>
            </w:pPr>
            <w:r w:rsidRPr="00232292">
              <w:t xml:space="preserve">Geographic location is based on the </w:t>
            </w:r>
            <w:r w:rsidR="00465838" w:rsidRPr="00232292">
              <w:t>A</w:t>
            </w:r>
            <w:r w:rsidR="00FF3725" w:rsidRPr="00232292">
              <w:rPr>
                <w:rFonts w:cs="Arial"/>
                <w:shd w:val="clear" w:color="auto" w:fill="FFFFFF"/>
              </w:rPr>
              <w:t>ustralian Statistical Geography Standard</w:t>
            </w:r>
            <w:r w:rsidR="0019455A" w:rsidRPr="00232292">
              <w:t xml:space="preserve"> </w:t>
            </w:r>
            <w:r w:rsidRPr="00232292">
              <w:t>of Remoteness Areas, which categorises areas as ‘major cities’, ‘inner regional’, ‘outer regional’, ‘remote’, ‘very remote’ and ‘migratory’. The criteria for Remoteness Areas are based on the Accessibility/Remoteness Index of Australia, which measures the remoteness of a point based on the physical road distance to the nearest urban centre in each of five size classes (ABS</w:t>
            </w:r>
            <w:r w:rsidRPr="00232292">
              <w:rPr>
                <w:rFonts w:cs="Arial"/>
              </w:rPr>
              <w:t> </w:t>
            </w:r>
            <w:r w:rsidR="006731B7" w:rsidRPr="00232292">
              <w:t>2011b</w:t>
            </w:r>
            <w:r w:rsidRPr="00232292">
              <w:t xml:space="preserve">). The ‘outer regional and remote/very remote’ classification used in this Report was derived by adding outer regional, remote and very remote data. </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lastRenderedPageBreak/>
              <w:t>Government contribution per user of non</w:t>
            </w:r>
            <w:r w:rsidRPr="00060ADF">
              <w:rPr>
                <w:b/>
              </w:rPr>
              <w:noBreakHyphen/>
              <w:t>government provided employment services</w:t>
            </w:r>
          </w:p>
        </w:tc>
        <w:tc>
          <w:tcPr>
            <w:tcW w:w="6521" w:type="dxa"/>
          </w:tcPr>
          <w:p w:rsidR="001F39F2" w:rsidRPr="00060ADF" w:rsidRDefault="001F39F2" w:rsidP="00302BC1">
            <w:pPr>
              <w:pStyle w:val="TableBodyText"/>
              <w:spacing w:before="60" w:after="60"/>
              <w:ind w:left="0"/>
              <w:jc w:val="left"/>
            </w:pPr>
            <w:r w:rsidRPr="00060ADF">
              <w:t>The numerator — Australian Government grant and case based funding expenditure (accrual) on specialist disability employment services (as defined by DS NMDS service types 5.01 (open) and 5.02 (supported)) — divided by the denominator — number of service users who received assistance. (For data prior to 2005</w:t>
            </w:r>
            <w:r w:rsidR="00B84AF2">
              <w:noBreakHyphen/>
            </w:r>
            <w:r w:rsidRPr="00060ADF">
              <w:t>06, service type 5.03 (combined open and supported) is also included.) See AIHW (</w:t>
            </w:r>
            <w:r w:rsidR="00302BC1">
              <w:t>2014b</w:t>
            </w:r>
            <w:r w:rsidRPr="00060ADF">
              <w:t xml:space="preserve">) for more information on service types </w:t>
            </w:r>
            <w:r w:rsidR="00661A1B">
              <w:br/>
            </w:r>
            <w:r w:rsidRPr="00060ADF">
              <w:t>5.01–5.03.</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br w:type="page"/>
            </w:r>
            <w:r w:rsidRPr="00060ADF">
              <w:rPr>
                <w:b/>
              </w:rPr>
              <w:t>Government contribution per user of non</w:t>
            </w:r>
            <w:r w:rsidRPr="00060ADF">
              <w:rPr>
                <w:b/>
              </w:rPr>
              <w:noBreakHyphen/>
              <w:t>government provided services — accommodation support in group homes</w:t>
            </w:r>
          </w:p>
        </w:tc>
        <w:tc>
          <w:tcPr>
            <w:tcW w:w="6521" w:type="dxa"/>
          </w:tcPr>
          <w:p w:rsidR="001F39F2" w:rsidRPr="00060ADF" w:rsidRDefault="001F39F2" w:rsidP="00585E2C">
            <w:pPr>
              <w:pStyle w:val="TableBodyText"/>
              <w:spacing w:before="60" w:after="60"/>
              <w:ind w:left="0"/>
              <w:jc w:val="left"/>
            </w:pPr>
            <w:r w:rsidRPr="00060ADF">
              <w:t>The numerator — government expenditure (accrual) on non</w:t>
            </w:r>
            <w:r w:rsidRPr="00060ADF">
              <w:noBreakHyphen/>
              <w:t>government provided accommodation support services in group homes (as defined by DS NMDS service type 1.04) — divided by the denominator — the number of users of non</w:t>
            </w:r>
            <w:r w:rsidRPr="00060ADF">
              <w:noBreakHyphen/>
              <w:t xml:space="preserve">government provided accommodation support services in group homes. </w:t>
            </w:r>
          </w:p>
        </w:tc>
      </w:tr>
      <w:tr w:rsidR="008F5F24" w:rsidRPr="00060ADF" w:rsidTr="00EC471A">
        <w:tc>
          <w:tcPr>
            <w:tcW w:w="2268" w:type="dxa"/>
          </w:tcPr>
          <w:p w:rsidR="001F39F2" w:rsidRPr="00060ADF" w:rsidRDefault="001F39F2" w:rsidP="00585E2C">
            <w:pPr>
              <w:pStyle w:val="TableBodyText"/>
              <w:spacing w:before="60" w:after="60"/>
              <w:ind w:left="0"/>
              <w:jc w:val="left"/>
              <w:rPr>
                <w:rFonts w:ascii="Times New Roman" w:hAnsi="Times New Roman"/>
                <w:b/>
                <w:sz w:val="26"/>
              </w:rPr>
            </w:pPr>
            <w:r w:rsidRPr="00060ADF">
              <w:rPr>
                <w:rFonts w:ascii="Times New Roman" w:hAnsi="Times New Roman"/>
                <w:sz w:val="26"/>
              </w:rPr>
              <w:br w:type="page"/>
            </w:r>
            <w:r w:rsidRPr="00060ADF">
              <w:rPr>
                <w:rFonts w:ascii="Times New Roman" w:hAnsi="Times New Roman"/>
                <w:sz w:val="26"/>
              </w:rPr>
              <w:br w:type="page"/>
            </w:r>
            <w:r w:rsidRPr="00060ADF">
              <w:rPr>
                <w:b/>
              </w:rPr>
              <w:t>Government contribution per user of non</w:t>
            </w:r>
            <w:r w:rsidRPr="00060ADF">
              <w:rPr>
                <w:b/>
              </w:rPr>
              <w:noBreakHyphen/>
              <w:t>government provided services — accommodation support in institutional/residential settings</w:t>
            </w:r>
            <w:r w:rsidRPr="00060ADF">
              <w:rPr>
                <w:rFonts w:ascii="Times New Roman" w:hAnsi="Times New Roman"/>
                <w:sz w:val="26"/>
              </w:rPr>
              <w:br w:type="page"/>
            </w:r>
            <w:r w:rsidRPr="00060ADF">
              <w:rPr>
                <w:rFonts w:ascii="Times New Roman" w:hAnsi="Times New Roman"/>
                <w:b/>
                <w:sz w:val="26"/>
              </w:rPr>
              <w:br w:type="page"/>
            </w:r>
            <w:r w:rsidRPr="00060ADF">
              <w:rPr>
                <w:rFonts w:ascii="Times New Roman" w:hAnsi="Times New Roman"/>
                <w:b/>
                <w:sz w:val="26"/>
              </w:rPr>
              <w:br w:type="page"/>
            </w:r>
          </w:p>
        </w:tc>
        <w:tc>
          <w:tcPr>
            <w:tcW w:w="6521" w:type="dxa"/>
          </w:tcPr>
          <w:p w:rsidR="001F39F2" w:rsidRPr="00060ADF" w:rsidRDefault="001F39F2" w:rsidP="00585E2C">
            <w:pPr>
              <w:pStyle w:val="TableBodyText"/>
              <w:spacing w:before="60" w:after="60"/>
              <w:ind w:left="0"/>
              <w:jc w:val="left"/>
            </w:pPr>
            <w:r w:rsidRPr="00060ADF">
              <w:t>The numerator — government expenditure (accrual) on non</w:t>
            </w:r>
            <w:r w:rsidRPr="00060ADF">
              <w:noBreakHyphen/>
              <w:t xml:space="preserve">government provided accommodation support services in institutional/residential settings (as defined by DS NMDS service types 1.01, 1.02 and 1.03) </w:t>
            </w:r>
            <w:r w:rsidRPr="00060ADF">
              <w:rPr>
                <w:rFonts w:cs="Arial"/>
              </w:rPr>
              <w:t>—</w:t>
            </w:r>
            <w:r w:rsidRPr="00060ADF">
              <w:t xml:space="preserve"> divided by the denominator — the number of users of non</w:t>
            </w:r>
            <w:r w:rsidRPr="00060ADF">
              <w:noBreakHyphen/>
              <w:t>government provided accommodation support services in institutional/residential settings.</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t>Government contribution per user of non</w:t>
            </w:r>
            <w:r w:rsidRPr="00060ADF">
              <w:rPr>
                <w:b/>
              </w:rPr>
              <w:noBreakHyphen/>
              <w:t>government provided services — accommodation support in other community settings</w:t>
            </w:r>
          </w:p>
        </w:tc>
        <w:tc>
          <w:tcPr>
            <w:tcW w:w="6521" w:type="dxa"/>
          </w:tcPr>
          <w:p w:rsidR="001F39F2" w:rsidRPr="00060ADF" w:rsidRDefault="001F39F2" w:rsidP="00585E2C">
            <w:pPr>
              <w:pStyle w:val="TableBodyText"/>
              <w:spacing w:before="60" w:after="60"/>
              <w:ind w:left="0"/>
              <w:jc w:val="left"/>
            </w:pPr>
            <w:r w:rsidRPr="00060ADF">
              <w:t>The numerator — government expenditure (accrual) on non</w:t>
            </w:r>
            <w:r w:rsidRPr="00060ADF">
              <w:noBreakHyphen/>
              <w:t xml:space="preserve">government provided accommodation support services in other community settings (as defined by DS NMDS service types </w:t>
            </w:r>
            <w:r w:rsidRPr="00060ADF">
              <w:br/>
              <w:t>1.05–1.08) — divided by the denominator — the number of users of non</w:t>
            </w:r>
            <w:r w:rsidRPr="00060ADF">
              <w:noBreakHyphen/>
              <w:t>government provided accommodation support services in other community settings.</w:t>
            </w:r>
          </w:p>
        </w:tc>
      </w:tr>
      <w:tr w:rsidR="006F166D" w:rsidRPr="006F166D" w:rsidTr="00EC471A">
        <w:tc>
          <w:tcPr>
            <w:tcW w:w="2268" w:type="dxa"/>
          </w:tcPr>
          <w:p w:rsidR="001F39F2" w:rsidRPr="005C51DD" w:rsidRDefault="00904E97" w:rsidP="00585E2C">
            <w:pPr>
              <w:pStyle w:val="TableBodyText"/>
              <w:spacing w:before="60" w:after="60"/>
              <w:ind w:left="0"/>
              <w:jc w:val="left"/>
              <w:rPr>
                <w:b/>
              </w:rPr>
            </w:pPr>
            <w:r w:rsidRPr="005C51DD">
              <w:rPr>
                <w:b/>
              </w:rPr>
              <w:t>Aboriginal and Torres Strait Islander</w:t>
            </w:r>
            <w:r w:rsidR="001F39F2" w:rsidRPr="005C51DD">
              <w:rPr>
                <w:b/>
              </w:rPr>
              <w:t xml:space="preserve"> factor</w:t>
            </w:r>
          </w:p>
        </w:tc>
        <w:tc>
          <w:tcPr>
            <w:tcW w:w="6521" w:type="dxa"/>
          </w:tcPr>
          <w:p w:rsidR="001F39F2" w:rsidRPr="005C51DD" w:rsidRDefault="001F39F2" w:rsidP="00585E2C">
            <w:pPr>
              <w:pStyle w:val="TableBodyText"/>
              <w:spacing w:before="60" w:after="60"/>
              <w:ind w:left="0"/>
              <w:jc w:val="left"/>
            </w:pPr>
            <w:r w:rsidRPr="005C51DD">
              <w:t xml:space="preserve">The potential populations were estimated by applying the </w:t>
            </w:r>
            <w:r w:rsidR="005C51DD" w:rsidRPr="005C51DD">
              <w:t xml:space="preserve">2012 </w:t>
            </w:r>
            <w:r w:rsidRPr="005C51DD">
              <w:t>national age</w:t>
            </w:r>
            <w:r w:rsidR="00B84AF2">
              <w:noBreakHyphen/>
            </w:r>
            <w:r w:rsidRPr="005C51DD">
              <w:t xml:space="preserve"> and sex</w:t>
            </w:r>
            <w:r w:rsidR="00B84AF2">
              <w:noBreakHyphen/>
            </w:r>
            <w:r w:rsidRPr="005C51DD">
              <w:t xml:space="preserve"> specific </w:t>
            </w:r>
            <w:r w:rsidR="004C674F" w:rsidRPr="005C51DD">
              <w:t xml:space="preserve">rates of the </w:t>
            </w:r>
            <w:r w:rsidR="00D0796E" w:rsidRPr="005C51DD">
              <w:t>potential population</w:t>
            </w:r>
            <w:r w:rsidRPr="005C51DD">
              <w:t xml:space="preserve"> to the age and sex structure of each jurisdiction in the current year. As </w:t>
            </w:r>
            <w:r w:rsidR="00904E97" w:rsidRPr="005C51DD">
              <w:t xml:space="preserve">Aboriginal and Torres Strait </w:t>
            </w:r>
            <w:r w:rsidR="00C21DBC">
              <w:t>Islander people</w:t>
            </w:r>
            <w:r w:rsidRPr="005C51DD">
              <w:t xml:space="preserve"> have significantly higher disability prevalence rates and greater representation in some NDA specialist disability services than non</w:t>
            </w:r>
            <w:r w:rsidR="00B84AF2">
              <w:noBreakHyphen/>
            </w:r>
            <w:r w:rsidR="00ED3937">
              <w:t>Indigenous people</w:t>
            </w:r>
            <w:r w:rsidRPr="005C51DD">
              <w:t xml:space="preserve">, and there are differences in the share of different jurisdictions’ populations who are </w:t>
            </w:r>
            <w:r w:rsidR="00904E97" w:rsidRPr="005C51DD">
              <w:t>Aboriginal and Torres Strait Islander</w:t>
            </w:r>
            <w:r w:rsidRPr="005C51DD">
              <w:t xml:space="preserve">, a further </w:t>
            </w:r>
            <w:r w:rsidR="00904E97" w:rsidRPr="005C51DD">
              <w:t>Aboriginal and Torres Strait Islander</w:t>
            </w:r>
            <w:r w:rsidRPr="005C51DD">
              <w:t xml:space="preserve"> factor adjustment was undertaken. The </w:t>
            </w:r>
            <w:r w:rsidR="00904E97" w:rsidRPr="005C51DD">
              <w:t>Aboriginal and Torres Strait Islander</w:t>
            </w:r>
            <w:r w:rsidRPr="005C51DD">
              <w:t xml:space="preserve"> factor was multiplied by the ‘expected current population estimate’ of people </w:t>
            </w:r>
            <w:r w:rsidR="00690472" w:rsidRPr="005C51DD">
              <w:t>in the potential population</w:t>
            </w:r>
            <w:r w:rsidRPr="005C51DD">
              <w:t xml:space="preserve"> in each jurisdiction to derive the ‘potential population’. </w:t>
            </w:r>
          </w:p>
          <w:p w:rsidR="001F39F2" w:rsidRPr="005C51DD" w:rsidRDefault="001F39F2" w:rsidP="00585E2C">
            <w:pPr>
              <w:pStyle w:val="TableBodyText"/>
              <w:spacing w:before="60" w:after="60"/>
              <w:ind w:left="0"/>
              <w:jc w:val="left"/>
            </w:pPr>
            <w:r w:rsidRPr="005C51DD">
              <w:t xml:space="preserve">The following steps were undertaken to estimate the </w:t>
            </w:r>
            <w:r w:rsidR="00904E97" w:rsidRPr="005C51DD">
              <w:t>Aboriginal and Torres Strait Islander</w:t>
            </w:r>
            <w:r w:rsidRPr="005C51DD">
              <w:t xml:space="preserve"> factors:</w:t>
            </w:r>
          </w:p>
          <w:p w:rsidR="001F39F2" w:rsidRPr="005C51DD" w:rsidRDefault="001F39F2" w:rsidP="00585E2C">
            <w:pPr>
              <w:pStyle w:val="TableBullet"/>
            </w:pPr>
            <w:r w:rsidRPr="005C51DD">
              <w:t xml:space="preserve">Data for all people (weighted) were calculated by multiplying the data for </w:t>
            </w:r>
            <w:r w:rsidR="00904E97" w:rsidRPr="005C51DD">
              <w:t xml:space="preserve">Aboriginal and Torres Strait </w:t>
            </w:r>
            <w:r w:rsidR="00C21DBC">
              <w:t>Islander people</w:t>
            </w:r>
            <w:r w:rsidRPr="005C51DD">
              <w:t xml:space="preserve"> by 2.4 and adding the data for non</w:t>
            </w:r>
            <w:r w:rsidRPr="005C51DD">
              <w:noBreakHyphen/>
            </w:r>
            <w:r w:rsidR="00ED3937">
              <w:t>Indigenous people</w:t>
            </w:r>
            <w:r w:rsidRPr="005C51DD">
              <w:t xml:space="preserve">. Hence </w:t>
            </w:r>
            <w:r w:rsidR="00904E97" w:rsidRPr="005C51DD">
              <w:t xml:space="preserve">Aboriginal and Torres Strait </w:t>
            </w:r>
            <w:r w:rsidR="00C21DBC">
              <w:t>Islander people</w:t>
            </w:r>
            <w:r w:rsidRPr="005C51DD">
              <w:t xml:space="preserve"> are weighted at 2.4 and non</w:t>
            </w:r>
            <w:r w:rsidR="00B84AF2">
              <w:noBreakHyphen/>
            </w:r>
            <w:r w:rsidR="00ED3937">
              <w:t>Indigenous people</w:t>
            </w:r>
            <w:r w:rsidRPr="005C51DD">
              <w:t xml:space="preserve"> at one</w:t>
            </w:r>
          </w:p>
          <w:p w:rsidR="001F39F2" w:rsidRPr="005C51DD" w:rsidRDefault="001F39F2" w:rsidP="00585E2C">
            <w:pPr>
              <w:pStyle w:val="TableBullet"/>
            </w:pPr>
            <w:r w:rsidRPr="005C51DD">
              <w:t xml:space="preserve">Data for all people (weighted per person) were calculated by dividing the all people (weighted) data by the sum of the </w:t>
            </w:r>
            <w:r w:rsidR="00904E97" w:rsidRPr="005C51DD">
              <w:t xml:space="preserve">Aboriginal and Torres Strait </w:t>
            </w:r>
            <w:r w:rsidR="00C21DBC">
              <w:t>Islander people</w:t>
            </w:r>
            <w:r w:rsidRPr="005C51DD">
              <w:t xml:space="preserve"> data and the non</w:t>
            </w:r>
            <w:r w:rsidR="00B84AF2">
              <w:noBreakHyphen/>
            </w:r>
            <w:r w:rsidR="00ED3937">
              <w:t>Indigenous people</w:t>
            </w:r>
            <w:r w:rsidRPr="005C51DD">
              <w:t xml:space="preserve"> data</w:t>
            </w:r>
          </w:p>
          <w:p w:rsidR="001F39F2" w:rsidRPr="00487207" w:rsidRDefault="001F39F2" w:rsidP="005760EA">
            <w:pPr>
              <w:pStyle w:val="TableBullet"/>
              <w:numPr>
                <w:ilvl w:val="1"/>
                <w:numId w:val="12"/>
              </w:numPr>
            </w:pPr>
            <w:r w:rsidRPr="005C51DD">
              <w:t xml:space="preserve">The </w:t>
            </w:r>
            <w:r w:rsidR="00904E97" w:rsidRPr="005C51DD">
              <w:t>Aboriginal and Torres Strait Islander</w:t>
            </w:r>
            <w:r w:rsidRPr="005C51DD">
              <w:t xml:space="preserve"> factors were then calculated by multiplying the all people (weighted per person) data by 100 and dividing by the all people (weighted per person)</w:t>
            </w:r>
            <w:r w:rsidR="005760EA">
              <w:t xml:space="preserve"> total for Australia.</w:t>
            </w:r>
          </w:p>
        </w:tc>
      </w:tr>
      <w:tr w:rsidR="008F5F24" w:rsidRPr="004810BF" w:rsidTr="00EC471A">
        <w:tc>
          <w:tcPr>
            <w:tcW w:w="2268" w:type="dxa"/>
          </w:tcPr>
          <w:p w:rsidR="001F39F2" w:rsidRPr="000261E8" w:rsidRDefault="001F39F2" w:rsidP="00585E2C">
            <w:pPr>
              <w:pStyle w:val="TableBodyText"/>
              <w:numPr>
                <w:ilvl w:val="1"/>
                <w:numId w:val="13"/>
              </w:numPr>
              <w:spacing w:before="60" w:after="60"/>
              <w:ind w:left="0"/>
              <w:jc w:val="left"/>
              <w:rPr>
                <w:b/>
              </w:rPr>
            </w:pPr>
            <w:r w:rsidRPr="000261E8">
              <w:rPr>
                <w:b/>
              </w:rPr>
              <w:t>Informal carer</w:t>
            </w:r>
          </w:p>
        </w:tc>
        <w:tc>
          <w:tcPr>
            <w:tcW w:w="6521" w:type="dxa"/>
          </w:tcPr>
          <w:p w:rsidR="001F39F2" w:rsidRPr="000261E8" w:rsidRDefault="001F39F2" w:rsidP="00585E2C">
            <w:pPr>
              <w:pStyle w:val="TableBodyText"/>
              <w:numPr>
                <w:ilvl w:val="1"/>
                <w:numId w:val="13"/>
              </w:numPr>
              <w:spacing w:before="60" w:after="60"/>
              <w:ind w:left="6"/>
              <w:jc w:val="left"/>
            </w:pPr>
            <w:r w:rsidRPr="000261E8">
              <w:rPr>
                <w:i/>
              </w:rPr>
              <w:t xml:space="preserve">ABS informal carer: </w:t>
            </w:r>
            <w:r w:rsidRPr="000261E8">
              <w:t xml:space="preserve">A person of any age who provides any informal assistance, in terms of help or supervision, to </w:t>
            </w:r>
            <w:r w:rsidR="00ED3937">
              <w:t>people</w:t>
            </w:r>
            <w:r w:rsidRPr="000261E8">
              <w:t xml:space="preserve"> with disabilities or long</w:t>
            </w:r>
            <w:r w:rsidR="00B84AF2">
              <w:noBreakHyphen/>
            </w:r>
            <w:r w:rsidRPr="000261E8">
              <w:t xml:space="preserve">term conditions, or older </w:t>
            </w:r>
            <w:r w:rsidR="00ED3937">
              <w:t>people</w:t>
            </w:r>
            <w:r w:rsidRPr="000261E8">
              <w:t xml:space="preserve"> (that is, </w:t>
            </w:r>
            <w:r w:rsidR="009F6050">
              <w:t>aged 65</w:t>
            </w:r>
            <w:r w:rsidRPr="000261E8">
              <w:t xml:space="preserve"> years and over). This assistance has to be ongoing, or likely to be ongoing, for at least 6 months. Assistance to a person in a different household relates to </w:t>
            </w:r>
            <w:r w:rsidR="00B84AF2">
              <w:t>‘</w:t>
            </w:r>
            <w:r w:rsidRPr="000261E8">
              <w:t>everyday types of activities</w:t>
            </w:r>
            <w:r w:rsidR="00B84AF2">
              <w:t>’</w:t>
            </w:r>
            <w:r w:rsidRPr="000261E8">
              <w:t xml:space="preserve">, without specific information on the activities. Where the care recipient lives in the same household, the assistance is for one or more of the following activities: cognition or emotion, communication, health care, housework, meal preparation, mobility, paperwork, property maintenance, </w:t>
            </w:r>
            <w:r w:rsidR="00E37D4C" w:rsidRPr="000261E8">
              <w:t>self</w:t>
            </w:r>
            <w:r w:rsidR="00B84AF2">
              <w:noBreakHyphen/>
            </w:r>
            <w:r w:rsidR="00E37D4C" w:rsidRPr="000261E8">
              <w:t>care</w:t>
            </w:r>
            <w:r w:rsidRPr="000261E8">
              <w:t xml:space="preserve"> and transport (ABS 2011</w:t>
            </w:r>
            <w:r w:rsidR="00232292">
              <w:t>a</w:t>
            </w:r>
            <w:r w:rsidRPr="000261E8">
              <w:t xml:space="preserve">). </w:t>
            </w:r>
          </w:p>
          <w:p w:rsidR="001F39F2" w:rsidRPr="000261E8" w:rsidRDefault="00D91F3B" w:rsidP="00585E2C">
            <w:pPr>
              <w:pStyle w:val="TableBodyText"/>
              <w:spacing w:before="60" w:after="60"/>
              <w:jc w:val="left"/>
            </w:pPr>
            <w:r w:rsidRPr="000261E8">
              <w:rPr>
                <w:i/>
              </w:rPr>
              <w:lastRenderedPageBreak/>
              <w:t>DS NMDS informal carer:</w:t>
            </w:r>
            <w:r w:rsidRPr="000261E8">
              <w:t xml:space="preserve"> an informal carer is a person such as a family member, friend or neighbour who provides regular and sustained care and assistance to the person requiring support (AIHW</w:t>
            </w:r>
            <w:r w:rsidR="008B45F0" w:rsidRPr="000261E8">
              <w:t> </w:t>
            </w:r>
            <w:r w:rsidRPr="000261E8">
              <w:t>2012a). This includes people who may receive a pension or benefit associated with their caring role, but does not include people, either paid or voluntary, whose services are arranged by a formal service organisation. Informal carers can be defined as primary if they help with one or more of the activities of daily living: self</w:t>
            </w:r>
            <w:r w:rsidR="00B84AF2">
              <w:noBreakHyphen/>
            </w:r>
            <w:r w:rsidRPr="000261E8">
              <w:t>care, mobility or communication</w:t>
            </w:r>
            <w:r w:rsidR="001F39F2" w:rsidRPr="000261E8">
              <w:t>.</w:t>
            </w:r>
          </w:p>
          <w:p w:rsidR="001F39F2" w:rsidRPr="000261E8" w:rsidRDefault="001F39F2" w:rsidP="00585E2C">
            <w:pPr>
              <w:pStyle w:val="TableBodyText"/>
              <w:jc w:val="left"/>
            </w:pPr>
            <w:r w:rsidRPr="000261E8">
              <w:t xml:space="preserve">See also primary carer. </w:t>
            </w:r>
          </w:p>
        </w:tc>
      </w:tr>
      <w:tr w:rsidR="008F5F24" w:rsidRPr="00487207" w:rsidTr="00EC471A">
        <w:tc>
          <w:tcPr>
            <w:tcW w:w="2268" w:type="dxa"/>
          </w:tcPr>
          <w:p w:rsidR="001F39F2" w:rsidRPr="00487207" w:rsidRDefault="001F39F2" w:rsidP="00585E2C">
            <w:pPr>
              <w:pStyle w:val="TableBodyText"/>
              <w:spacing w:before="60" w:after="60"/>
              <w:ind w:left="0"/>
              <w:jc w:val="left"/>
              <w:rPr>
                <w:b/>
              </w:rPr>
            </w:pPr>
            <w:r w:rsidRPr="00487207">
              <w:rPr>
                <w:rFonts w:ascii="Times New Roman" w:hAnsi="Times New Roman"/>
                <w:sz w:val="26"/>
              </w:rPr>
              <w:lastRenderedPageBreak/>
              <w:br w:type="page"/>
            </w:r>
            <w:r w:rsidRPr="00487207">
              <w:rPr>
                <w:b/>
              </w:rPr>
              <w:t>Labour force participation rate for people with a profound or severe core activity limitation</w:t>
            </w:r>
          </w:p>
        </w:tc>
        <w:tc>
          <w:tcPr>
            <w:tcW w:w="6521" w:type="dxa"/>
          </w:tcPr>
          <w:p w:rsidR="001F39F2" w:rsidRPr="00487207" w:rsidRDefault="001F39F2" w:rsidP="00585E2C">
            <w:pPr>
              <w:pStyle w:val="TableBodyText"/>
              <w:spacing w:before="60" w:after="60"/>
              <w:ind w:left="0"/>
              <w:jc w:val="left"/>
            </w:pPr>
            <w:r w:rsidRPr="00487207">
              <w:t xml:space="preserve">The total number of people with a profound or severe core activity limitation in the labour force (where the labour force includes employed and unemployed people), divided by the total number of people with a profound or severe core activity limitation who are aged 15–64 years, multiplied by 100. </w:t>
            </w:r>
          </w:p>
          <w:p w:rsidR="001F39F2" w:rsidRPr="00487207" w:rsidRDefault="001F39F2" w:rsidP="00585E2C">
            <w:pPr>
              <w:pStyle w:val="TableBodyText"/>
              <w:spacing w:before="60" w:after="60"/>
              <w:ind w:left="0"/>
              <w:jc w:val="left"/>
            </w:pPr>
            <w:r w:rsidRPr="00487207">
              <w:t>An employed person is a person who, in his or her main job during the remuneration period (reference week):</w:t>
            </w:r>
          </w:p>
          <w:p w:rsidR="001F39F2" w:rsidRPr="00487207" w:rsidRDefault="001F39F2" w:rsidP="00585E2C">
            <w:pPr>
              <w:pStyle w:val="TableBullet"/>
            </w:pPr>
            <w:r w:rsidRPr="00487207">
              <w:t>worked one hour or more for pay, profit, commission or payment in kind in a job or business, or on a farm (including employees, employers and self</w:t>
            </w:r>
            <w:r w:rsidRPr="00487207">
              <w:noBreakHyphen/>
              <w:t xml:space="preserve">employed </w:t>
            </w:r>
            <w:r w:rsidR="00ED3937">
              <w:t>people</w:t>
            </w:r>
            <w:r w:rsidRPr="00487207">
              <w:t>)</w:t>
            </w:r>
          </w:p>
          <w:p w:rsidR="001F39F2" w:rsidRPr="00487207" w:rsidRDefault="001F39F2" w:rsidP="00585E2C">
            <w:pPr>
              <w:pStyle w:val="TableBullet"/>
            </w:pPr>
            <w:r w:rsidRPr="00487207">
              <w:t xml:space="preserve">worked one hour or more without pay in a family business, or on a farm (excluding </w:t>
            </w:r>
            <w:r w:rsidR="00ED3937">
              <w:t>people</w:t>
            </w:r>
            <w:r w:rsidRPr="00487207">
              <w:t xml:space="preserve"> undertaking other unpaid voluntary work), or</w:t>
            </w:r>
          </w:p>
          <w:p w:rsidR="001F39F2" w:rsidRPr="00487207" w:rsidRDefault="001F39F2" w:rsidP="00585E2C">
            <w:pPr>
              <w:pStyle w:val="TableBullet"/>
            </w:pPr>
            <w:proofErr w:type="gramStart"/>
            <w:r w:rsidRPr="00487207">
              <w:t>was</w:t>
            </w:r>
            <w:proofErr w:type="gramEnd"/>
            <w:r w:rsidRPr="00487207">
              <w:t xml:space="preserve"> an employer, employee or self</w:t>
            </w:r>
            <w:r w:rsidRPr="00487207">
              <w:noBreakHyphen/>
              <w:t>employed person or unpaid family helper who had a job, business or farm, but was not at work.</w:t>
            </w:r>
          </w:p>
          <w:p w:rsidR="001F39F2" w:rsidRPr="00487207" w:rsidRDefault="001F39F2" w:rsidP="00585E2C">
            <w:pPr>
              <w:pStyle w:val="TableBodyText"/>
              <w:spacing w:before="60" w:after="60"/>
              <w:ind w:left="0"/>
              <w:jc w:val="left"/>
            </w:pPr>
            <w:r w:rsidRPr="00487207">
              <w:t>An unemployed person is a person aged 15–64 years who was not employed during the remuneration period, but was looking for work.</w:t>
            </w:r>
          </w:p>
        </w:tc>
      </w:tr>
      <w:tr w:rsidR="008F5F24" w:rsidRPr="00465838" w:rsidTr="00EC471A">
        <w:tc>
          <w:tcPr>
            <w:tcW w:w="2268" w:type="dxa"/>
          </w:tcPr>
          <w:p w:rsidR="001F39F2" w:rsidRPr="00465838" w:rsidRDefault="001F39F2" w:rsidP="00585E2C">
            <w:pPr>
              <w:pStyle w:val="TableBodyText"/>
              <w:spacing w:before="60" w:after="60"/>
              <w:ind w:left="0"/>
              <w:jc w:val="left"/>
              <w:rPr>
                <w:b/>
              </w:rPr>
            </w:pPr>
            <w:r w:rsidRPr="00465838">
              <w:rPr>
                <w:b/>
              </w:rPr>
              <w:t>Labour force participation rate for the total population</w:t>
            </w:r>
          </w:p>
        </w:tc>
        <w:tc>
          <w:tcPr>
            <w:tcW w:w="6521" w:type="dxa"/>
          </w:tcPr>
          <w:p w:rsidR="001F39F2" w:rsidRPr="00465838" w:rsidRDefault="001F39F2" w:rsidP="00585E2C">
            <w:pPr>
              <w:pStyle w:val="TableBodyText"/>
              <w:spacing w:before="60" w:after="60"/>
              <w:ind w:left="0"/>
              <w:jc w:val="left"/>
            </w:pPr>
            <w:r w:rsidRPr="00465838">
              <w:t>Total number of people aged 15–64 years in the labour force (where the labour force includes both employed and unemployed people) divided by the total number of people aged 15–64 years, multiplied by 100.</w:t>
            </w:r>
          </w:p>
        </w:tc>
      </w:tr>
      <w:tr w:rsidR="00D12AE0" w:rsidRPr="00D12AE0" w:rsidTr="00EC471A">
        <w:tc>
          <w:tcPr>
            <w:tcW w:w="2268" w:type="dxa"/>
          </w:tcPr>
          <w:p w:rsidR="001F39F2" w:rsidRPr="00D12AE0" w:rsidRDefault="001F39F2" w:rsidP="00585E2C">
            <w:pPr>
              <w:pStyle w:val="TableBodyText"/>
              <w:spacing w:before="60" w:after="60"/>
              <w:ind w:left="0"/>
              <w:jc w:val="left"/>
              <w:rPr>
                <w:b/>
              </w:rPr>
            </w:pPr>
            <w:r w:rsidRPr="00D12AE0">
              <w:rPr>
                <w:b/>
              </w:rPr>
              <w:t xml:space="preserve">Mild core activity limitation </w:t>
            </w:r>
          </w:p>
        </w:tc>
        <w:tc>
          <w:tcPr>
            <w:tcW w:w="6521" w:type="dxa"/>
          </w:tcPr>
          <w:p w:rsidR="00D12AE0" w:rsidRDefault="00D12AE0" w:rsidP="00487207">
            <w:pPr>
              <w:pStyle w:val="TableBodyText"/>
              <w:spacing w:before="60" w:after="60"/>
              <w:jc w:val="left"/>
            </w:pPr>
            <w:r>
              <w:t>The person needs no help and has no difficulty with any of the core activity tasks, but:</w:t>
            </w:r>
          </w:p>
          <w:p w:rsidR="00D12AE0" w:rsidRDefault="00D12AE0" w:rsidP="00487207">
            <w:pPr>
              <w:pStyle w:val="TableBullet"/>
            </w:pPr>
            <w:r>
              <w:t>uses aids or equipment, or has one or more of the following limitations</w:t>
            </w:r>
          </w:p>
          <w:p w:rsidR="00D12AE0" w:rsidRDefault="00D12AE0" w:rsidP="00487207">
            <w:pPr>
              <w:pStyle w:val="TableBullet"/>
            </w:pPr>
            <w:r>
              <w:t>cannot easily walk 200 metres</w:t>
            </w:r>
          </w:p>
          <w:p w:rsidR="00D12AE0" w:rsidRDefault="00D12AE0" w:rsidP="00487207">
            <w:pPr>
              <w:pStyle w:val="TableBullet"/>
            </w:pPr>
            <w:r>
              <w:t>cannot walk up and down stairs without a handrail</w:t>
            </w:r>
          </w:p>
          <w:p w:rsidR="00D12AE0" w:rsidRDefault="00D12AE0" w:rsidP="00487207">
            <w:pPr>
              <w:pStyle w:val="TableBullet"/>
            </w:pPr>
            <w:r>
              <w:t>cannot easily bend to pick up an object from the floor</w:t>
            </w:r>
          </w:p>
          <w:p w:rsidR="00D12AE0" w:rsidRDefault="00D12AE0" w:rsidP="00487207">
            <w:pPr>
              <w:pStyle w:val="TableBullet"/>
            </w:pPr>
            <w:r>
              <w:t>cannot use public transport</w:t>
            </w:r>
          </w:p>
          <w:p w:rsidR="00D12AE0" w:rsidRDefault="00D12AE0" w:rsidP="00487207">
            <w:pPr>
              <w:pStyle w:val="TableBullet"/>
            </w:pPr>
            <w:r>
              <w:t>can use public transport, but needs help or supervision</w:t>
            </w:r>
          </w:p>
          <w:p w:rsidR="001F39F2" w:rsidRPr="00D12AE0" w:rsidRDefault="00D12AE0" w:rsidP="00487207">
            <w:pPr>
              <w:pStyle w:val="TableBullet"/>
            </w:pPr>
            <w:proofErr w:type="gramStart"/>
            <w:r>
              <w:t>needs</w:t>
            </w:r>
            <w:proofErr w:type="gramEnd"/>
            <w:r>
              <w:t xml:space="preserve"> no help or supervision, but has difficulty using public transport.</w:t>
            </w:r>
            <w:r w:rsidRPr="00D12AE0" w:rsidDel="00D12AE0">
              <w:t xml:space="preserve"> </w:t>
            </w:r>
            <w:r w:rsidR="001F39F2" w:rsidRPr="00D12AE0">
              <w:t>(</w:t>
            </w:r>
            <w:proofErr w:type="gramStart"/>
            <w:r w:rsidR="001F39F2" w:rsidRPr="00D12AE0">
              <w:t>as</w:t>
            </w:r>
            <w:proofErr w:type="gramEnd"/>
            <w:r w:rsidR="001F39F2" w:rsidRPr="00D12AE0">
              <w:t xml:space="preserve"> per the </w:t>
            </w:r>
            <w:r>
              <w:t>2012</w:t>
            </w:r>
            <w:r w:rsidRPr="00D12AE0">
              <w:t xml:space="preserve"> </w:t>
            </w:r>
            <w:r w:rsidR="001F39F2" w:rsidRPr="00D12AE0">
              <w:t>SDAC).</w:t>
            </w:r>
          </w:p>
        </w:tc>
      </w:tr>
      <w:tr w:rsidR="00D12AE0" w:rsidRPr="00D12AE0" w:rsidTr="00EC471A">
        <w:tc>
          <w:tcPr>
            <w:tcW w:w="2268" w:type="dxa"/>
          </w:tcPr>
          <w:p w:rsidR="001F39F2" w:rsidRPr="00487207" w:rsidRDefault="001F39F2" w:rsidP="00585E2C">
            <w:pPr>
              <w:pStyle w:val="TableBodyText"/>
              <w:spacing w:before="60" w:after="60"/>
              <w:ind w:left="0"/>
              <w:jc w:val="left"/>
              <w:rPr>
                <w:b/>
              </w:rPr>
            </w:pPr>
            <w:r w:rsidRPr="00487207">
              <w:rPr>
                <w:b/>
              </w:rPr>
              <w:t xml:space="preserve">Moderate core activity limitation </w:t>
            </w:r>
          </w:p>
        </w:tc>
        <w:tc>
          <w:tcPr>
            <w:tcW w:w="6521" w:type="dxa"/>
          </w:tcPr>
          <w:p w:rsidR="001F39F2" w:rsidRPr="00487207" w:rsidRDefault="00D12AE0" w:rsidP="00D12AE0">
            <w:pPr>
              <w:pStyle w:val="TableBodyText"/>
              <w:spacing w:before="60" w:after="60"/>
              <w:ind w:left="0"/>
              <w:jc w:val="left"/>
            </w:pPr>
            <w:r w:rsidRPr="00D12AE0">
              <w:t>The person needs no help, but has difficulty with a core activity task</w:t>
            </w:r>
            <w:r w:rsidR="002466CC">
              <w:t xml:space="preserve"> </w:t>
            </w:r>
            <w:r w:rsidR="001F39F2" w:rsidRPr="00487207">
              <w:t xml:space="preserve">(as per the </w:t>
            </w:r>
            <w:r w:rsidRPr="00487207">
              <w:t xml:space="preserve">2012 </w:t>
            </w:r>
            <w:r w:rsidR="001F39F2" w:rsidRPr="00487207">
              <w:t>SDAC).</w:t>
            </w:r>
          </w:p>
        </w:tc>
      </w:tr>
      <w:tr w:rsidR="008F5F24" w:rsidRPr="00570C28" w:rsidTr="00EC471A">
        <w:tc>
          <w:tcPr>
            <w:tcW w:w="2268" w:type="dxa"/>
          </w:tcPr>
          <w:p w:rsidR="001F39F2" w:rsidRPr="000261E8" w:rsidRDefault="001F39F2" w:rsidP="00585E2C">
            <w:pPr>
              <w:pStyle w:val="TableBodyText"/>
              <w:numPr>
                <w:ilvl w:val="1"/>
                <w:numId w:val="13"/>
              </w:numPr>
              <w:spacing w:before="60" w:after="60"/>
              <w:ind w:left="0"/>
              <w:jc w:val="left"/>
              <w:rPr>
                <w:b/>
              </w:rPr>
            </w:pPr>
            <w:r w:rsidRPr="000261E8">
              <w:rPr>
                <w:b/>
              </w:rPr>
              <w:t>Non</w:t>
            </w:r>
            <w:r w:rsidRPr="000261E8">
              <w:rPr>
                <w:b/>
              </w:rPr>
              <w:noBreakHyphen/>
              <w:t xml:space="preserve">English speaking country of birth </w:t>
            </w:r>
          </w:p>
        </w:tc>
        <w:tc>
          <w:tcPr>
            <w:tcW w:w="6521" w:type="dxa"/>
          </w:tcPr>
          <w:p w:rsidR="001F39F2" w:rsidRPr="000261E8" w:rsidRDefault="001F39F2" w:rsidP="000261E8">
            <w:pPr>
              <w:pStyle w:val="TableBodyText"/>
              <w:spacing w:before="60" w:after="60"/>
              <w:ind w:left="0"/>
              <w:jc w:val="left"/>
            </w:pPr>
            <w:r w:rsidRPr="000261E8">
              <w:t>People with a country of birth other than Australia and classified in English proficiency groups 2, 3 or 4 (DIMA 1999, 2003). For 2003</w:t>
            </w:r>
            <w:r w:rsidR="00B84AF2">
              <w:noBreakHyphen/>
            </w:r>
            <w:r w:rsidRPr="000261E8">
              <w:t>04 and 2004</w:t>
            </w:r>
            <w:r w:rsidR="00B84AF2">
              <w:noBreakHyphen/>
            </w:r>
            <w:r w:rsidRPr="000261E8">
              <w:t>05 data these countries include countries other than New Zealand, Canada, the United Kingdom, South Africa, Ireland and the United States. For 2005</w:t>
            </w:r>
            <w:r w:rsidR="00B84AF2">
              <w:noBreakHyphen/>
            </w:r>
            <w:r w:rsidRPr="000261E8">
              <w:t>06 onwards, data include Zimbabwe as an ‘English</w:t>
            </w:r>
            <w:r w:rsidR="00B84AF2">
              <w:noBreakHyphen/>
            </w:r>
            <w:r w:rsidRPr="000261E8">
              <w:t>speaking country’.</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t>Payroll tax</w:t>
            </w:r>
          </w:p>
        </w:tc>
        <w:tc>
          <w:tcPr>
            <w:tcW w:w="6521" w:type="dxa"/>
          </w:tcPr>
          <w:p w:rsidR="001F39F2" w:rsidRPr="00060ADF" w:rsidRDefault="001F39F2" w:rsidP="00585E2C">
            <w:pPr>
              <w:pStyle w:val="TableBodyText"/>
              <w:spacing w:before="60" w:after="60"/>
              <w:ind w:left="0"/>
              <w:jc w:val="left"/>
            </w:pPr>
            <w:r w:rsidRPr="00060ADF">
              <w:t>A tax levied on employers based on the value of wages and certain supplements paid or payable to, or on behalf of, their employees (SCRCSSP 1999). Payroll tax arrangements for government funded and delivered services differ across jurisdictions. Differences in the treatment of payroll tax can affect the comparability of unit costs across jurisdictions and services. These differences include payroll tax exemptions, marginal tax rates, tax</w:t>
            </w:r>
            <w:r w:rsidR="00B84AF2">
              <w:noBreakHyphen/>
            </w:r>
            <w:r w:rsidRPr="00060ADF">
              <w:t xml:space="preserve">free thresholds and clawback arrangements (see SCRCSSP 1999). </w:t>
            </w:r>
          </w:p>
          <w:p w:rsidR="001F39F2" w:rsidRPr="00060ADF" w:rsidRDefault="001F39F2" w:rsidP="00585E2C">
            <w:pPr>
              <w:pStyle w:val="TableBodyText"/>
              <w:spacing w:before="60" w:after="60"/>
              <w:ind w:left="0"/>
              <w:jc w:val="left"/>
            </w:pPr>
            <w:r w:rsidRPr="00060ADF">
              <w:t>There are two forms of payroll tax reported:</w:t>
            </w:r>
          </w:p>
          <w:p w:rsidR="001F39F2" w:rsidRPr="00060ADF" w:rsidRDefault="001F39F2" w:rsidP="00585E2C">
            <w:pPr>
              <w:pStyle w:val="TableBullet"/>
            </w:pPr>
            <w:r w:rsidRPr="00060ADF">
              <w:rPr>
                <w:i/>
              </w:rPr>
              <w:t>actual</w:t>
            </w:r>
            <w:r w:rsidRPr="00060ADF">
              <w:rPr>
                <w:i/>
                <w:sz w:val="24"/>
                <w:szCs w:val="24"/>
              </w:rPr>
              <w:t xml:space="preserve"> </w:t>
            </w:r>
            <w:r w:rsidRPr="00060ADF">
              <w:rPr>
                <w:rFonts w:cs="Arial"/>
                <w:sz w:val="24"/>
                <w:szCs w:val="24"/>
              </w:rPr>
              <w:t xml:space="preserve">— </w:t>
            </w:r>
            <w:r w:rsidRPr="00060ADF">
              <w:t>payroll tax actually paid by non</w:t>
            </w:r>
            <w:r w:rsidR="00B84AF2">
              <w:noBreakHyphen/>
            </w:r>
            <w:r w:rsidRPr="00060ADF">
              <w:t>exempt services</w:t>
            </w:r>
          </w:p>
          <w:p w:rsidR="001F39F2" w:rsidRPr="00060ADF" w:rsidRDefault="001F39F2" w:rsidP="00585E2C">
            <w:pPr>
              <w:pStyle w:val="TableBullet"/>
            </w:pPr>
            <w:proofErr w:type="gramStart"/>
            <w:r w:rsidRPr="00060ADF">
              <w:rPr>
                <w:i/>
              </w:rPr>
              <w:t>imputed</w:t>
            </w:r>
            <w:proofErr w:type="gramEnd"/>
            <w:r w:rsidRPr="00060ADF">
              <w:t xml:space="preserve"> </w:t>
            </w:r>
            <w:r w:rsidRPr="00060ADF">
              <w:rPr>
                <w:rFonts w:cs="Arial"/>
                <w:sz w:val="24"/>
                <w:szCs w:val="24"/>
              </w:rPr>
              <w:t>—</w:t>
            </w:r>
            <w:r w:rsidRPr="00060ADF">
              <w:t xml:space="preserve"> a hypothetical payroll tax amount </w:t>
            </w:r>
            <w:r w:rsidRPr="00060ADF">
              <w:rPr>
                <w:snapToGrid w:val="0"/>
                <w:lang w:val="en-US"/>
              </w:rPr>
              <w:t>estimated</w:t>
            </w:r>
            <w:r w:rsidRPr="00060ADF">
              <w:t xml:space="preserve"> for exempt services. A jurisdiction’s estimate is based on the cost of salaries and salary related expenses, the payroll tax threshold and the tax rate.</w:t>
            </w:r>
          </w:p>
        </w:tc>
      </w:tr>
      <w:tr w:rsidR="008F5F24" w:rsidRPr="008F5F24" w:rsidTr="00EC471A">
        <w:tc>
          <w:tcPr>
            <w:tcW w:w="2268" w:type="dxa"/>
          </w:tcPr>
          <w:p w:rsidR="001F39F2" w:rsidRPr="008F5F24" w:rsidRDefault="00562E63" w:rsidP="00585E2C">
            <w:pPr>
              <w:pStyle w:val="TableBodyText"/>
              <w:spacing w:before="60" w:after="60"/>
              <w:ind w:left="0"/>
              <w:jc w:val="left"/>
              <w:rPr>
                <w:b/>
                <w:color w:val="A6A6A6" w:themeColor="background1" w:themeShade="A6"/>
              </w:rPr>
            </w:pPr>
            <w:r w:rsidRPr="005C51DD">
              <w:rPr>
                <w:b/>
              </w:rPr>
              <w:lastRenderedPageBreak/>
              <w:t xml:space="preserve">Potential population </w:t>
            </w:r>
          </w:p>
        </w:tc>
        <w:tc>
          <w:tcPr>
            <w:tcW w:w="6521" w:type="dxa"/>
            <w:shd w:val="clear" w:color="auto" w:fill="auto"/>
          </w:tcPr>
          <w:p w:rsidR="00562E63" w:rsidRPr="005C51DD" w:rsidRDefault="00562E63" w:rsidP="00585E2C">
            <w:pPr>
              <w:pStyle w:val="TableBodyText"/>
              <w:spacing w:before="60" w:after="60"/>
              <w:ind w:left="0"/>
              <w:jc w:val="left"/>
            </w:pPr>
            <w:r w:rsidRPr="005C51DD">
              <w:t xml:space="preserve">Potential population estimates are used as the denominators for the performance measures reported under the indicator ‘access to NDA specialist disability services’. </w:t>
            </w:r>
          </w:p>
          <w:p w:rsidR="00562E63" w:rsidRPr="005C51DD" w:rsidRDefault="00562E63" w:rsidP="00585E2C">
            <w:pPr>
              <w:pStyle w:val="TableBodyText"/>
              <w:spacing w:before="60" w:after="60"/>
              <w:ind w:left="0"/>
              <w:jc w:val="left"/>
            </w:pPr>
            <w:r w:rsidRPr="005C51DD">
              <w:t xml:space="preserve">The ‘potential population’ is the number of people with the potential to require disability support services, including individuals who meet the service eligibility criteria but who do not demand the services. </w:t>
            </w:r>
          </w:p>
          <w:p w:rsidR="00562E63" w:rsidRPr="00FF3725" w:rsidRDefault="00562E63" w:rsidP="00585E2C">
            <w:pPr>
              <w:pStyle w:val="TableBodyText"/>
              <w:spacing w:before="60" w:after="60"/>
              <w:ind w:left="0"/>
              <w:jc w:val="left"/>
            </w:pPr>
            <w:r w:rsidRPr="005C51DD">
              <w:t>The potential population is the number of people aged 0</w:t>
            </w:r>
            <w:r w:rsidR="008B45F0" w:rsidRPr="005C51DD">
              <w:t>–</w:t>
            </w:r>
            <w:r w:rsidRPr="005C51DD">
              <w:t xml:space="preserve">64 </w:t>
            </w:r>
            <w:r w:rsidR="008B45F0" w:rsidRPr="005C51DD">
              <w:t xml:space="preserve">years </w:t>
            </w:r>
            <w:r w:rsidRPr="005C51DD">
              <w:t>who are most appropriately supported by disability services, require ongoing and/or long</w:t>
            </w:r>
            <w:r w:rsidR="00B84AF2">
              <w:noBreakHyphen/>
            </w:r>
            <w:r w:rsidRPr="005C51DD">
              <w:t>term episodic support, have a permanent or chronic impairment and with a substantially reduced capacity in one or more core activities. For respite services, only those people with a primary carer were included. For supported employment services, only the potential population aged 15</w:t>
            </w:r>
            <w:r w:rsidR="008B45F0" w:rsidRPr="005C51DD">
              <w:t>–</w:t>
            </w:r>
            <w:r w:rsidRPr="005C51DD">
              <w:t xml:space="preserve">64 </w:t>
            </w:r>
            <w:r w:rsidR="008B45F0" w:rsidRPr="005C51DD">
              <w:t xml:space="preserve">years </w:t>
            </w:r>
            <w:r w:rsidRPr="005C51DD">
              <w:t xml:space="preserve">participating in the labour force are included. For open employment services, the potential population is not used; instead, an estimate of all </w:t>
            </w:r>
            <w:r w:rsidR="008B45F0" w:rsidRPr="005C51DD">
              <w:t xml:space="preserve">people </w:t>
            </w:r>
            <w:r w:rsidRPr="005C51DD">
              <w:t>with a disability and an employment restriction aged 15</w:t>
            </w:r>
            <w:r w:rsidR="008B45F0" w:rsidRPr="005C51DD">
              <w:t>–</w:t>
            </w:r>
            <w:r w:rsidRPr="005C51DD">
              <w:t>64 is used.</w:t>
            </w:r>
            <w:r w:rsidR="00690472" w:rsidRPr="005C51DD">
              <w:t xml:space="preserve"> Where combined employment services denominators or rates are presented, the supported employme</w:t>
            </w:r>
            <w:r w:rsidR="00690472" w:rsidRPr="00242FB0">
              <w:t>nt potential population is used.</w:t>
            </w:r>
          </w:p>
          <w:p w:rsidR="00562E63" w:rsidRPr="005C51DD" w:rsidRDefault="00562E63" w:rsidP="00585E2C">
            <w:pPr>
              <w:pStyle w:val="TableBodyText"/>
              <w:spacing w:before="60" w:after="60"/>
              <w:ind w:left="0"/>
              <w:jc w:val="left"/>
            </w:pPr>
            <w:r w:rsidRPr="005C51DD">
              <w:t xml:space="preserve">The relatively high standard errors in the prevalence rates for smaller jurisdictions, as well as the need to adjust for the </w:t>
            </w:r>
            <w:r w:rsidR="00904E97" w:rsidRPr="005C51DD">
              <w:t>Aboriginal and Torres Strait Islander</w:t>
            </w:r>
            <w:r w:rsidRPr="005C51DD">
              <w:t xml:space="preserve"> population necessitated the preparation of special estimates of the ‘potential population’ for specialist disability services. </w:t>
            </w:r>
          </w:p>
          <w:p w:rsidR="00562E63" w:rsidRPr="001A0797" w:rsidRDefault="00562E63" w:rsidP="00585E2C">
            <w:pPr>
              <w:pStyle w:val="TableBodyText"/>
              <w:spacing w:before="60" w:after="60"/>
              <w:ind w:left="0"/>
              <w:jc w:val="left"/>
            </w:pPr>
            <w:r w:rsidRPr="005C51DD">
              <w:t>Briefly, the potential population was estimated by applying the national age</w:t>
            </w:r>
            <w:r w:rsidR="00B84AF2">
              <w:noBreakHyphen/>
            </w:r>
            <w:r w:rsidRPr="005C51DD">
              <w:t xml:space="preserve"> and sex</w:t>
            </w:r>
            <w:r w:rsidR="00B84AF2">
              <w:noBreakHyphen/>
            </w:r>
            <w:r w:rsidRPr="005C51DD">
              <w:t xml:space="preserve">specific distribution of the potential population identified in the </w:t>
            </w:r>
            <w:r w:rsidR="005C51DD" w:rsidRPr="005C51DD">
              <w:t xml:space="preserve">2012 </w:t>
            </w:r>
            <w:r w:rsidRPr="005C51DD">
              <w:t xml:space="preserve">SDAC to the age and sex structure of each jurisdiction in the current year, to give an ‘expected current estimate’ of the potential population in that jurisdiction. These estimates were adjusted by the </w:t>
            </w:r>
            <w:r w:rsidR="00904E97" w:rsidRPr="005C51DD">
              <w:t>Aboriginal and Torres Strait Islander</w:t>
            </w:r>
            <w:r w:rsidRPr="005C51DD">
              <w:t xml:space="preserve"> factor to account for differences in the proportion of jurisdictions’ populations who are </w:t>
            </w:r>
            <w:r w:rsidR="00904E97" w:rsidRPr="005C51DD">
              <w:t>Aboriginal and Torres Strait Islander</w:t>
            </w:r>
            <w:r w:rsidRPr="005C51DD">
              <w:t xml:space="preserve">. </w:t>
            </w:r>
            <w:r w:rsidR="00904E97" w:rsidRPr="005C51DD">
              <w:t xml:space="preserve">Aboriginal and Torres Strait </w:t>
            </w:r>
            <w:r w:rsidR="00C21DBC">
              <w:t>Islander people</w:t>
            </w:r>
            <w:r w:rsidRPr="005C51DD">
              <w:t xml:space="preserve"> have been given a weighting of 2.4 in these estimates, in recognition of their greater prevalence rates of disability and their relatively greater representation in NDA </w:t>
            </w:r>
            <w:r w:rsidRPr="001A0797">
              <w:t xml:space="preserve">specialist disability services (AIHW 2006). </w:t>
            </w:r>
          </w:p>
          <w:p w:rsidR="0054638E" w:rsidRPr="000261E8" w:rsidRDefault="00562E63" w:rsidP="00470BF6">
            <w:pPr>
              <w:pStyle w:val="TableBodyText"/>
              <w:numPr>
                <w:ilvl w:val="1"/>
                <w:numId w:val="13"/>
              </w:numPr>
              <w:spacing w:before="60" w:after="60"/>
              <w:ind w:left="0"/>
              <w:jc w:val="left"/>
            </w:pPr>
            <w:r w:rsidRPr="000261E8">
              <w:t>The potential populations for 2004</w:t>
            </w:r>
            <w:r w:rsidR="00B84AF2">
              <w:noBreakHyphen/>
            </w:r>
            <w:r w:rsidRPr="000261E8">
              <w:t>05 to 2006</w:t>
            </w:r>
            <w:r w:rsidR="00B84AF2">
              <w:noBreakHyphen/>
            </w:r>
            <w:r w:rsidRPr="000261E8">
              <w:t>07 were calculated using national age</w:t>
            </w:r>
            <w:r w:rsidR="00B84AF2">
              <w:noBreakHyphen/>
            </w:r>
            <w:r w:rsidRPr="000261E8">
              <w:t xml:space="preserve"> and sex</w:t>
            </w:r>
            <w:r w:rsidR="00B84AF2">
              <w:noBreakHyphen/>
            </w:r>
            <w:r w:rsidRPr="000261E8">
              <w:t xml:space="preserve">specific rates of severe or profound core activity limitation from the ABS Survey of Disability, Ageing and Carers (SDAC) conducted in 2003. In 2011, the 2009 SDAC was released, </w:t>
            </w:r>
            <w:r w:rsidR="00A64C59">
              <w:t xml:space="preserve">and </w:t>
            </w:r>
            <w:r w:rsidR="00470BF6" w:rsidRPr="000261E8">
              <w:t xml:space="preserve">recalculation of the potential population has </w:t>
            </w:r>
            <w:r w:rsidRPr="000261E8">
              <w:t>result</w:t>
            </w:r>
            <w:r w:rsidR="00470BF6" w:rsidRPr="000261E8">
              <w:t>ed</w:t>
            </w:r>
            <w:r w:rsidRPr="000261E8">
              <w:t xml:space="preserve"> in a break in series between the 2003 and 2009 surveys</w:t>
            </w:r>
            <w:r w:rsidR="00690472" w:rsidRPr="000261E8">
              <w:t>.</w:t>
            </w:r>
            <w:r w:rsidR="004810BF" w:rsidRPr="000261E8">
              <w:t xml:space="preserve"> In 2014, the 2012 SDAC was released, </w:t>
            </w:r>
            <w:r w:rsidR="00A64C59">
              <w:t xml:space="preserve">and </w:t>
            </w:r>
            <w:r w:rsidR="004810BF" w:rsidRPr="000261E8">
              <w:t>recalculation of the potential population has resulted in a break in series between the 2009 and 2012 surveys.</w:t>
            </w:r>
          </w:p>
          <w:p w:rsidR="0054638E" w:rsidRPr="000261E8" w:rsidRDefault="0054638E" w:rsidP="0054638E">
            <w:pPr>
              <w:pStyle w:val="TableBodyText"/>
              <w:spacing w:before="60" w:after="60"/>
              <w:ind w:left="0"/>
              <w:jc w:val="left"/>
            </w:pPr>
            <w:r w:rsidRPr="000261E8">
              <w:t xml:space="preserve">Data measuring the potential population is not available for </w:t>
            </w:r>
            <w:r w:rsidR="00690472" w:rsidRPr="000261E8">
              <w:t>each reported year</w:t>
            </w:r>
            <w:r w:rsidRPr="000261E8">
              <w:t xml:space="preserve"> and so has been estimated from several sources based on the following assumptions:</w:t>
            </w:r>
          </w:p>
          <w:p w:rsidR="0054638E" w:rsidRPr="000261E8" w:rsidRDefault="0054638E" w:rsidP="0054638E">
            <w:pPr>
              <w:pStyle w:val="TableBodyText"/>
              <w:spacing w:before="60" w:after="60"/>
              <w:ind w:left="0"/>
              <w:jc w:val="left"/>
            </w:pPr>
            <w:r w:rsidRPr="000261E8">
              <w:t xml:space="preserve">(a) </w:t>
            </w:r>
            <w:proofErr w:type="gramStart"/>
            <w:r w:rsidR="00785DC4">
              <w:t>for</w:t>
            </w:r>
            <w:proofErr w:type="gramEnd"/>
            <w:r w:rsidR="00785DC4">
              <w:t xml:space="preserve"> the purposes of calculation, it is assumed that age</w:t>
            </w:r>
            <w:r w:rsidR="00B84AF2">
              <w:noBreakHyphen/>
            </w:r>
            <w:r w:rsidR="00785DC4">
              <w:t>sex specific proportions of the potential population changed smoothly from 2009 to 2012.</w:t>
            </w:r>
          </w:p>
          <w:p w:rsidR="001F39F2" w:rsidRPr="008F5F24" w:rsidRDefault="0054638E" w:rsidP="0054638E">
            <w:pPr>
              <w:pStyle w:val="TableBodyText"/>
              <w:spacing w:before="60" w:after="60"/>
              <w:ind w:left="0"/>
              <w:jc w:val="left"/>
              <w:rPr>
                <w:rStyle w:val="DraftingNote"/>
                <w:color w:val="A6A6A6" w:themeColor="background1" w:themeShade="A6"/>
              </w:rPr>
            </w:pPr>
            <w:r w:rsidRPr="000261E8">
              <w:t xml:space="preserve">(b) </w:t>
            </w:r>
            <w:proofErr w:type="gramStart"/>
            <w:r w:rsidRPr="000261E8">
              <w:t>the</w:t>
            </w:r>
            <w:proofErr w:type="gramEnd"/>
            <w:r w:rsidRPr="000261E8">
              <w:t xml:space="preserve"> assumption that national age</w:t>
            </w:r>
            <w:r w:rsidR="00B84AF2">
              <w:noBreakHyphen/>
            </w:r>
            <w:r w:rsidRPr="000261E8">
              <w:t>sex specific proportions of the potential population from SDAC 2009</w:t>
            </w:r>
            <w:r w:rsidR="004810BF" w:rsidRPr="000261E8">
              <w:t xml:space="preserve"> and SDAC 2012</w:t>
            </w:r>
            <w:r w:rsidRPr="000261E8">
              <w:t xml:space="preserve"> apply consistently across states/territories is untested.</w:t>
            </w:r>
          </w:p>
        </w:tc>
      </w:tr>
      <w:tr w:rsidR="00790BFD" w:rsidRPr="00487207" w:rsidTr="00EC471A">
        <w:tc>
          <w:tcPr>
            <w:tcW w:w="2268" w:type="dxa"/>
          </w:tcPr>
          <w:p w:rsidR="001F39F2" w:rsidRPr="00487207" w:rsidRDefault="001F39F2" w:rsidP="00585E2C">
            <w:pPr>
              <w:pStyle w:val="TableBodyText"/>
              <w:spacing w:before="60" w:after="60"/>
              <w:ind w:left="0"/>
              <w:jc w:val="left"/>
              <w:rPr>
                <w:b/>
              </w:rPr>
            </w:pPr>
            <w:r w:rsidRPr="00487207">
              <w:rPr>
                <w:b/>
              </w:rPr>
              <w:t>Primary carer</w:t>
            </w:r>
          </w:p>
        </w:tc>
        <w:tc>
          <w:tcPr>
            <w:tcW w:w="6521" w:type="dxa"/>
          </w:tcPr>
          <w:p w:rsidR="001F39F2" w:rsidRPr="00487207" w:rsidRDefault="001F39F2" w:rsidP="00585E2C">
            <w:pPr>
              <w:pStyle w:val="TableBodyText"/>
              <w:spacing w:before="60" w:after="60"/>
              <w:jc w:val="left"/>
            </w:pPr>
            <w:r w:rsidRPr="00487207">
              <w:rPr>
                <w:i/>
              </w:rPr>
              <w:t>ABS SDAC primary carer</w:t>
            </w:r>
            <w:r w:rsidRPr="00487207">
              <w:t xml:space="preserve">: </w:t>
            </w:r>
            <w:r w:rsidR="00E77E03" w:rsidRPr="00487207">
              <w:t>A primary carer is a person who provides the most informal assistance, in terms of help or supervision, to a person with one or more disabilities, with one or more of the core activities of mobility, self</w:t>
            </w:r>
            <w:r w:rsidR="00B84AF2">
              <w:noBreakHyphen/>
            </w:r>
            <w:r w:rsidR="00E77E03" w:rsidRPr="00487207">
              <w:t xml:space="preserve">care or communication. In this survey, primary carers only include </w:t>
            </w:r>
            <w:r w:rsidR="00ED3937">
              <w:t>people</w:t>
            </w:r>
            <w:r w:rsidR="00E77E03" w:rsidRPr="00487207">
              <w:t xml:space="preserve"> aged 15 years and over. </w:t>
            </w:r>
            <w:r w:rsidR="00ED3937">
              <w:t>People</w:t>
            </w:r>
            <w:r w:rsidR="00E77E03" w:rsidRPr="00487207">
              <w:t xml:space="preserve"> aged 15 to 17 years were only interviewed personally if parental permission was granted</w:t>
            </w:r>
            <w:r w:rsidR="00E77E03" w:rsidRPr="00487207" w:rsidDel="00E77E03">
              <w:t xml:space="preserve"> </w:t>
            </w:r>
            <w:r w:rsidRPr="00487207">
              <w:t xml:space="preserve">(ABS </w:t>
            </w:r>
            <w:r w:rsidR="00E77E03" w:rsidRPr="00487207">
              <w:t>http://www.abs.gov.au/AUSSTATS/abs@.nsf/Latestproducts/4430.0Glossary602012?opendocument&amp;tabname=Notes&amp;prodno=4430.0&amp;issue=2012&amp;num=&amp;view=</w:t>
            </w:r>
            <w:r w:rsidRPr="00487207">
              <w:t xml:space="preserve">). </w:t>
            </w:r>
          </w:p>
          <w:p w:rsidR="00E37D4C" w:rsidRDefault="001F39F2" w:rsidP="00E37D4C">
            <w:pPr>
              <w:pStyle w:val="TableBodyText"/>
              <w:spacing w:before="60" w:after="60"/>
              <w:ind w:left="0"/>
              <w:jc w:val="left"/>
            </w:pPr>
            <w:r w:rsidRPr="00487207">
              <w:rPr>
                <w:i/>
              </w:rPr>
              <w:t>DS NMDS primary carer</w:t>
            </w:r>
            <w:r w:rsidRPr="00487207">
              <w:t xml:space="preserve">: an informal carer who assists the person requiring support, in one or more of the following ADL: </w:t>
            </w:r>
            <w:r w:rsidR="00785DC4" w:rsidRPr="00487207">
              <w:t>self</w:t>
            </w:r>
            <w:r w:rsidR="00B84AF2">
              <w:noBreakHyphen/>
            </w:r>
            <w:r w:rsidR="00785DC4" w:rsidRPr="00487207">
              <w:t>care</w:t>
            </w:r>
            <w:r w:rsidRPr="00487207">
              <w:t>, mobility or communication.</w:t>
            </w:r>
          </w:p>
          <w:p w:rsidR="001F39F2" w:rsidRPr="00487207" w:rsidRDefault="001F39F2" w:rsidP="00E37D4C">
            <w:pPr>
              <w:pStyle w:val="TableBodyText"/>
              <w:spacing w:before="60" w:after="60"/>
              <w:ind w:left="0"/>
              <w:jc w:val="left"/>
            </w:pPr>
            <w:r w:rsidRPr="00487207">
              <w:t xml:space="preserve">See also informal carer. </w:t>
            </w:r>
          </w:p>
        </w:tc>
      </w:tr>
      <w:tr w:rsidR="008F5F24" w:rsidRPr="00487207" w:rsidTr="00EC471A">
        <w:tc>
          <w:tcPr>
            <w:tcW w:w="2268" w:type="dxa"/>
          </w:tcPr>
          <w:p w:rsidR="001F39F2" w:rsidRPr="00487207" w:rsidRDefault="001F39F2" w:rsidP="00585E2C">
            <w:pPr>
              <w:pStyle w:val="TableBodyText"/>
              <w:spacing w:before="60" w:after="60"/>
              <w:ind w:left="0"/>
              <w:jc w:val="left"/>
              <w:rPr>
                <w:b/>
              </w:rPr>
            </w:pPr>
            <w:r w:rsidRPr="00487207">
              <w:rPr>
                <w:b/>
              </w:rPr>
              <w:lastRenderedPageBreak/>
              <w:t>Primary disability group</w:t>
            </w:r>
          </w:p>
        </w:tc>
        <w:tc>
          <w:tcPr>
            <w:tcW w:w="6521" w:type="dxa"/>
          </w:tcPr>
          <w:p w:rsidR="001F39F2" w:rsidRPr="00487207" w:rsidRDefault="001F39F2" w:rsidP="00585E2C">
            <w:pPr>
              <w:pStyle w:val="TableBodyText"/>
              <w:spacing w:before="60" w:after="60"/>
              <w:ind w:left="0"/>
              <w:jc w:val="left"/>
            </w:pPr>
            <w:r w:rsidRPr="00487207">
              <w:t>Disability group that most clearly expresses the experience of disability by a person. The primary disability group can also be considered as the disability group causing the most difficulty to the person (overall difficulty in daily life, not just within the context of the support offered by a particular service).</w:t>
            </w:r>
          </w:p>
        </w:tc>
      </w:tr>
      <w:tr w:rsidR="00D12AE0" w:rsidRPr="00D12AE0" w:rsidTr="00EC471A">
        <w:tc>
          <w:tcPr>
            <w:tcW w:w="2268" w:type="dxa"/>
          </w:tcPr>
          <w:p w:rsidR="001F39F2" w:rsidRPr="00D12AE0" w:rsidRDefault="001F39F2" w:rsidP="00585E2C">
            <w:pPr>
              <w:pStyle w:val="TableBodyText"/>
              <w:spacing w:before="60" w:after="60"/>
              <w:ind w:left="0"/>
              <w:jc w:val="left"/>
              <w:rPr>
                <w:b/>
              </w:rPr>
            </w:pPr>
            <w:r w:rsidRPr="00D12AE0">
              <w:rPr>
                <w:b/>
              </w:rPr>
              <w:t xml:space="preserve">Profound core activity limitation </w:t>
            </w:r>
          </w:p>
        </w:tc>
        <w:tc>
          <w:tcPr>
            <w:tcW w:w="6521" w:type="dxa"/>
          </w:tcPr>
          <w:p w:rsidR="001F39F2" w:rsidRPr="00D12AE0" w:rsidRDefault="00D12AE0" w:rsidP="00D12AE0">
            <w:pPr>
              <w:pStyle w:val="TableBodyText"/>
              <w:spacing w:before="60" w:after="60"/>
              <w:ind w:left="0"/>
              <w:jc w:val="left"/>
            </w:pPr>
            <w:r>
              <w:t>The person is u</w:t>
            </w:r>
            <w:r w:rsidR="001F39F2" w:rsidRPr="00D12AE0">
              <w:t>nable to</w:t>
            </w:r>
            <w:r>
              <w:t xml:space="preserve"> do</w:t>
            </w:r>
            <w:r w:rsidR="00785DC4">
              <w:t xml:space="preserve"> </w:t>
            </w:r>
            <w:r w:rsidRPr="00D12AE0">
              <w:t>or always needs help with, a core activity task.</w:t>
            </w:r>
            <w:r w:rsidRPr="00D12AE0" w:rsidDel="00D12AE0">
              <w:t xml:space="preserve"> </w:t>
            </w:r>
            <w:r w:rsidR="001F39F2" w:rsidRPr="00D12AE0">
              <w:t>(</w:t>
            </w:r>
            <w:proofErr w:type="gramStart"/>
            <w:r w:rsidR="001F39F2" w:rsidRPr="00D12AE0">
              <w:t>as</w:t>
            </w:r>
            <w:proofErr w:type="gramEnd"/>
            <w:r w:rsidR="001F39F2" w:rsidRPr="00D12AE0">
              <w:t xml:space="preserve"> per the </w:t>
            </w:r>
            <w:r w:rsidRPr="00D12AE0">
              <w:t xml:space="preserve">2012 </w:t>
            </w:r>
            <w:r w:rsidR="001F39F2" w:rsidRPr="00D12AE0">
              <w:t>SDAC).</w:t>
            </w:r>
          </w:p>
        </w:tc>
      </w:tr>
      <w:tr w:rsidR="008F5F24" w:rsidRPr="00D12AE0" w:rsidTr="00EC471A">
        <w:tc>
          <w:tcPr>
            <w:tcW w:w="2268" w:type="dxa"/>
          </w:tcPr>
          <w:p w:rsidR="001F39F2" w:rsidRPr="00D12AE0" w:rsidRDefault="001F39F2" w:rsidP="00585E2C">
            <w:pPr>
              <w:pStyle w:val="TableBodyText"/>
              <w:spacing w:before="60" w:after="60"/>
              <w:ind w:left="0"/>
              <w:jc w:val="left"/>
              <w:rPr>
                <w:b/>
              </w:rPr>
            </w:pPr>
            <w:r w:rsidRPr="00D12AE0">
              <w:rPr>
                <w:b/>
              </w:rPr>
              <w:t>Real expenditure</w:t>
            </w:r>
          </w:p>
        </w:tc>
        <w:tc>
          <w:tcPr>
            <w:tcW w:w="6521" w:type="dxa"/>
          </w:tcPr>
          <w:p w:rsidR="001F39F2" w:rsidRPr="00D12AE0" w:rsidRDefault="001F39F2" w:rsidP="00585E2C">
            <w:pPr>
              <w:pStyle w:val="TableBodyText"/>
              <w:spacing w:before="60" w:after="60"/>
              <w:ind w:left="0"/>
              <w:jc w:val="left"/>
            </w:pPr>
            <w:r w:rsidRPr="00D12AE0">
              <w:t xml:space="preserve">Actual expenditure (accrual) adjusted for changes in prices, using the Gross Domestic </w:t>
            </w:r>
            <w:proofErr w:type="gramStart"/>
            <w:r w:rsidRPr="00D12AE0">
              <w:t>P(</w:t>
            </w:r>
            <w:proofErr w:type="gramEnd"/>
            <w:r w:rsidRPr="00D12AE0">
              <w:t>E) price deflator, and expressed in terms of current year dollars.</w:t>
            </w:r>
          </w:p>
        </w:tc>
      </w:tr>
      <w:tr w:rsidR="00060ADF" w:rsidRPr="00060ADF" w:rsidTr="00EC471A">
        <w:tc>
          <w:tcPr>
            <w:tcW w:w="2268" w:type="dxa"/>
          </w:tcPr>
          <w:p w:rsidR="001F39F2" w:rsidRPr="004810BF" w:rsidRDefault="001F39F2" w:rsidP="00585E2C">
            <w:pPr>
              <w:pStyle w:val="TableBodyText"/>
              <w:spacing w:before="60" w:after="60"/>
              <w:ind w:left="0"/>
              <w:jc w:val="left"/>
              <w:rPr>
                <w:b/>
              </w:rPr>
            </w:pPr>
            <w:r w:rsidRPr="004810BF">
              <w:rPr>
                <w:b/>
              </w:rPr>
              <w:t>Schooling or employment restriction</w:t>
            </w:r>
          </w:p>
        </w:tc>
        <w:tc>
          <w:tcPr>
            <w:tcW w:w="6521" w:type="dxa"/>
          </w:tcPr>
          <w:p w:rsidR="001F39F2" w:rsidRPr="004810BF" w:rsidRDefault="001F39F2" w:rsidP="00585E2C">
            <w:pPr>
              <w:pStyle w:val="TableBodyText"/>
              <w:spacing w:before="60" w:after="60"/>
              <w:ind w:left="0"/>
              <w:jc w:val="left"/>
            </w:pPr>
            <w:r w:rsidRPr="004810BF">
              <w:rPr>
                <w:i/>
              </w:rPr>
              <w:t>Schooling restriction</w:t>
            </w:r>
            <w:r w:rsidRPr="004810BF">
              <w:t>: as a result of disability, being unable to attend school; having to attend a special school; having to attend special classes at an ordinary school; needing at least one day a week off school on average; and/or having difficulty at school.</w:t>
            </w:r>
          </w:p>
          <w:p w:rsidR="001F39F2" w:rsidRPr="004810BF" w:rsidRDefault="001F39F2" w:rsidP="00585E2C">
            <w:pPr>
              <w:pStyle w:val="TableBodyText"/>
              <w:spacing w:before="60" w:after="60"/>
              <w:ind w:left="0"/>
              <w:jc w:val="left"/>
            </w:pPr>
            <w:r w:rsidRPr="004810BF">
              <w:rPr>
                <w:i/>
              </w:rPr>
              <w:t>Employment restriction</w:t>
            </w:r>
            <w:r w:rsidRPr="004810BF">
              <w:t>: as a result of disability, being permanently unable to work; being restricted in the type of work they can do; needing at least one day a week off work on average; being restricted in the number of hours they can work; requiring an employer to provide special equipment, modify the work environment or make special arrangements; needing to be given ongoing assistance or supervision; and/or finding it difficult to change jobs or to get a preferred job.</w:t>
            </w:r>
          </w:p>
        </w:tc>
      </w:tr>
      <w:tr w:rsidR="008F5F24" w:rsidRPr="00D12AE0" w:rsidTr="00EC471A">
        <w:tc>
          <w:tcPr>
            <w:tcW w:w="2268" w:type="dxa"/>
          </w:tcPr>
          <w:p w:rsidR="001F39F2" w:rsidRPr="00D12AE0" w:rsidRDefault="001F39F2" w:rsidP="00585E2C">
            <w:pPr>
              <w:pStyle w:val="TableBodyText"/>
              <w:spacing w:before="60" w:after="60"/>
              <w:ind w:left="0"/>
              <w:jc w:val="left"/>
              <w:rPr>
                <w:b/>
              </w:rPr>
            </w:pPr>
            <w:r w:rsidRPr="00D12AE0">
              <w:rPr>
                <w:b/>
              </w:rPr>
              <w:t>Service</w:t>
            </w:r>
          </w:p>
        </w:tc>
        <w:tc>
          <w:tcPr>
            <w:tcW w:w="6521" w:type="dxa"/>
          </w:tcPr>
          <w:p w:rsidR="001F39F2" w:rsidRPr="00D12AE0" w:rsidRDefault="001F39F2" w:rsidP="00585E2C">
            <w:pPr>
              <w:pStyle w:val="TableBodyText"/>
              <w:tabs>
                <w:tab w:val="left" w:pos="1745"/>
              </w:tabs>
              <w:spacing w:before="60" w:after="60"/>
              <w:ind w:left="0"/>
              <w:jc w:val="left"/>
            </w:pPr>
            <w:r w:rsidRPr="00D12AE0">
              <w:t>A service is a support activity provided to a service user, in accord with the NDA. Services within the scope of the collection are those for which funding has been provided during the specified period by a government organisation operating under the NDA.</w:t>
            </w:r>
          </w:p>
        </w:tc>
      </w:tr>
      <w:tr w:rsidR="008F5F24" w:rsidRPr="00487207" w:rsidTr="00EC471A">
        <w:tc>
          <w:tcPr>
            <w:tcW w:w="2268" w:type="dxa"/>
          </w:tcPr>
          <w:p w:rsidR="001F39F2" w:rsidRPr="00487207" w:rsidRDefault="001F39F2" w:rsidP="00585E2C">
            <w:pPr>
              <w:pStyle w:val="TableBodyText"/>
              <w:spacing w:before="60" w:after="60"/>
              <w:ind w:left="0"/>
              <w:jc w:val="left"/>
              <w:rPr>
                <w:b/>
              </w:rPr>
            </w:pPr>
            <w:r w:rsidRPr="00487207">
              <w:rPr>
                <w:b/>
              </w:rPr>
              <w:t>Service type</w:t>
            </w:r>
          </w:p>
        </w:tc>
        <w:tc>
          <w:tcPr>
            <w:tcW w:w="6521" w:type="dxa"/>
          </w:tcPr>
          <w:p w:rsidR="001F39F2" w:rsidRPr="00487207" w:rsidRDefault="001F39F2" w:rsidP="00585E2C">
            <w:pPr>
              <w:pStyle w:val="TableBodyText"/>
              <w:spacing w:before="60" w:after="60"/>
              <w:ind w:left="0"/>
              <w:jc w:val="left"/>
            </w:pPr>
            <w:r w:rsidRPr="00487207">
              <w:t xml:space="preserve">The support activity that the service type outlet has been funded to provide under the NDA. The DS NMDS classifies services according to ‘service type’. The service type classification </w:t>
            </w:r>
            <w:proofErr w:type="gramStart"/>
            <w:r w:rsidRPr="00487207">
              <w:t>groups</w:t>
            </w:r>
            <w:proofErr w:type="gramEnd"/>
            <w:r w:rsidRPr="00487207">
              <w:t xml:space="preserve"> services into seven categories: accommodation support; community support; community access; respite; employment; advocacy, information and </w:t>
            </w:r>
            <w:r w:rsidR="00785DC4">
              <w:t>alternative forms of communication</w:t>
            </w:r>
            <w:r w:rsidRPr="00487207">
              <w:t xml:space="preserve">; and other support services. Each of these categories has subcategories. </w:t>
            </w:r>
          </w:p>
        </w:tc>
      </w:tr>
      <w:tr w:rsidR="008F5F24" w:rsidRPr="00790BFD" w:rsidTr="00EC471A">
        <w:tc>
          <w:tcPr>
            <w:tcW w:w="2268" w:type="dxa"/>
          </w:tcPr>
          <w:p w:rsidR="001F39F2" w:rsidRPr="00790BFD" w:rsidRDefault="001F39F2" w:rsidP="00585E2C">
            <w:pPr>
              <w:pStyle w:val="TableBodyText"/>
              <w:spacing w:before="60" w:after="60"/>
              <w:ind w:left="0"/>
              <w:jc w:val="left"/>
              <w:rPr>
                <w:b/>
              </w:rPr>
            </w:pPr>
            <w:r w:rsidRPr="00790BFD">
              <w:rPr>
                <w:b/>
              </w:rPr>
              <w:t>Service type outlet</w:t>
            </w:r>
          </w:p>
        </w:tc>
        <w:tc>
          <w:tcPr>
            <w:tcW w:w="6521" w:type="dxa"/>
          </w:tcPr>
          <w:p w:rsidR="001F39F2" w:rsidRPr="00790BFD" w:rsidRDefault="001F39F2" w:rsidP="00585E2C">
            <w:pPr>
              <w:pStyle w:val="TableBodyText"/>
              <w:spacing w:before="60" w:after="60"/>
              <w:ind w:left="0"/>
              <w:jc w:val="left"/>
            </w:pPr>
            <w:r w:rsidRPr="00790BFD">
              <w:t>A service type outlet is the unit of the funded agency that delivers a particular NDA service type at or from a discrete location. If a funded agency provides, for example, both accommodation support and respite services, it is counted as two service type outlets. Similarly, if an agency is funded to provide more than one accommodation support service type (for example, group homes and attendant care), then it is providing (and is usually separately funded for) two different service types — that is, there are two service type outlets for the funded agency.</w:t>
            </w:r>
          </w:p>
        </w:tc>
      </w:tr>
      <w:tr w:rsidR="008F5F24" w:rsidRPr="00487207" w:rsidTr="00EC471A">
        <w:tc>
          <w:tcPr>
            <w:tcW w:w="2268" w:type="dxa"/>
          </w:tcPr>
          <w:p w:rsidR="001F39F2" w:rsidRPr="00487207" w:rsidRDefault="001F39F2" w:rsidP="00585E2C">
            <w:pPr>
              <w:pStyle w:val="TableBodyText"/>
              <w:spacing w:before="60" w:after="60"/>
              <w:ind w:left="0"/>
              <w:jc w:val="left"/>
              <w:rPr>
                <w:b/>
              </w:rPr>
            </w:pPr>
            <w:r w:rsidRPr="00487207">
              <w:rPr>
                <w:b/>
              </w:rPr>
              <w:t>Service user</w:t>
            </w:r>
          </w:p>
        </w:tc>
        <w:tc>
          <w:tcPr>
            <w:tcW w:w="6521" w:type="dxa"/>
          </w:tcPr>
          <w:p w:rsidR="001F39F2" w:rsidRPr="00487207" w:rsidRDefault="001F39F2" w:rsidP="00585E2C">
            <w:pPr>
              <w:pStyle w:val="TableBodyText"/>
              <w:spacing w:before="60" w:after="60"/>
              <w:ind w:left="0"/>
              <w:jc w:val="left"/>
            </w:pPr>
            <w:r w:rsidRPr="00487207">
              <w:t>A service user is a person with disability who receives a NDA specialist disability service. A service user may receive more than one service over a period of time or on a single day.</w:t>
            </w:r>
          </w:p>
        </w:tc>
      </w:tr>
      <w:tr w:rsidR="008F5F24" w:rsidRPr="00487207" w:rsidTr="00EC471A">
        <w:tc>
          <w:tcPr>
            <w:tcW w:w="2268" w:type="dxa"/>
          </w:tcPr>
          <w:p w:rsidR="001F39F2" w:rsidRPr="00487207" w:rsidRDefault="001F39F2" w:rsidP="00585E2C">
            <w:pPr>
              <w:pStyle w:val="TableBodyText"/>
              <w:spacing w:before="60" w:after="60"/>
              <w:ind w:left="0"/>
              <w:jc w:val="left"/>
              <w:rPr>
                <w:b/>
              </w:rPr>
            </w:pPr>
            <w:r w:rsidRPr="00487207">
              <w:rPr>
                <w:b/>
              </w:rPr>
              <w:t>Service users with different levels of need for assistance with ADL</w:t>
            </w:r>
          </w:p>
        </w:tc>
        <w:tc>
          <w:tcPr>
            <w:tcW w:w="6521" w:type="dxa"/>
          </w:tcPr>
          <w:p w:rsidR="001F39F2" w:rsidRPr="00487207" w:rsidRDefault="001F39F2" w:rsidP="00585E2C">
            <w:pPr>
              <w:pStyle w:val="TableBodyText"/>
              <w:spacing w:before="60" w:after="60"/>
              <w:ind w:left="0"/>
              <w:jc w:val="left"/>
            </w:pPr>
            <w:r w:rsidRPr="00487207">
              <w:t xml:space="preserve">Data on service users with different levels of need for assistance with ADL are derived using information on the level of support needed in one or more of the core support areas: </w:t>
            </w:r>
            <w:r w:rsidR="00785DC4" w:rsidRPr="00487207">
              <w:t>self</w:t>
            </w:r>
            <w:r w:rsidR="00B84AF2">
              <w:noBreakHyphen/>
            </w:r>
            <w:r w:rsidR="00785DC4" w:rsidRPr="00487207">
              <w:t>care</w:t>
            </w:r>
            <w:r w:rsidRPr="00487207">
              <w:t xml:space="preserve">, mobility, and communication. Service users who need help with ADL reported always/sometimes needing help in one or more of these areas (people who need help with ADL are ‘conceptually comparable’ with people who have a profound or severe core activity limitation). Service users who did not need </w:t>
            </w:r>
            <w:r w:rsidR="001166B3">
              <w:t xml:space="preserve">help </w:t>
            </w:r>
            <w:r w:rsidRPr="00487207">
              <w:t xml:space="preserve">with ADL reported needing no support in all the core activity support areas. </w:t>
            </w:r>
          </w:p>
        </w:tc>
      </w:tr>
      <w:tr w:rsidR="00D12AE0" w:rsidRPr="00D12AE0" w:rsidTr="00EC471A">
        <w:tc>
          <w:tcPr>
            <w:tcW w:w="2268" w:type="dxa"/>
          </w:tcPr>
          <w:p w:rsidR="001F39F2" w:rsidRPr="00D12AE0" w:rsidRDefault="001F39F2" w:rsidP="00585E2C">
            <w:pPr>
              <w:pStyle w:val="TableBodyText"/>
              <w:spacing w:before="60" w:after="60"/>
              <w:ind w:left="0"/>
              <w:jc w:val="left"/>
              <w:rPr>
                <w:b/>
              </w:rPr>
            </w:pPr>
            <w:r w:rsidRPr="00D12AE0">
              <w:rPr>
                <w:b/>
              </w:rPr>
              <w:t xml:space="preserve">Severe core activity limitation </w:t>
            </w:r>
          </w:p>
        </w:tc>
        <w:tc>
          <w:tcPr>
            <w:tcW w:w="6521" w:type="dxa"/>
          </w:tcPr>
          <w:p w:rsidR="001F39F2" w:rsidRPr="00D12AE0" w:rsidRDefault="00D12AE0" w:rsidP="00D12AE0">
            <w:pPr>
              <w:pStyle w:val="TableBodyText"/>
              <w:spacing w:before="60" w:after="60"/>
              <w:jc w:val="left"/>
            </w:pPr>
            <w:r>
              <w:t>The person sometimes needs help with a core activity task, and/or has difficulty understanding or being understood by family or friends, or can communicate more easily using sign language or other non</w:t>
            </w:r>
            <w:r w:rsidR="00B84AF2">
              <w:noBreakHyphen/>
            </w:r>
            <w:r>
              <w:t>spoken forms of communication.</w:t>
            </w:r>
            <w:r w:rsidRPr="00D12AE0" w:rsidDel="00D12AE0">
              <w:t xml:space="preserve"> </w:t>
            </w:r>
            <w:r w:rsidR="001F39F2" w:rsidRPr="00D12AE0">
              <w:t>(</w:t>
            </w:r>
            <w:proofErr w:type="gramStart"/>
            <w:r w:rsidR="001F39F2" w:rsidRPr="00D12AE0">
              <w:t>as</w:t>
            </w:r>
            <w:proofErr w:type="gramEnd"/>
            <w:r w:rsidR="001F39F2" w:rsidRPr="00D12AE0">
              <w:t xml:space="preserve"> per the SDAC </w:t>
            </w:r>
            <w:r>
              <w:t>2012</w:t>
            </w:r>
            <w:r w:rsidR="001F39F2" w:rsidRPr="00D12AE0">
              <w:t>).</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t>Users of NDA accommodation support services</w:t>
            </w:r>
          </w:p>
        </w:tc>
        <w:tc>
          <w:tcPr>
            <w:tcW w:w="6521" w:type="dxa"/>
          </w:tcPr>
          <w:p w:rsidR="001F39F2" w:rsidRPr="00060ADF" w:rsidRDefault="001F39F2" w:rsidP="00585E2C">
            <w:pPr>
              <w:pStyle w:val="TableBodyText"/>
              <w:spacing w:before="60" w:after="60"/>
              <w:ind w:left="0"/>
              <w:jc w:val="left"/>
            </w:pPr>
            <w:r w:rsidRPr="00060ADF">
              <w:t>People using one or more accommodation support services that correspond to the following DS NMDS service types: 1.01 large residentials/institutions (more than 20 places); 1.02 small residentials/institutions (7–20 places); 1.03 hostels; 1.04 group homes (</w:t>
            </w:r>
            <w:r w:rsidR="00A70B15">
              <w:t xml:space="preserve">usually </w:t>
            </w:r>
            <w:r w:rsidRPr="00060ADF">
              <w:t>less than seven places); 1.05 attendant care/personal care; 1.06 in</w:t>
            </w:r>
            <w:r w:rsidRPr="00060ADF">
              <w:noBreakHyphen/>
              <w:t>home accommodation support; 1.07 alternative family placement; and 1.08 other accommodation support.</w:t>
            </w:r>
          </w:p>
        </w:tc>
      </w:tr>
    </w:tbl>
    <w:p w:rsidR="00E37D4C" w:rsidRDefault="00E37D4C"/>
    <w:tbl>
      <w:tblPr>
        <w:tblW w:w="0" w:type="auto"/>
        <w:tblLayout w:type="fixed"/>
        <w:tblCellMar>
          <w:left w:w="0" w:type="dxa"/>
          <w:right w:w="0" w:type="dxa"/>
        </w:tblCellMar>
        <w:tblLook w:val="0000" w:firstRow="0" w:lastRow="0" w:firstColumn="0" w:lastColumn="0" w:noHBand="0" w:noVBand="0"/>
      </w:tblPr>
      <w:tblGrid>
        <w:gridCol w:w="2268"/>
        <w:gridCol w:w="6521"/>
      </w:tblGrid>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lastRenderedPageBreak/>
              <w:t>Users of NDA community access services</w:t>
            </w:r>
          </w:p>
        </w:tc>
        <w:tc>
          <w:tcPr>
            <w:tcW w:w="6521" w:type="dxa"/>
          </w:tcPr>
          <w:p w:rsidR="001F39F2" w:rsidRPr="00060ADF" w:rsidRDefault="001F39F2" w:rsidP="00302BC1">
            <w:pPr>
              <w:pStyle w:val="TableBodyText"/>
              <w:spacing w:before="60" w:after="60"/>
              <w:ind w:left="0"/>
              <w:jc w:val="left"/>
            </w:pPr>
            <w:r w:rsidRPr="00060ADF">
              <w:t xml:space="preserve">People using one or more services that correspond to the following DS NMDS service types: 3.01 learning and life skills development; 3.02 recreation/holiday programs; and 3.03 other community </w:t>
            </w:r>
            <w:proofErr w:type="gramStart"/>
            <w:r w:rsidRPr="00060ADF">
              <w:t>access</w:t>
            </w:r>
            <w:proofErr w:type="gramEnd"/>
            <w:r w:rsidRPr="00060ADF">
              <w:t>. See AIHW (</w:t>
            </w:r>
            <w:r w:rsidR="00302BC1">
              <w:t>2014a</w:t>
            </w:r>
            <w:r w:rsidRPr="00060ADF">
              <w:t>) for more information on service types 3.01–3.03.</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t>Users of NDA community support services</w:t>
            </w:r>
          </w:p>
        </w:tc>
        <w:tc>
          <w:tcPr>
            <w:tcW w:w="6521" w:type="dxa"/>
          </w:tcPr>
          <w:p w:rsidR="001F39F2" w:rsidRPr="00060ADF" w:rsidRDefault="001F39F2" w:rsidP="00302BC1">
            <w:pPr>
              <w:pStyle w:val="TableBodyText"/>
              <w:spacing w:before="60" w:after="60"/>
              <w:ind w:left="0"/>
              <w:jc w:val="left"/>
            </w:pPr>
            <w:r w:rsidRPr="00060ADF">
              <w:t>People using one or more services that correspond to the following DS NMDS service types: 2.01 therapy support for individuals; 2.02 early childhood intervention; 2.03 behaviour/specialist intervention; 2.04 counselling; 2.05 regional resource and support teams; 2.06 case management, local coordination and development; and 2.07 other community support. See AIHW (</w:t>
            </w:r>
            <w:r w:rsidR="00302BC1">
              <w:t>2014a</w:t>
            </w:r>
            <w:r w:rsidRPr="00060ADF">
              <w:t>) for more information on service types 2.01–2.07.</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t>Users of NDA employment services</w:t>
            </w:r>
          </w:p>
        </w:tc>
        <w:tc>
          <w:tcPr>
            <w:tcW w:w="6521" w:type="dxa"/>
          </w:tcPr>
          <w:p w:rsidR="001F39F2" w:rsidRPr="00060ADF" w:rsidRDefault="001F39F2" w:rsidP="00585E2C">
            <w:pPr>
              <w:pStyle w:val="TableBodyText"/>
              <w:spacing w:before="60" w:after="60"/>
              <w:ind w:left="0"/>
              <w:jc w:val="left"/>
            </w:pPr>
            <w:r w:rsidRPr="00060ADF">
              <w:t xml:space="preserve">People using one or more services that correspond to the following DS NMDS service types: 5.01 open employment and 5.02 supported </w:t>
            </w:r>
            <w:proofErr w:type="gramStart"/>
            <w:r w:rsidRPr="00060ADF">
              <w:t>employment</w:t>
            </w:r>
            <w:proofErr w:type="gramEnd"/>
            <w:r w:rsidRPr="00060ADF">
              <w:t>. (For data prior to 2005</w:t>
            </w:r>
            <w:r w:rsidR="00B84AF2">
              <w:noBreakHyphen/>
            </w:r>
            <w:r w:rsidRPr="00060ADF">
              <w:t>06, people using service type 5.03 [combined open and supported] are also included.)</w:t>
            </w:r>
          </w:p>
        </w:tc>
      </w:tr>
      <w:tr w:rsidR="008F5F24" w:rsidRPr="00060ADF" w:rsidTr="00EC471A">
        <w:tc>
          <w:tcPr>
            <w:tcW w:w="2268" w:type="dxa"/>
          </w:tcPr>
          <w:p w:rsidR="001F39F2" w:rsidRPr="00060ADF" w:rsidRDefault="001F39F2" w:rsidP="00585E2C">
            <w:pPr>
              <w:pStyle w:val="TableBodyText"/>
              <w:spacing w:before="60" w:after="60"/>
              <w:ind w:left="0"/>
              <w:jc w:val="left"/>
              <w:rPr>
                <w:b/>
              </w:rPr>
            </w:pPr>
            <w:r w:rsidRPr="00060ADF">
              <w:rPr>
                <w:b/>
              </w:rPr>
              <w:t>Users of NDA respite services</w:t>
            </w:r>
          </w:p>
        </w:tc>
        <w:tc>
          <w:tcPr>
            <w:tcW w:w="6521" w:type="dxa"/>
          </w:tcPr>
          <w:p w:rsidR="001F39F2" w:rsidRPr="00060ADF" w:rsidRDefault="001F39F2" w:rsidP="00A70B15">
            <w:pPr>
              <w:pStyle w:val="TableBodyText"/>
              <w:spacing w:before="60" w:after="60"/>
              <w:ind w:left="0"/>
              <w:jc w:val="left"/>
            </w:pPr>
            <w:r w:rsidRPr="00060ADF">
              <w:t>People using one or more services that correspond to the following DS NMDS service types: 4.01 own home respite; 4.02 centre</w:t>
            </w:r>
            <w:r w:rsidRPr="00060ADF">
              <w:noBreakHyphen/>
              <w:t>based respite/respite homes; 4.03 host family respite/peer support respite; 4.04 flexible/combination respite; and 4.05 other respite. See AIHW (</w:t>
            </w:r>
            <w:r w:rsidR="00302BC1">
              <w:t>2014a</w:t>
            </w:r>
            <w:r w:rsidRPr="00060ADF">
              <w:t>) for more information on service types 4.01–4.05.</w:t>
            </w:r>
          </w:p>
        </w:tc>
      </w:tr>
    </w:tbl>
    <w:p w:rsidR="001F39F2" w:rsidRPr="006C5F8E" w:rsidRDefault="00321568" w:rsidP="006C5F8E">
      <w:pPr>
        <w:pStyle w:val="Heading2"/>
      </w:pPr>
      <w:bookmarkStart w:id="30" w:name="_Toc248563909"/>
      <w:bookmarkStart w:id="31" w:name="_Toc397527180"/>
      <w:r>
        <w:t>14.</w:t>
      </w:r>
      <w:r w:rsidR="0085284B">
        <w:rPr>
          <w:noProof/>
        </w:rPr>
        <w:t>8</w:t>
      </w:r>
      <w:r w:rsidR="001F39F2" w:rsidRPr="00B947F0">
        <w:tab/>
        <w:t xml:space="preserve">List of </w:t>
      </w:r>
      <w:r w:rsidR="001F39F2" w:rsidRPr="006D76E5">
        <w:t>attachment</w:t>
      </w:r>
      <w:r w:rsidR="001F39F2" w:rsidRPr="00B947F0">
        <w:t xml:space="preserve"> tables</w:t>
      </w:r>
      <w:bookmarkEnd w:id="30"/>
      <w:bookmarkEnd w:id="31"/>
    </w:p>
    <w:p w:rsidR="001F39F2" w:rsidRDefault="001F39F2" w:rsidP="008860C4">
      <w:pPr>
        <w:pStyle w:val="BodyText"/>
      </w:pPr>
      <w:r w:rsidRPr="00B947F0">
        <w:t>Attachment tables are identified in references throughout this chapter by a ‘14A’ prefix (for example, table</w:t>
      </w:r>
      <w:r w:rsidR="00AE3578">
        <w:t> </w:t>
      </w:r>
      <w:r w:rsidRPr="00B947F0">
        <w:t>14</w:t>
      </w:r>
      <w:r w:rsidR="00B47FAC">
        <w:t>A</w:t>
      </w:r>
      <w:r w:rsidRPr="00B947F0">
        <w:t>.1). Attachment tables are available on the Review website (www.pc.gov.au/gsp).</w:t>
      </w:r>
    </w:p>
    <w:p w:rsidR="005760EA" w:rsidRPr="005760EA" w:rsidRDefault="005760EA" w:rsidP="008860C4">
      <w:pPr>
        <w:pStyle w:val="BoxSpace"/>
        <w:keepNext w:val="0"/>
        <w:rPr>
          <w:rStyle w:val="DraftingNote"/>
          <w:b w:val="0"/>
          <w:color w:val="auto"/>
          <w:u w:val="none"/>
        </w:rPr>
      </w:pPr>
    </w:p>
    <w:tbl>
      <w:tblPr>
        <w:tblW w:w="87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6"/>
        <w:gridCol w:w="7077"/>
      </w:tblGrid>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Recipients of Disability Support Pension, Mobility Allowance, Carer Payment, Carer Allowance, Sickness Allowance, Child Disability Assistance Payment and Carer Supplement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National Disability Agreement (NDA) specialist disability services, existence of an informal/primary carer, by geographic location</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National Disability Agreement (NDA) specialist disability services, existence of an informal/primary carer, by State and Territory, by geographic location</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specialist disability services, age of primary carers, by geographic location</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specialist disability services, age of primary carers, by State and Territory, by geographic location</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Government expenditure, by type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Total real government expenditure, by source of funding (2013</w:t>
            </w:r>
            <w:r w:rsidR="00B84AF2">
              <w:noBreakHyphen/>
            </w:r>
            <w:r w:rsidRPr="003D4AA4">
              <w:t>14 dollars) ($'000)</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Government expenditure, by source of funding (per cent)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Real government direct service delivery and total expenditure adjusted for payroll tax (2013</w:t>
            </w:r>
            <w:r w:rsidR="00B84AF2">
              <w:noBreakHyphen/>
            </w:r>
            <w:r w:rsidRPr="003D4AA4">
              <w:t xml:space="preserve">14 dollars)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Real government direct service delivery expenditure, by service type (2013</w:t>
            </w:r>
            <w:r w:rsidR="00B84AF2">
              <w:noBreakHyphen/>
            </w:r>
            <w:r w:rsidRPr="003D4AA4">
              <w:t xml:space="preserve">14 dollars)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Government expenditure, by service type (per cent)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aged 5–64 years with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People aged 0–4 years with disability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Estimated number of people aged 0–64 years with a profound or severe core activity limitation who received help as a proportion of those who needed help (per cent)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government and non</w:t>
            </w:r>
            <w:r w:rsidR="00B84AF2">
              <w:noBreakHyphen/>
            </w:r>
            <w:r w:rsidRPr="003D4AA4">
              <w:t>government provided services, by service type</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services, by primary disability group</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services, by disability group (all disability groups reported) as a proportion of total users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Users of NDA accommodation support services (all ages), as a proportion of the </w:t>
            </w:r>
            <w:r w:rsidRPr="003D4AA4">
              <w:lastRenderedPageBreak/>
              <w:t>total estimated potential population for accommodation support services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lastRenderedPageBreak/>
              <w:t>Table</w:t>
            </w:r>
            <w:r w:rsidR="00AE3578">
              <w:t> </w:t>
            </w:r>
            <w:r w:rsidRPr="003D4AA4">
              <w:t>14A.19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community support services (all ages), as a proportion of the total potential population for community support services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community access services (all ages), as a proportion of the total potential population for community access services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respite services (all ages), as a proportion of the total potential population for respite services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15–64 years with an employment restriction) accessing Disability Employment Services/Open Employment Services (Employment Support Services), by sex</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15–64 years with an employment restriction) accessing Disability Employment Services/Open Employment Services (Disability Management Services), by sex and age group</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supported employment services/Australian Disability Enterprises (aged 15–64 years), as a proportion of the total estimated potential population for supported employment services, by sex</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total NDA disability support services (aged 0</w:t>
            </w:r>
            <w:r w:rsidR="00B84AF2">
              <w:noBreakHyphen/>
            </w:r>
            <w:r w:rsidRPr="003D4AA4">
              <w:t>64 years),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accommodation support services (all ages),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accommodation support services (aged 0</w:t>
            </w:r>
            <w:r w:rsidR="00B84AF2">
              <w:noBreakHyphen/>
            </w:r>
            <w:r w:rsidRPr="003D4AA4">
              <w:t>64 years),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community support services (all ages),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14A.29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community support services (aged 0</w:t>
            </w:r>
            <w:r w:rsidR="00B84AF2">
              <w:noBreakHyphen/>
            </w:r>
            <w:r w:rsidRPr="003D4AA4">
              <w:t>64 years),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community access services (all ages),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community access services (aged 0</w:t>
            </w:r>
            <w:r w:rsidR="00B84AF2">
              <w:noBreakHyphen/>
            </w:r>
            <w:r w:rsidRPr="003D4AA4">
              <w:t>64 years),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respite services (all ages),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respite services (aged 0</w:t>
            </w:r>
            <w:r w:rsidR="00B84AF2">
              <w:noBreakHyphen/>
            </w:r>
            <w:r w:rsidRPr="003D4AA4">
              <w:t>64 years),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employment services (aged 15 and over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open employment services (aged 15</w:t>
            </w:r>
            <w:r w:rsidR="00B84AF2">
              <w:noBreakHyphen/>
            </w:r>
            <w:r w:rsidRPr="003D4AA4">
              <w:t>64 years),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supported employment services/Australian Disability Enterprises (aged 15</w:t>
            </w:r>
            <w:r w:rsidR="00B84AF2">
              <w:noBreakHyphen/>
            </w:r>
            <w:r w:rsidRPr="003D4AA4">
              <w:t>64 years), by severity of disability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accommodation support services, by geographic location</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14A.38</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community support services, by geographic location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14A.39</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community access services, by geographic location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14A.40</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respite services, by geographic location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14A.41</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employment services, by geographic location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14A.42</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Indigenous users of state/territory delivered NDA disability support services (aged 0</w:t>
            </w:r>
            <w:r w:rsidR="00B84AF2">
              <w:noBreakHyphen/>
            </w:r>
            <w:r w:rsidRPr="003D4AA4">
              <w:t xml:space="preserve">64 years) as a proportion of the Indigenous estimated potential population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14A.43</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accommodation support services, by Indigenous status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14A.44</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community support services, by Indigenous status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14A.45</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Users of NDA community access</w:t>
            </w:r>
            <w:r w:rsidR="002466CC">
              <w:t xml:space="preserve"> services, by Indigenous status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14A.46</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respite services, by Indigenous status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14A.47</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Users of NDA employment services (aged 15 years an</w:t>
            </w:r>
            <w:r w:rsidR="002466CC">
              <w:t>d over), by Indigenous status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14A.48</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Proportion of Indigenous users of NDA open employment services (Employment Support Services) aged 15</w:t>
            </w:r>
            <w:r w:rsidR="00B84AF2">
              <w:noBreakHyphen/>
            </w:r>
            <w:r w:rsidRPr="003D4AA4">
              <w:t xml:space="preserve">64 years, by age group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14A.49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Proportion of Indigenous users of NDA open employment services (Disability Management Services) </w:t>
            </w:r>
            <w:r w:rsidR="002466CC">
              <w:t>aged 15</w:t>
            </w:r>
            <w:r w:rsidR="00B84AF2">
              <w:noBreakHyphen/>
            </w:r>
            <w:r w:rsidR="002466CC">
              <w:t>64 years, by age group</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Indigenous people (aged 15–64 years and adjusted for labour force status) accessing Australian Disability Enterprises/Supported Employment Services, by age group</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14A.51</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accommodation support services, by country of birth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14A.52</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community support services, by country of birth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14A.53</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community access services, by country of birth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14A.54</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respite services, by country of birth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14A.55</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employment services, by country of birth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lastRenderedPageBreak/>
              <w:t>Table</w:t>
            </w:r>
            <w:r w:rsidR="00AE3578">
              <w:t> </w:t>
            </w:r>
            <w:r w:rsidRPr="003D4AA4">
              <w:t>14A.56</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Users of NDA Disability Employment Services/Employment Support</w:t>
            </w:r>
            <w:r w:rsidR="002466CC">
              <w:t xml:space="preserve"> </w:t>
            </w:r>
            <w:r w:rsidRPr="003D4AA4">
              <w:t>Services (Open Employment Services) aged 15</w:t>
            </w:r>
            <w:r w:rsidR="00B84AF2">
              <w:noBreakHyphen/>
            </w:r>
            <w:r w:rsidRPr="003D4AA4">
              <w:t xml:space="preserve">64 years, by country of birth and remoteness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Users of NDA open employment services Disability Employment Services/ Disability Management Services (Open Employment Services) aged 15</w:t>
            </w:r>
            <w:r w:rsidR="00B84AF2">
              <w:noBreakHyphen/>
            </w:r>
            <w:r w:rsidR="002466CC">
              <w:t>64 years, by country of birth</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14A.58</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Users of NDA Australian Disability Enterprises (Supported Employment Services) aged 15</w:t>
            </w:r>
            <w:r w:rsidR="00B84AF2">
              <w:noBreakHyphen/>
            </w:r>
            <w:r w:rsidRPr="003D4AA4">
              <w:t xml:space="preserve">64 years, by country of birth and remoteness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14A.59</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Users of NDA community accommodation and care services as a proportion of all accommodation support service users (per cent)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Permanent aged care residents aged under 65, 30 June</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admitted to permanent residential aged care aged under 65</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14A.62</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Younger people who separated from permanent residential aged care to return to home/family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YPIRAC service users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14A.64</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Estimated number of YPIRAC service users who have achieved program objectives since entry to the program, 30</w:t>
            </w:r>
            <w:r w:rsidR="00B84AF2">
              <w:t> </w:t>
            </w:r>
            <w:r w:rsidRPr="003D4AA4">
              <w:t xml:space="preserve">June 2011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Estimated number of YPIRAC service users who have achieved program objectives since entry to the program, by state and territory, 30 June</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Rate of younger people admitted to permanent residential aged care per 10 000 potential population</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Younger people who separated from permanent residential aged care to return to home/family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Number of younger people receiving permanent residential aged care</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14A.69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NSW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Victorian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Queensland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WA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SA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Tasmanian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ACT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NT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Australian Government quality assurance processes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Comparability of expenditure estimates for government provided specialist disability services, by items included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14A.79</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with reported disability aged 15–64 years who are satisfied with the quality of assistance received from organised and formal services in the last six months, by State/Territory, 2012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reported disability aged 15–64 years who are satisfied with the quality of assistance received from organised and formal services in the last six months, by remoteness, by State/Territory, 2012</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reported disability aged 15–64 years who are satisfied with the quality of assistance received from organised and formal services in the last six months, by age, 2012</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reported disability aged 15–64 years who are satisfied with the quality of assistance received from organised and formal services in the last six months, by country of birth, 2012</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are satisfied with the quality of formal services received to help in their caring role, by carer sex, by State and Territory, 2012</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are satisfied with the quality of formal services received to help in their caring role, by carer remoteness area, by State and Territory, 2012</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are satisfied with the quality of formal services received to help in their caring role, by age group, 2012</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14A.86</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Proportion of primary carers (carers of people with disability aged 0–64 years) who are satisfied with the quality of formal services received to help in their caring role, by carer country of birth, 2012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14A.87</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Real government expenditure per user of NDA accommodation support services </w:t>
            </w:r>
            <w:r w:rsidRPr="003D4AA4">
              <w:lastRenderedPageBreak/>
              <w:t>(2012</w:t>
            </w:r>
            <w:r w:rsidR="00B84AF2">
              <w:noBreakHyphen/>
            </w:r>
            <w:r w:rsidRPr="003D4AA4">
              <w:t>13 dollars)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lastRenderedPageBreak/>
              <w:t>Table</w:t>
            </w:r>
            <w:r w:rsidR="00AE3578">
              <w:t> </w:t>
            </w:r>
            <w:r w:rsidRPr="003D4AA4">
              <w:t>14A.88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Australian Government funding per user of non</w:t>
            </w:r>
            <w:r w:rsidR="00B84AF2">
              <w:noBreakHyphen/>
            </w:r>
            <w:r w:rsidRPr="003D4AA4">
              <w:t>government provided employment services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14A.89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Real Australian Government funding per user of non</w:t>
            </w:r>
            <w:r w:rsidR="00B84AF2">
              <w:noBreakHyphen/>
            </w:r>
            <w:r w:rsidRPr="003D4AA4">
              <w:t>government provided employment services (2012</w:t>
            </w:r>
            <w:r w:rsidR="00B84AF2">
              <w:noBreakHyphen/>
            </w:r>
            <w:r w:rsidRPr="003D4AA4">
              <w:t>13 dollars)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Total estimated expenditure per service user, State and Territory government administered programs, 2012</w:t>
            </w:r>
            <w:r w:rsidR="00B84AF2">
              <w:noBreakHyphen/>
            </w:r>
            <w:r w:rsidRPr="003D4AA4">
              <w:t>13</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Government administrative expenditure as a proportion of total recurrent expenditure on services (per cent)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and employment (per cent)</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rate for people with disability aged 15–64 years, by disability status, by State/Territory ('000)</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Employment to population rate for people with disability aged 15–64 years, by disability status, by State/Territory ('000)</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Unemployment rate for people with disability aged 15–64 years, all with reported disability, by disability status, by State/Territory ('000)</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and employment of people aged 15</w:t>
            </w:r>
            <w:r w:rsidR="00B84AF2">
              <w:noBreakHyphen/>
            </w:r>
            <w:r w:rsidRPr="003D4AA4">
              <w:t>64 years, 2009 (per cent)</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and employment, 2007</w:t>
            </w:r>
            <w:r w:rsidR="00B84AF2">
              <w:noBreakHyphen/>
            </w:r>
            <w:r w:rsidRPr="003D4AA4">
              <w:t>08 (per cent)</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and employment, 2010 (per cent)</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14A.99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and employment of all people with disability, by special needs groups, 2009 (per cent)</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and employment of people with a profound or severe core activity limitation, by special needs groups, 2009 (per cent)</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and employment of people with a profound or severe core activity limitation, by special needs groups, 2006 (per cent)</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and employment of people with a profound or severe core activity limitation, by special needs groups (per cent)</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Labour force participation rate for people with disability aged 15–64 years, all with reported disability, by remoteness area, by State/Territory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Labour force participation rate for people with disability aged 15–64 years, all with reported disability, by country of birth, by State/Territory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Labour force participation rate for people with disability aged 15–64 years, all with reported disability, by sex by age group, by State/Territory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Employment to population rate for people with disability aged 15–64 years, all with reported disability, by remoteness area, by State/Territory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Employment to population rate for people with disability aged 15–64 years, all with reported disability, by country of birth, by State/Territory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Employment to population rate for people with disability aged 15–64 years, all with reported disability, by sex, by State/Territory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14A.109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Employment to population rate for people with disability aged 15–64 years, all with reported disability, by age group, by State/Territory, 2009 ('000)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rate for primary carers (carers of people with disability aged 0–64 years) aged 15–64 years, by carer sex, by State/Territory (000's)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rate for primary carers (carers of people with disability) aged 15–64 years, by carer age group, by State/Territory ('000)</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rate for all carers and non</w:t>
            </w:r>
            <w:r w:rsidR="00B84AF2">
              <w:noBreakHyphen/>
            </w:r>
            <w:r w:rsidRPr="003D4AA4">
              <w:t>carers aged 15–64 years, by carer sex,</w:t>
            </w:r>
            <w:r w:rsidR="002466CC">
              <w:t xml:space="preserve"> </w:t>
            </w:r>
            <w:r w:rsidRPr="003D4AA4">
              <w:t>by State/Territory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profile for primary carers (carers of people aged 0–64 with disability) aged 15–64 years (000's)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Employment rate for primary carers (carers of people with disability aged 0–64 years) aged 15–64 years, by carer sex, by State/Territory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rate for primary carers (carers of people with disability aged 0–64 years) aged 15–64 years, by carer remoteness area, by State/Territory ('000)</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Employment rate for primary carers (carers of people with disability) aged 15–64 years, by carer remoteness area, by State/Territory</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Labour force participation rate for primary carers (carers of people with disability) aged 15–64 years, by carer country of birth, by State/Territory ('000)</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lastRenderedPageBreak/>
              <w:t>Table</w:t>
            </w:r>
            <w:r w:rsidR="00AE3578">
              <w:t> </w:t>
            </w:r>
            <w:r w:rsidRPr="003D4AA4">
              <w:t>14A.118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do not experience negative impacts on their wellbeing due to caring role, by carer sex, by carer age group, by State/Territory, 2009 ('000's)</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14A.119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do not experience negative impacts on their wellbeing due to their caring role, by carer remoteness area, by State/Territory ('000)</w:t>
            </w:r>
            <w:r w:rsidR="002466CC">
              <w:t xml:space="preserve"> </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do not experience negative impacts on their wellbeing due to their caring role, by main recipient of carer age group, by</w:t>
            </w:r>
            <w:r w:rsidR="002466CC">
              <w:t xml:space="preserve"> State/Territory, 2009 ('000)</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report a need for further assistance in their caring roles, by carer se</w:t>
            </w:r>
            <w:r w:rsidR="002466CC">
              <w:t>x, by State/Territory ('000's)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report a need for further assistance in their caring roles, by carer remoteness area</w:t>
            </w:r>
            <w:r w:rsidR="002466CC">
              <w:t>, by State/Territory ('000's)</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Proportion of primary carers (carers of people with disability aged 0–64 years) who report a need for further assistance in their caring roles, by main recipient of care age group, b</w:t>
            </w:r>
            <w:r w:rsidR="002466CC">
              <w:t>y State/Territory, 2009 ('000)</w:t>
            </w:r>
          </w:p>
        </w:tc>
      </w:tr>
      <w:tr w:rsidR="000748BE" w:rsidRPr="00E23849"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Social activities participated in by people with a profound or severe core acti</w:t>
            </w:r>
            <w:r w:rsidR="002466CC">
              <w:t>vity limitation (per cent)</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15–64 years who have had face</w:t>
            </w:r>
            <w:r w:rsidR="00B84AF2">
              <w:noBreakHyphen/>
            </w:r>
            <w:r w:rsidRPr="003D4AA4">
              <w:t>to</w:t>
            </w:r>
            <w:r w:rsidR="00B84AF2">
              <w:noBreakHyphen/>
            </w:r>
            <w:r w:rsidRPr="003D4AA4">
              <w:t>face contact with ex</w:t>
            </w:r>
            <w:r w:rsidR="00B84AF2">
              <w:noBreakHyphen/>
            </w:r>
            <w:r w:rsidRPr="003D4AA4">
              <w:t>household family or friends in the previous week, by disability stat</w:t>
            </w:r>
            <w:r w:rsidR="002466CC">
              <w:t>us, by State/Territory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15–64 years who have had face</w:t>
            </w:r>
            <w:r w:rsidR="00B84AF2">
              <w:noBreakHyphen/>
            </w:r>
            <w:r w:rsidRPr="003D4AA4">
              <w:t>to</w:t>
            </w:r>
            <w:r w:rsidR="00B84AF2">
              <w:noBreakHyphen/>
            </w:r>
            <w:r w:rsidRPr="003D4AA4">
              <w:t>face contact with ex</w:t>
            </w:r>
            <w:r w:rsidR="00B84AF2">
              <w:noBreakHyphen/>
            </w:r>
            <w:r w:rsidRPr="003D4AA4">
              <w:t xml:space="preserve">household family or friends in the previous week, all with reported disability, by remoteness </w:t>
            </w:r>
            <w:r w:rsidR="002466CC">
              <w:t>area, by State/Territory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15–64 years who have had face</w:t>
            </w:r>
            <w:r w:rsidR="00B84AF2">
              <w:noBreakHyphen/>
            </w:r>
            <w:r w:rsidRPr="003D4AA4">
              <w:t>to</w:t>
            </w:r>
            <w:r w:rsidR="00B84AF2">
              <w:noBreakHyphen/>
            </w:r>
            <w:r w:rsidRPr="003D4AA4">
              <w:t>face contact with ex</w:t>
            </w:r>
            <w:r w:rsidR="00B84AF2">
              <w:noBreakHyphen/>
            </w:r>
            <w:r w:rsidRPr="003D4AA4">
              <w:t xml:space="preserve">household family or friends in the previous week, all with reported disability, by country of birth, </w:t>
            </w:r>
            <w:r w:rsidR="002466CC">
              <w:t>by State/Territory, 2009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15–64 years who have had face</w:t>
            </w:r>
            <w:r w:rsidR="00B84AF2">
              <w:noBreakHyphen/>
            </w:r>
            <w:r w:rsidRPr="003D4AA4">
              <w:t>to</w:t>
            </w:r>
            <w:r w:rsidR="00B84AF2">
              <w:noBreakHyphen/>
            </w:r>
            <w:r w:rsidRPr="003D4AA4">
              <w:t>face contact with ex</w:t>
            </w:r>
            <w:r w:rsidR="00B84AF2">
              <w:noBreakHyphen/>
            </w:r>
            <w:r w:rsidRPr="003D4AA4">
              <w:t>household family or friends in the previous week, all with reported disability, by</w:t>
            </w:r>
            <w:r w:rsidR="002466CC">
              <w:t xml:space="preserve"> sex, by State/Territory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14A.129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15–64 years who travelled to a social activity in the last two weeks, by disability stat</w:t>
            </w:r>
            <w:r w:rsidR="002466CC">
              <w:t>us, by State/Territory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People with disability aged 15–64 years who travelled to a social activity in the last two weeks, all with reported disability, by remoteness area, </w:t>
            </w:r>
            <w:r w:rsidR="002466CC">
              <w:t>by State/Territory, 2012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15–64 years who travelled to a social activity in the last two weeks, all with reported disability, by country of b</w:t>
            </w:r>
            <w:r w:rsidR="002466CC">
              <w:t>irth, by State/Territory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People with disability aged 15–64 years who travelled to a social activity in the last two weeks, all with reported disability, by sex, </w:t>
            </w:r>
            <w:r w:rsidR="002466CC">
              <w:t>by State/Territory, 2012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5–64 years who report the main reason for not leaving home as often as they would like is their disability or condition, all with reported disability, by country of bi</w:t>
            </w:r>
            <w:r w:rsidR="002466CC">
              <w:t>rth, by State/Territory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with disability aged 5–64 years who report the main reason for not leaving home as often as they would like is their disability or condition, all with reported disability, by disability status, by S</w:t>
            </w:r>
            <w:r w:rsidR="002466CC">
              <w:t>tate/Territory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People with disability aged 5–64 years who report the main reason for not leaving home as often as they would like is their disability or condition, all with reported disability, by remoteness area, by State/Territory ('000)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 xml:space="preserve">People with disability aged 5–64 years who report the main reason for not leaving home as often as they would like is their disability or condition, all with reported disability, by sex by age group, by State/Territory ('000)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14A.137</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who have contact with friends and family in whom they can confide or on whom they can rely, by disability status, 2007 (per cent)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14A.138</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Social participation, by disability status, 2010 (per cent)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14A.139</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Social participation, by limitation or rest</w:t>
            </w:r>
            <w:r w:rsidR="002466CC">
              <w:t>riction status, 2006 (per cent)</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14A.140</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Participation in voluntary work for an organisation or group, by disa</w:t>
            </w:r>
            <w:r w:rsidR="002466CC">
              <w:t>bility status, 2010 (per cent)</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14A.141</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Person living in dwellings, by tenure type, core activity need for as</w:t>
            </w:r>
            <w:r w:rsidR="002466CC">
              <w:t xml:space="preserve">sistance status </w:t>
            </w:r>
            <w:r w:rsidR="002466CC">
              <w:lastRenderedPageBreak/>
              <w:t>and age, 2006</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lastRenderedPageBreak/>
              <w:t>Table</w:t>
            </w:r>
            <w:r w:rsidR="00AE3578">
              <w:t> </w:t>
            </w:r>
            <w:r w:rsidRPr="003D4AA4">
              <w:t>14A.142</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People aged 0–64 years in potential population who have taken action in the last twelve months to get more formal assistance but who still need more formal assistance, by sex, by State/Territory</w:t>
            </w:r>
            <w:r w:rsidR="002466CC">
              <w:t>, 2009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14A.143</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aged 0–64 years in potential population who have taken action in the last twelve months to get more formal assistance but who still need more formal assistance, by age group, by State/Territory, 2009 ('000)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14A.144</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aged 0–64 years in potential population who have taken action in the last twelve months to get more formal assistance but who still need more formal assistance, by remoteness area, by State/Territory, 2009 ('000)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14A.145</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aged 0–64 years in potential population who have taken action in the last twelve months to get more formal assistance but who still need more formal assistance, by country of birth, </w:t>
            </w:r>
            <w:r w:rsidR="002466CC">
              <w:t>by State/Territory, 2009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14A.146</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aged 0–64 years in potential population who need more formal assistance than they are currently receiving, by sex, by State/Territory ('000)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14A.147</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aged 0–64 years in potential population who need more formal assistance than they are currently receiving, by age group, by State/Territory, 2009 ('000)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14A.148</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aged 0–64 years in potential population who need more formal assistance than they are currently receiving, by remoteness </w:t>
            </w:r>
            <w:r w:rsidR="002466CC">
              <w:t>area, by State/Territory ('000)</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14A.149</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People aged 0–64 years in potential population who need more formal assistance than they are currently receiving, by country of birth, by State/Territory, 2009 ('000)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14A.150</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Participation in education and training, by need f</w:t>
            </w:r>
            <w:r w:rsidR="002466CC">
              <w:t>or assistance status (per cent)</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14A.151</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Participation in education and training, by disability status, 2009 (per cent)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14A.152</w:t>
            </w:r>
          </w:p>
        </w:tc>
        <w:tc>
          <w:tcPr>
            <w:tcW w:w="7077" w:type="dxa"/>
            <w:tcBorders>
              <w:top w:val="nil"/>
              <w:left w:val="nil"/>
              <w:bottom w:val="nil"/>
              <w:right w:val="nil"/>
            </w:tcBorders>
            <w:shd w:val="clear" w:color="auto" w:fill="auto"/>
          </w:tcPr>
          <w:p w:rsidR="000748BE" w:rsidRPr="00423250" w:rsidRDefault="000748BE" w:rsidP="002466CC">
            <w:pPr>
              <w:pStyle w:val="TableBodyText"/>
              <w:keepNext w:val="0"/>
              <w:jc w:val="left"/>
            </w:pPr>
            <w:r w:rsidRPr="003D4AA4">
              <w:t xml:space="preserve">Educational and training attainment, by need for assistance status, 2011 (per cent) </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14A.153</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Educational and training attainment, by disabi</w:t>
            </w:r>
            <w:r w:rsidR="002466CC">
              <w:t>lity status, 2009 (per cent)</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14A.154</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Basic community care services received by people aged under 65 years and Indigenous Au</w:t>
            </w:r>
            <w:r w:rsidR="002466CC">
              <w:t>stralians aged under 50 years</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14A.155</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Basic community care services received within major cities by people aged under 65 years and Indigenous Au</w:t>
            </w:r>
            <w:r w:rsidR="002466CC">
              <w:t>stralians aged under 50 years</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14A.156</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Basic community care services received within inner regional areas by people aged under 65 years and Indigenous Au</w:t>
            </w:r>
            <w:r w:rsidR="002466CC">
              <w:t>stralians aged under 50 years</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14A.157</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Basic community care services received within outer regional areas by people aged under 65 years and Indigenous Au</w:t>
            </w:r>
            <w:r w:rsidR="002466CC">
              <w:t>stralians aged under 50 years</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14A.158</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Basic community care services received within remote areas by people aged under 65 years and Indigenous Au</w:t>
            </w:r>
            <w:r w:rsidR="002466CC">
              <w:t>stralians aged under 50 years</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14A.159</w:t>
            </w:r>
          </w:p>
        </w:tc>
        <w:tc>
          <w:tcPr>
            <w:tcW w:w="7077" w:type="dxa"/>
            <w:tcBorders>
              <w:top w:val="nil"/>
              <w:left w:val="nil"/>
              <w:bottom w:val="nil"/>
              <w:right w:val="nil"/>
            </w:tcBorders>
            <w:shd w:val="clear" w:color="auto" w:fill="auto"/>
          </w:tcPr>
          <w:p w:rsidR="000748BE" w:rsidRPr="00423250" w:rsidRDefault="000748BE" w:rsidP="008860C4">
            <w:pPr>
              <w:pStyle w:val="TableBodyText"/>
              <w:keepNext w:val="0"/>
              <w:jc w:val="left"/>
            </w:pPr>
            <w:r w:rsidRPr="003D4AA4">
              <w:t>Basic community care services received within very remote areas by people aged under 65 years and Indigenous Au</w:t>
            </w:r>
            <w:r w:rsidR="002466CC">
              <w:t>stralians aged under 50 years</w:t>
            </w:r>
          </w:p>
        </w:tc>
      </w:tr>
      <w:tr w:rsidR="000748BE" w:rsidRPr="00F07397" w:rsidTr="008860C4">
        <w:tc>
          <w:tcPr>
            <w:tcW w:w="1646" w:type="dxa"/>
            <w:tcBorders>
              <w:top w:val="nil"/>
              <w:left w:val="nil"/>
              <w:bottom w:val="nil"/>
              <w:right w:val="nil"/>
            </w:tcBorders>
            <w:shd w:val="clear" w:color="auto" w:fill="auto"/>
            <w:noWrap/>
          </w:tcPr>
          <w:p w:rsidR="000748BE" w:rsidRPr="008860C4" w:rsidRDefault="000748BE" w:rsidP="008860C4">
            <w:pPr>
              <w:pStyle w:val="TableBodyText"/>
              <w:keepNext w:val="0"/>
              <w:jc w:val="left"/>
              <w:rPr>
                <w:b/>
              </w:rPr>
            </w:pPr>
            <w:r w:rsidRPr="003D4AA4">
              <w:t>Table</w:t>
            </w:r>
            <w:r w:rsidR="00AE3578">
              <w:t> </w:t>
            </w:r>
            <w:r w:rsidRPr="003D4AA4">
              <w:t>14A.160</w:t>
            </w:r>
          </w:p>
        </w:tc>
        <w:tc>
          <w:tcPr>
            <w:tcW w:w="7077" w:type="dxa"/>
            <w:tcBorders>
              <w:top w:val="nil"/>
              <w:left w:val="nil"/>
              <w:bottom w:val="nil"/>
              <w:right w:val="nil"/>
            </w:tcBorders>
            <w:shd w:val="clear" w:color="auto" w:fill="auto"/>
          </w:tcPr>
          <w:p w:rsidR="000748BE" w:rsidRDefault="000748BE" w:rsidP="008860C4">
            <w:pPr>
              <w:pStyle w:val="TableBodyText"/>
              <w:keepNext w:val="0"/>
              <w:jc w:val="left"/>
            </w:pPr>
            <w:r w:rsidRPr="003D4AA4">
              <w:t xml:space="preserve">Basic community care services received by people aged under 65 years and Indigenous </w:t>
            </w:r>
            <w:r w:rsidR="002466CC">
              <w:t>Australians aged under 50 years</w:t>
            </w:r>
          </w:p>
        </w:tc>
      </w:tr>
    </w:tbl>
    <w:p w:rsidR="001F39F2" w:rsidRPr="000261E8" w:rsidRDefault="00321568" w:rsidP="006D76E5">
      <w:pPr>
        <w:pStyle w:val="Heading2"/>
      </w:pPr>
      <w:bookmarkStart w:id="32" w:name="_Toc248563910"/>
      <w:bookmarkStart w:id="33" w:name="_Toc397527181"/>
      <w:r w:rsidRPr="000261E8">
        <w:t>14.</w:t>
      </w:r>
      <w:r w:rsidR="0085284B">
        <w:rPr>
          <w:noProof/>
        </w:rPr>
        <w:t>9</w:t>
      </w:r>
      <w:r w:rsidR="001F39F2" w:rsidRPr="000261E8">
        <w:tab/>
      </w:r>
      <w:r w:rsidR="001F39F2" w:rsidRPr="006D76E5">
        <w:t>References</w:t>
      </w:r>
      <w:bookmarkEnd w:id="32"/>
      <w:bookmarkEnd w:id="33"/>
    </w:p>
    <w:p w:rsidR="00247082" w:rsidRDefault="00247082" w:rsidP="00247082">
      <w:pPr>
        <w:pStyle w:val="Reference"/>
      </w:pPr>
      <w:r w:rsidRPr="000261E8">
        <w:t>ABS (Aus</w:t>
      </w:r>
      <w:r w:rsidR="000261E8" w:rsidRPr="000261E8">
        <w:t>tralian Bureau of Statistics) —</w:t>
      </w:r>
      <w:r w:rsidR="002460F7">
        <w:t> </w:t>
      </w:r>
      <w:r w:rsidRPr="00EA2BC7">
        <w:t>2011</w:t>
      </w:r>
      <w:r w:rsidR="006731B7">
        <w:t>a</w:t>
      </w:r>
      <w:r w:rsidRPr="00EA2BC7">
        <w:t xml:space="preserve">, </w:t>
      </w:r>
      <w:r w:rsidRPr="00EA2BC7">
        <w:rPr>
          <w:i/>
        </w:rPr>
        <w:t>Disability, Ageing and Carers Australia: Summary of Findings 2009,</w:t>
      </w:r>
      <w:r w:rsidRPr="00EA2BC7">
        <w:t xml:space="preserve"> Cat. </w:t>
      </w:r>
      <w:proofErr w:type="gramStart"/>
      <w:r w:rsidRPr="00EA2BC7">
        <w:t>no</w:t>
      </w:r>
      <w:proofErr w:type="gramEnd"/>
      <w:r w:rsidRPr="00EA2BC7">
        <w:t xml:space="preserve">. 4430.0, Canberra. </w:t>
      </w:r>
    </w:p>
    <w:p w:rsidR="006731B7" w:rsidRPr="00EA2BC7" w:rsidRDefault="006731B7" w:rsidP="00232292">
      <w:pPr>
        <w:pStyle w:val="Reference"/>
      </w:pPr>
      <w:r w:rsidRPr="00EA2BC7">
        <w:t>—— 2011</w:t>
      </w:r>
      <w:r>
        <w:t xml:space="preserve">b, </w:t>
      </w:r>
      <w:r w:rsidR="00232292" w:rsidRPr="00232292">
        <w:rPr>
          <w:i/>
        </w:rPr>
        <w:t xml:space="preserve">Australian Statistical Geography Standard (ASGS): Volume 5 </w:t>
      </w:r>
      <w:r w:rsidR="00B84AF2">
        <w:rPr>
          <w:i/>
        </w:rPr>
        <w:noBreakHyphen/>
      </w:r>
      <w:r w:rsidR="00DF3B3B">
        <w:rPr>
          <w:i/>
        </w:rPr>
        <w:t xml:space="preserve"> </w:t>
      </w:r>
      <w:r w:rsidR="00232292" w:rsidRPr="00232292">
        <w:rPr>
          <w:i/>
        </w:rPr>
        <w:t>Remoteness Structure</w:t>
      </w:r>
      <w:r w:rsidR="00232292">
        <w:t xml:space="preserve">, Cat. </w:t>
      </w:r>
      <w:proofErr w:type="gramStart"/>
      <w:r w:rsidR="00232292">
        <w:t xml:space="preserve">no. </w:t>
      </w:r>
      <w:r w:rsidR="00232292" w:rsidRPr="00232292">
        <w:t>1270.0.55.005</w:t>
      </w:r>
      <w:r w:rsidR="00232292">
        <w:t>, Canberra.</w:t>
      </w:r>
      <w:proofErr w:type="gramEnd"/>
      <w:r w:rsidR="00232292">
        <w:t xml:space="preserve"> </w:t>
      </w:r>
    </w:p>
    <w:p w:rsidR="00247082" w:rsidRPr="00EA2BC7" w:rsidRDefault="00247082" w:rsidP="00247082">
      <w:pPr>
        <w:pStyle w:val="Reference"/>
      </w:pPr>
      <w:r w:rsidRPr="00EA2BC7">
        <w:t xml:space="preserve">—— 2013, </w:t>
      </w:r>
      <w:r w:rsidRPr="00EA2BC7">
        <w:rPr>
          <w:i/>
        </w:rPr>
        <w:t>Disability, Ageing and Carers Australia: Summary of Findings 2012,</w:t>
      </w:r>
      <w:r w:rsidRPr="00EA2BC7">
        <w:t xml:space="preserve"> Cat. </w:t>
      </w:r>
      <w:proofErr w:type="gramStart"/>
      <w:r w:rsidRPr="00EA2BC7">
        <w:t>no</w:t>
      </w:r>
      <w:proofErr w:type="gramEnd"/>
      <w:r w:rsidRPr="00EA2BC7">
        <w:t xml:space="preserve">. 4430.0, Canberra. </w:t>
      </w:r>
    </w:p>
    <w:p w:rsidR="00247082" w:rsidRPr="001361A1" w:rsidRDefault="00247082" w:rsidP="00247082">
      <w:pPr>
        <w:pStyle w:val="Reference"/>
      </w:pPr>
      <w:r w:rsidRPr="001361A1">
        <w:t xml:space="preserve">AIHW (Australian Institute of Health and Welfare) 2006, </w:t>
      </w:r>
      <w:r w:rsidRPr="001361A1">
        <w:rPr>
          <w:i/>
        </w:rPr>
        <w:t>‘Potential Population’ — Updating the Indigenous Factor in Disability Services Performance Indicator Denominators</w:t>
      </w:r>
      <w:r w:rsidRPr="001361A1">
        <w:t xml:space="preserve">, Welfare Working Paper Series Number 50, Cat. </w:t>
      </w:r>
      <w:proofErr w:type="gramStart"/>
      <w:r w:rsidRPr="001361A1">
        <w:t>no</w:t>
      </w:r>
      <w:proofErr w:type="gramEnd"/>
      <w:r w:rsidRPr="001361A1">
        <w:t xml:space="preserve">. </w:t>
      </w:r>
      <w:proofErr w:type="gramStart"/>
      <w:r w:rsidRPr="001361A1">
        <w:t>DIS 45, Canberra.</w:t>
      </w:r>
      <w:proofErr w:type="gramEnd"/>
    </w:p>
    <w:p w:rsidR="00247082" w:rsidRPr="001361A1" w:rsidRDefault="00247082" w:rsidP="00247082">
      <w:pPr>
        <w:pStyle w:val="Reference"/>
      </w:pPr>
      <w:r w:rsidRPr="001361A1">
        <w:lastRenderedPageBreak/>
        <w:t xml:space="preserve">—— 2007, </w:t>
      </w:r>
      <w:r w:rsidRPr="001361A1">
        <w:rPr>
          <w:i/>
        </w:rPr>
        <w:t>Disability Support Services 2005</w:t>
      </w:r>
      <w:r w:rsidR="00B84AF2">
        <w:rPr>
          <w:i/>
        </w:rPr>
        <w:noBreakHyphen/>
      </w:r>
      <w:r w:rsidRPr="001361A1">
        <w:rPr>
          <w:i/>
        </w:rPr>
        <w:t>06: National Data on Services Provided under the CSTDA/NDA</w:t>
      </w:r>
      <w:r w:rsidRPr="001361A1">
        <w:t xml:space="preserve">, Cat. </w:t>
      </w:r>
      <w:proofErr w:type="gramStart"/>
      <w:r w:rsidRPr="001361A1">
        <w:t>no</w:t>
      </w:r>
      <w:proofErr w:type="gramEnd"/>
      <w:r w:rsidRPr="001361A1">
        <w:t xml:space="preserve">. </w:t>
      </w:r>
      <w:proofErr w:type="gramStart"/>
      <w:r w:rsidRPr="001361A1">
        <w:t>DIS 51, Canberra.</w:t>
      </w:r>
      <w:proofErr w:type="gramEnd"/>
    </w:p>
    <w:p w:rsidR="00247082" w:rsidRDefault="00247082" w:rsidP="00247082">
      <w:pPr>
        <w:pStyle w:val="Reference"/>
      </w:pPr>
      <w:r w:rsidRPr="001361A1">
        <w:t>—— 2014</w:t>
      </w:r>
      <w:r w:rsidR="00302BC1">
        <w:t>a</w:t>
      </w:r>
      <w:r w:rsidRPr="001361A1">
        <w:t xml:space="preserve">, </w:t>
      </w:r>
      <w:r w:rsidRPr="001361A1">
        <w:rPr>
          <w:i/>
        </w:rPr>
        <w:t xml:space="preserve">Disability support services </w:t>
      </w:r>
      <w:r w:rsidR="00B84AF2">
        <w:rPr>
          <w:i/>
        </w:rPr>
        <w:t>a</w:t>
      </w:r>
      <w:r w:rsidRPr="001361A1">
        <w:rPr>
          <w:i/>
        </w:rPr>
        <w:t>ppendix 2012</w:t>
      </w:r>
      <w:r w:rsidR="00B84AF2">
        <w:rPr>
          <w:i/>
        </w:rPr>
        <w:noBreakHyphen/>
      </w:r>
      <w:r w:rsidRPr="001361A1">
        <w:rPr>
          <w:i/>
        </w:rPr>
        <w:t>13</w:t>
      </w:r>
      <w:r w:rsidRPr="001361A1">
        <w:t xml:space="preserve">. </w:t>
      </w:r>
      <w:proofErr w:type="gramStart"/>
      <w:r>
        <w:t>Disability Series.</w:t>
      </w:r>
      <w:proofErr w:type="gramEnd"/>
      <w:r>
        <w:t xml:space="preserve"> </w:t>
      </w:r>
      <w:r w:rsidRPr="001361A1">
        <w:t xml:space="preserve">Cat. </w:t>
      </w:r>
      <w:proofErr w:type="gramStart"/>
      <w:r w:rsidRPr="001361A1">
        <w:t>no</w:t>
      </w:r>
      <w:proofErr w:type="gramEnd"/>
      <w:r w:rsidRPr="001361A1">
        <w:t xml:space="preserve">. AUS </w:t>
      </w:r>
      <w:r w:rsidRPr="00EA2BC7">
        <w:t>182, Canberra.</w:t>
      </w:r>
    </w:p>
    <w:p w:rsidR="00302BC1" w:rsidRPr="00EA2BC7" w:rsidRDefault="00302BC1" w:rsidP="00247082">
      <w:pPr>
        <w:pStyle w:val="Reference"/>
      </w:pPr>
      <w:r w:rsidRPr="001361A1">
        <w:t>—— 2014</w:t>
      </w:r>
      <w:r>
        <w:t>b</w:t>
      </w:r>
      <w:r w:rsidRPr="001361A1">
        <w:t>,</w:t>
      </w:r>
      <w:r>
        <w:t xml:space="preserve"> </w:t>
      </w:r>
      <w:r w:rsidRPr="00F26B59">
        <w:rPr>
          <w:i/>
        </w:rPr>
        <w:t>Disability Services National Minimum Data Set: data guide</w:t>
      </w:r>
      <w:r>
        <w:rPr>
          <w:i/>
        </w:rPr>
        <w:t xml:space="preserve">, July 2014, </w:t>
      </w:r>
      <w:r w:rsidRPr="008D6EB6">
        <w:t>www.aihw.gov.au/WorkArea/DownloadAsset.aspx?id=60129548022</w:t>
      </w:r>
      <w:r>
        <w:t xml:space="preserve"> (accessed 5 November 2014)</w:t>
      </w:r>
    </w:p>
    <w:p w:rsidR="00247082" w:rsidRPr="00EA2BC7" w:rsidRDefault="00247082" w:rsidP="00247082">
      <w:pPr>
        <w:pStyle w:val="Reference"/>
      </w:pPr>
      <w:r w:rsidRPr="00EA2BC7">
        <w:t xml:space="preserve">CSTDA (Commonwealth State/Territory Disability Agreement) 2003, </w:t>
      </w:r>
      <w:r w:rsidRPr="00EA2BC7">
        <w:rPr>
          <w:i/>
        </w:rPr>
        <w:t>Agreement between the Commonwealth of Australia and the States and Territories of Australia in Relation to Disability Services,</w:t>
      </w:r>
      <w:r w:rsidRPr="00EA2BC7">
        <w:t xml:space="preserve"> Australian Government Department of Family and Community Services, Canberra.</w:t>
      </w:r>
    </w:p>
    <w:p w:rsidR="00247082" w:rsidRPr="00EA2BC7" w:rsidRDefault="00247082" w:rsidP="00247082">
      <w:pPr>
        <w:pStyle w:val="Reference"/>
      </w:pPr>
      <w:proofErr w:type="gramStart"/>
      <w:r w:rsidRPr="00EA2BC7">
        <w:t xml:space="preserve">COAG (Council of Australian Governments) 2012a, </w:t>
      </w:r>
      <w:r w:rsidRPr="00EA2BC7">
        <w:rPr>
          <w:i/>
        </w:rPr>
        <w:t>National Disability Agreement</w:t>
      </w:r>
      <w:r w:rsidRPr="00EA2BC7">
        <w:t>, www.federalfinancialrelations.gov.au/content/npa/disability/national-agreement.rtf (accessed 15</w:t>
      </w:r>
      <w:r w:rsidR="00B84AF2">
        <w:t> </w:t>
      </w:r>
      <w:r w:rsidRPr="00EA2BC7">
        <w:t>November 2012).</w:t>
      </w:r>
      <w:proofErr w:type="gramEnd"/>
    </w:p>
    <w:p w:rsidR="00247082" w:rsidRPr="00FF3725" w:rsidRDefault="00247082" w:rsidP="00247082">
      <w:pPr>
        <w:pStyle w:val="Reference"/>
      </w:pPr>
      <w:r w:rsidRPr="00FF3725">
        <w:t xml:space="preserve">—— 2012b, </w:t>
      </w:r>
      <w:r w:rsidRPr="00FF3725">
        <w:rPr>
          <w:i/>
        </w:rPr>
        <w:t>Intergovernmental Agreement on the National Disability Insurance Scheme Launch</w:t>
      </w:r>
      <w:r>
        <w:rPr>
          <w:i/>
        </w:rPr>
        <w:t xml:space="preserve">, </w:t>
      </w:r>
      <w:r w:rsidRPr="008D6EB6">
        <w:t>www.coag.gov.au/node/485</w:t>
      </w:r>
      <w:r>
        <w:rPr>
          <w:i/>
        </w:rPr>
        <w:t xml:space="preserve"> </w:t>
      </w:r>
      <w:r w:rsidRPr="00FF3725">
        <w:t>(accessed 22</w:t>
      </w:r>
      <w:r w:rsidR="00B84AF2">
        <w:t> </w:t>
      </w:r>
      <w:r w:rsidRPr="00FF3725">
        <w:t>September 2014)</w:t>
      </w:r>
    </w:p>
    <w:p w:rsidR="00247082" w:rsidRPr="00EA2BC7" w:rsidRDefault="00247082" w:rsidP="00247082">
      <w:pPr>
        <w:pStyle w:val="Reference"/>
      </w:pPr>
      <w:r w:rsidRPr="00EA2BC7">
        <w:t xml:space="preserve">DIMA (Department of Immigration and Multicultural Affairs) 1999, </w:t>
      </w:r>
      <w:r w:rsidRPr="00EA2BC7">
        <w:rPr>
          <w:i/>
        </w:rPr>
        <w:t>1996 Classification of Countries into English Proficiency Group</w:t>
      </w:r>
      <w:r w:rsidRPr="00EA2BC7">
        <w:t>, Statistical focus C96.1A revised, Australian Government, Canberra.</w:t>
      </w:r>
    </w:p>
    <w:p w:rsidR="00247082" w:rsidRPr="00EA2BC7" w:rsidRDefault="00247082" w:rsidP="00247082">
      <w:pPr>
        <w:pStyle w:val="Reference"/>
      </w:pPr>
      <w:proofErr w:type="gramStart"/>
      <w:r w:rsidRPr="00EA2BC7">
        <w:t xml:space="preserve">—— 2003, </w:t>
      </w:r>
      <w:r w:rsidRPr="00EA2BC7">
        <w:rPr>
          <w:i/>
        </w:rPr>
        <w:t>2001 classification of countries into English Proficiency Groups</w:t>
      </w:r>
      <w:r w:rsidRPr="00EA2BC7">
        <w:t>, Statistical focus C01.2.0, Australian Government, Canberra.</w:t>
      </w:r>
      <w:proofErr w:type="gramEnd"/>
    </w:p>
    <w:p w:rsidR="00247082" w:rsidRDefault="00247082" w:rsidP="00247082">
      <w:pPr>
        <w:pStyle w:val="Reference"/>
      </w:pPr>
      <w:r w:rsidRPr="00EA2BC7">
        <w:t>NDIA (National Dis</w:t>
      </w:r>
      <w:r>
        <w:t>ability Insurance Agency) 2014</w:t>
      </w:r>
      <w:r w:rsidR="007D5AAA">
        <w:t>a</w:t>
      </w:r>
      <w:r>
        <w:t>,</w:t>
      </w:r>
      <w:r w:rsidRPr="00EA2BC7">
        <w:t xml:space="preserve"> </w:t>
      </w:r>
      <w:r w:rsidRPr="00EA2BC7">
        <w:rPr>
          <w:i/>
        </w:rPr>
        <w:t>Quarterly Report to COAG Disability Reform Council, 30 June 2014</w:t>
      </w:r>
      <w:r>
        <w:t xml:space="preserve"> </w:t>
      </w:r>
      <w:r w:rsidR="00E95509" w:rsidRPr="008D6EB6">
        <w:t>www.ndis.gov.au/sites/default/files/documents/report_to_disability_reform_council_june_2014.pdf</w:t>
      </w:r>
      <w:r w:rsidR="00E95509">
        <w:t xml:space="preserve"> (Accessed 10 October 2014)</w:t>
      </w:r>
    </w:p>
    <w:p w:rsidR="007D5AAA" w:rsidRPr="00EA2BC7" w:rsidRDefault="007D5AAA" w:rsidP="007D5AAA">
      <w:pPr>
        <w:pStyle w:val="Reference"/>
      </w:pPr>
      <w:r>
        <w:t xml:space="preserve">—— 2014b, </w:t>
      </w:r>
      <w:r w:rsidRPr="007D5AAA">
        <w:rPr>
          <w:i/>
        </w:rPr>
        <w:t>Report on the sustainability of the scheme. 1 July 2013 to 30 June 2014.</w:t>
      </w:r>
      <w:r>
        <w:t xml:space="preserve"> </w:t>
      </w:r>
      <w:r w:rsidRPr="008D6EB6">
        <w:t>www.ndis.gov.au/sites/default/files/documents/report_on_the_sustainability_of_scheme_q4_2014.pdf</w:t>
      </w:r>
      <w:r>
        <w:t xml:space="preserve"> (Accessed 10 October 2014)</w:t>
      </w:r>
    </w:p>
    <w:p w:rsidR="00247082" w:rsidRDefault="00247082" w:rsidP="00247082">
      <w:pPr>
        <w:pStyle w:val="Reference"/>
      </w:pPr>
      <w:proofErr w:type="gramStart"/>
      <w:r w:rsidRPr="00EA2BC7">
        <w:t xml:space="preserve">SCRCSSP (Steering Committee for the Review of Commonwealth/State Service Provision) 1999, </w:t>
      </w:r>
      <w:r w:rsidRPr="00EA2BC7">
        <w:rPr>
          <w:i/>
          <w:iCs/>
        </w:rPr>
        <w:t>Payroll Tax in the Costing of Government Services</w:t>
      </w:r>
      <w:r w:rsidRPr="00EA2BC7">
        <w:t>, AusInfo, Canberra.</w:t>
      </w:r>
      <w:proofErr w:type="gramEnd"/>
    </w:p>
    <w:p w:rsidR="00FE1C3B" w:rsidRDefault="00FE1C3B" w:rsidP="00FE1C3B">
      <w:pPr>
        <w:pStyle w:val="Reference"/>
        <w:rPr>
          <w:i/>
        </w:rPr>
      </w:pPr>
      <w:r w:rsidRPr="00FE1C3B">
        <w:t xml:space="preserve">SCRGSP (Steering Committee for the Review of Government Service Provision) 2014, </w:t>
      </w:r>
      <w:r w:rsidRPr="00FE1C3B">
        <w:rPr>
          <w:i/>
        </w:rPr>
        <w:t>Report on Government Services 2014</w:t>
      </w:r>
      <w:r w:rsidRPr="00FE1C3B">
        <w:t>, Productivity Commission, Canberra.</w:t>
      </w:r>
    </w:p>
    <w:p w:rsidR="00F056FC" w:rsidRPr="008F5F24" w:rsidRDefault="00247082">
      <w:pPr>
        <w:pStyle w:val="Reference"/>
        <w:rPr>
          <w:color w:val="A6A6A6" w:themeColor="background1" w:themeShade="A6"/>
        </w:rPr>
      </w:pPr>
      <w:proofErr w:type="gramStart"/>
      <w:r w:rsidRPr="001326AF">
        <w:t xml:space="preserve">WHO (World Health Organisation) 2009, </w:t>
      </w:r>
      <w:r w:rsidRPr="001326AF">
        <w:rPr>
          <w:i/>
        </w:rPr>
        <w:t>Disabilities</w:t>
      </w:r>
      <w:r w:rsidRPr="001326AF">
        <w:t>, Health topics, Geneva, www.who.int/topics/disabilities/en/ (accessed 13 October 2009).</w:t>
      </w:r>
      <w:proofErr w:type="gramEnd"/>
      <w:r w:rsidRPr="001326AF">
        <w:t xml:space="preserve"> </w:t>
      </w:r>
    </w:p>
    <w:sectPr w:rsidR="00F056FC" w:rsidRPr="008F5F24" w:rsidSect="005141DE">
      <w:headerReference w:type="even" r:id="rId81"/>
      <w:headerReference w:type="default" r:id="rId82"/>
      <w:footerReference w:type="even" r:id="rId83"/>
      <w:footerReference w:type="default" r:id="rId84"/>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65E" w:rsidRDefault="0072265E">
      <w:r>
        <w:separator/>
      </w:r>
    </w:p>
  </w:endnote>
  <w:endnote w:type="continuationSeparator" w:id="0">
    <w:p w:rsidR="0072265E" w:rsidRDefault="0072265E">
      <w:r>
        <w:continuationSeparator/>
      </w:r>
    </w:p>
  </w:endnote>
  <w:endnote w:type="continuationNotice" w:id="1">
    <w:p w:rsidR="0072265E" w:rsidRDefault="00722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2265E" w:rsidTr="0012485D">
      <w:trPr>
        <w:trHeight w:hRule="exact" w:val="567"/>
      </w:trPr>
      <w:tc>
        <w:tcPr>
          <w:tcW w:w="510" w:type="dxa"/>
        </w:tcPr>
        <w:p w:rsidR="0072265E" w:rsidRPr="00A24443" w:rsidRDefault="0072265E" w:rsidP="0019293B">
          <w:pPr>
            <w:pStyle w:val="Footer"/>
            <w:tabs>
              <w:tab w:val="left" w:pos="0"/>
            </w:tabs>
            <w:ind w:right="0"/>
            <w:rPr>
              <w:rStyle w:val="PageNumber"/>
              <w:caps w:val="0"/>
            </w:rPr>
          </w:pPr>
          <w:r>
            <w:rPr>
              <w:rStyle w:val="PageNumber"/>
              <w:caps w:val="0"/>
            </w:rPr>
            <w:t>14.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81FC8">
            <w:rPr>
              <w:rStyle w:val="PageNumber"/>
              <w:caps w:val="0"/>
              <w:noProof/>
            </w:rPr>
            <w:t>110</w:t>
          </w:r>
          <w:r w:rsidRPr="00A24443">
            <w:rPr>
              <w:rStyle w:val="PageNumber"/>
              <w:caps w:val="0"/>
            </w:rPr>
            <w:fldChar w:fldCharType="end"/>
          </w:r>
        </w:p>
      </w:tc>
      <w:tc>
        <w:tcPr>
          <w:tcW w:w="7767" w:type="dxa"/>
        </w:tcPr>
        <w:p w:rsidR="0072265E" w:rsidRPr="0013739A" w:rsidRDefault="0072265E" w:rsidP="00417B0B">
          <w:pPr>
            <w:pStyle w:val="Footer"/>
            <w:rPr>
              <w:rFonts w:cs="Arial"/>
            </w:rPr>
          </w:pPr>
          <w:bookmarkStart w:id="34" w:name="DraftReportEven"/>
          <w:bookmarkEnd w:id="34"/>
          <w:r>
            <w:rPr>
              <w:rFonts w:cs="Arial"/>
            </w:rPr>
            <w:t>REPORT ON GOVERNMENT SERVICES 2015</w:t>
          </w:r>
        </w:p>
      </w:tc>
      <w:tc>
        <w:tcPr>
          <w:tcW w:w="510" w:type="dxa"/>
        </w:tcPr>
        <w:p w:rsidR="0072265E" w:rsidRDefault="0072265E" w:rsidP="0019293B">
          <w:pPr>
            <w:pStyle w:val="Footer"/>
          </w:pPr>
        </w:p>
      </w:tc>
    </w:tr>
  </w:tbl>
  <w:p w:rsidR="0072265E" w:rsidRDefault="0072265E" w:rsidP="0019293B">
    <w:pPr>
      <w:pStyle w:val="FooterEnd"/>
    </w:pPr>
  </w:p>
  <w:p w:rsidR="0072265E" w:rsidRDefault="0072265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2265E" w:rsidTr="0012485D">
      <w:trPr>
        <w:trHeight w:hRule="exact" w:val="567"/>
      </w:trPr>
      <w:tc>
        <w:tcPr>
          <w:tcW w:w="510" w:type="dxa"/>
        </w:tcPr>
        <w:p w:rsidR="0072265E" w:rsidRDefault="0072265E">
          <w:pPr>
            <w:pStyle w:val="Footer"/>
            <w:ind w:right="360" w:firstLine="360"/>
          </w:pPr>
        </w:p>
      </w:tc>
      <w:tc>
        <w:tcPr>
          <w:tcW w:w="7767" w:type="dxa"/>
        </w:tcPr>
        <w:p w:rsidR="0072265E" w:rsidRPr="00BA5B14" w:rsidRDefault="0072265E" w:rsidP="0012485D">
          <w:pPr>
            <w:pStyle w:val="Footer"/>
            <w:jc w:val="right"/>
            <w:rPr>
              <w:rFonts w:cs="Arial"/>
            </w:rPr>
          </w:pPr>
          <w:r>
            <w:rPr>
              <w:rFonts w:cs="Arial"/>
            </w:rPr>
            <w:t>Services for people with disability</w:t>
          </w:r>
        </w:p>
      </w:tc>
      <w:tc>
        <w:tcPr>
          <w:tcW w:w="510" w:type="dxa"/>
        </w:tcPr>
        <w:p w:rsidR="0072265E" w:rsidRPr="00A24443" w:rsidRDefault="0072265E">
          <w:pPr>
            <w:pStyle w:val="Footer"/>
            <w:jc w:val="right"/>
            <w:rPr>
              <w:caps w:val="0"/>
            </w:rPr>
          </w:pPr>
          <w:r>
            <w:rPr>
              <w:rStyle w:val="PageNumber"/>
              <w:caps w:val="0"/>
            </w:rPr>
            <w:t>14.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81FC8">
            <w:rPr>
              <w:rStyle w:val="PageNumber"/>
              <w:caps w:val="0"/>
              <w:noProof/>
            </w:rPr>
            <w:t>1</w:t>
          </w:r>
          <w:r w:rsidRPr="00A24443">
            <w:rPr>
              <w:rStyle w:val="PageNumber"/>
              <w:caps w:val="0"/>
            </w:rPr>
            <w:fldChar w:fldCharType="end"/>
          </w:r>
        </w:p>
      </w:tc>
    </w:tr>
  </w:tbl>
  <w:p w:rsidR="0072265E" w:rsidRDefault="0072265E">
    <w:pPr>
      <w:pStyle w:val="FooterEnd"/>
    </w:pPr>
  </w:p>
  <w:p w:rsidR="0072265E" w:rsidRDefault="0072265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65E" w:rsidRDefault="0072265E">
      <w:r>
        <w:separator/>
      </w:r>
    </w:p>
  </w:footnote>
  <w:footnote w:type="continuationSeparator" w:id="0">
    <w:p w:rsidR="0072265E" w:rsidRDefault="0072265E">
      <w:r>
        <w:continuationSeparator/>
      </w:r>
    </w:p>
  </w:footnote>
  <w:footnote w:type="continuationNotice" w:id="1">
    <w:p w:rsidR="0072265E" w:rsidRDefault="0072265E"/>
  </w:footnote>
  <w:footnote w:id="2">
    <w:p w:rsidR="0072265E" w:rsidRDefault="0072265E" w:rsidP="007E6C73">
      <w:pPr>
        <w:pStyle w:val="FootnoteText"/>
      </w:pPr>
      <w:r>
        <w:rPr>
          <w:rStyle w:val="FootnoteReference"/>
        </w:rPr>
        <w:footnoteRef/>
      </w:r>
      <w:r>
        <w:tab/>
        <w:t xml:space="preserve">Data should be interpreted with caution. </w:t>
      </w:r>
      <w:r w:rsidRPr="003A3ED5">
        <w:t xml:space="preserve">Indigenous status is not </w:t>
      </w:r>
      <w:r>
        <w:t xml:space="preserve">known for </w:t>
      </w:r>
      <w:r w:rsidRPr="003A3ED5">
        <w:t>58</w:t>
      </w:r>
      <w:r>
        <w:t> per cent</w:t>
      </w:r>
      <w:r w:rsidRPr="003A3ED5">
        <w:t xml:space="preserve"> of </w:t>
      </w:r>
      <w:r>
        <w:t>participants.</w:t>
      </w:r>
      <w:r w:rsidRPr="00B453A7">
        <w:t xml:space="preserve"> CALD status is </w:t>
      </w:r>
      <w:r>
        <w:t>known for most participants, with 13 per cent</w:t>
      </w:r>
      <w:r w:rsidRPr="00B453A7">
        <w:t xml:space="preserve"> of records not stated. The </w:t>
      </w:r>
      <w:r>
        <w:t>NDIA</w:t>
      </w:r>
      <w:r w:rsidRPr="00B453A7">
        <w:t xml:space="preserve"> is working to ensure that these data are collected for all participants.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2265E">
      <w:tc>
        <w:tcPr>
          <w:tcW w:w="2155" w:type="dxa"/>
          <w:tcBorders>
            <w:top w:val="single" w:sz="24" w:space="0" w:color="auto"/>
          </w:tcBorders>
        </w:tcPr>
        <w:p w:rsidR="0072265E" w:rsidRDefault="0072265E" w:rsidP="0019293B">
          <w:pPr>
            <w:pStyle w:val="HeaderEven"/>
          </w:pPr>
        </w:p>
      </w:tc>
      <w:tc>
        <w:tcPr>
          <w:tcW w:w="6634" w:type="dxa"/>
          <w:tcBorders>
            <w:top w:val="single" w:sz="6" w:space="0" w:color="auto"/>
          </w:tcBorders>
        </w:tcPr>
        <w:p w:rsidR="0072265E" w:rsidRDefault="0072265E" w:rsidP="00CD5347">
          <w:pPr>
            <w:pStyle w:val="HeaderEven"/>
            <w:jc w:val="right"/>
          </w:pPr>
        </w:p>
      </w:tc>
    </w:tr>
  </w:tbl>
  <w:p w:rsidR="0072265E" w:rsidRDefault="0072265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2265E">
      <w:tc>
        <w:tcPr>
          <w:tcW w:w="6634" w:type="dxa"/>
          <w:tcBorders>
            <w:top w:val="single" w:sz="6" w:space="0" w:color="auto"/>
          </w:tcBorders>
        </w:tcPr>
        <w:p w:rsidR="0072265E" w:rsidRDefault="0072265E" w:rsidP="00CB526B">
          <w:pPr>
            <w:pStyle w:val="HeaderOdd"/>
          </w:pPr>
        </w:p>
      </w:tc>
      <w:tc>
        <w:tcPr>
          <w:tcW w:w="2155" w:type="dxa"/>
          <w:tcBorders>
            <w:top w:val="single" w:sz="24" w:space="0" w:color="auto"/>
          </w:tcBorders>
        </w:tcPr>
        <w:p w:rsidR="0072265E" w:rsidRDefault="0072265E" w:rsidP="00E669E2">
          <w:pPr>
            <w:pStyle w:val="HeaderOdd"/>
          </w:pPr>
        </w:p>
      </w:tc>
    </w:tr>
  </w:tbl>
  <w:p w:rsidR="0072265E" w:rsidRDefault="0072265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1B430ACF"/>
    <w:multiLevelType w:val="hybridMultilevel"/>
    <w:tmpl w:val="AD24ED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7F874190"/>
    <w:multiLevelType w:val="hybridMultilevel"/>
    <w:tmpl w:val="DD767326"/>
    <w:lvl w:ilvl="0" w:tplc="0C090001">
      <w:start w:val="1"/>
      <w:numFmt w:val="bullet"/>
      <w:lvlText w:val=""/>
      <w:lvlJc w:val="left"/>
      <w:pPr>
        <w:ind w:left="360" w:hanging="360"/>
      </w:pPr>
      <w:rPr>
        <w:rFonts w:ascii="Symbol" w:hAnsi="Symbol"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3"/>
  </w:num>
  <w:num w:numId="2">
    <w:abstractNumId w:val="10"/>
  </w:num>
  <w:num w:numId="3">
    <w:abstractNumId w:val="46"/>
  </w:num>
  <w:num w:numId="4">
    <w:abstractNumId w:val="7"/>
  </w:num>
  <w:num w:numId="5">
    <w:abstractNumId w:val="28"/>
  </w:num>
  <w:num w:numId="6">
    <w:abstractNumId w:val="9"/>
  </w:num>
  <w:num w:numId="7">
    <w:abstractNumId w:val="41"/>
  </w:num>
  <w:num w:numId="8">
    <w:abstractNumId w:val="31"/>
  </w:num>
  <w:num w:numId="9">
    <w:abstractNumId w:val="47"/>
  </w:num>
  <w:num w:numId="10">
    <w:abstractNumId w:val="20"/>
  </w:num>
  <w:num w:numId="11">
    <w:abstractNumId w:val="16"/>
  </w:num>
  <w:num w:numId="12">
    <w:abstractNumId w:val="29"/>
  </w:num>
  <w:num w:numId="13">
    <w:abstractNumId w:val="15"/>
  </w:num>
  <w:num w:numId="14">
    <w:abstractNumId w:val="14"/>
  </w:num>
  <w:num w:numId="15">
    <w:abstractNumId w:val="22"/>
  </w:num>
  <w:num w:numId="16">
    <w:abstractNumId w:val="25"/>
  </w:num>
  <w:num w:numId="17">
    <w:abstractNumId w:val="33"/>
  </w:num>
  <w:num w:numId="18">
    <w:abstractNumId w:val="18"/>
  </w:num>
  <w:num w:numId="19">
    <w:abstractNumId w:val="49"/>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7"/>
  </w:num>
  <w:num w:numId="28">
    <w:abstractNumId w:val="40"/>
  </w:num>
  <w:num w:numId="29">
    <w:abstractNumId w:val="27"/>
  </w:num>
  <w:num w:numId="30">
    <w:abstractNumId w:val="30"/>
  </w:num>
  <w:num w:numId="31">
    <w:abstractNumId w:val="32"/>
  </w:num>
  <w:num w:numId="32">
    <w:abstractNumId w:val="45"/>
  </w:num>
  <w:num w:numId="33">
    <w:abstractNumId w:val="36"/>
  </w:num>
  <w:num w:numId="34">
    <w:abstractNumId w:val="42"/>
  </w:num>
  <w:num w:numId="35">
    <w:abstractNumId w:val="43"/>
  </w:num>
  <w:num w:numId="36">
    <w:abstractNumId w:val="34"/>
  </w:num>
  <w:num w:numId="37">
    <w:abstractNumId w:val="24"/>
  </w:num>
  <w:num w:numId="38">
    <w:abstractNumId w:val="48"/>
  </w:num>
  <w:num w:numId="39">
    <w:abstractNumId w:val="8"/>
  </w:num>
  <w:num w:numId="40">
    <w:abstractNumId w:val="21"/>
  </w:num>
  <w:num w:numId="41">
    <w:abstractNumId w:val="44"/>
  </w:num>
  <w:num w:numId="42">
    <w:abstractNumId w:val="35"/>
  </w:num>
  <w:num w:numId="43">
    <w:abstractNumId w:val="13"/>
  </w:num>
  <w:num w:numId="44">
    <w:abstractNumId w:val="39"/>
  </w:num>
  <w:num w:numId="45">
    <w:abstractNumId w:val="26"/>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 w:numId="48">
    <w:abstractNumId w:val="7"/>
  </w:num>
  <w:num w:numId="49">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0">
    <w:abstractNumId w:val="38"/>
  </w:num>
  <w:num w:numId="51">
    <w:abstractNumId w:val="17"/>
  </w:num>
  <w:num w:numId="52">
    <w:abstractNumId w:val="28"/>
  </w:num>
  <w:num w:numId="53">
    <w:abstractNumId w:val="23"/>
  </w:num>
  <w:num w:numId="54">
    <w:abstractNumId w:val="19"/>
  </w:num>
  <w:num w:numId="55">
    <w:abstractNumId w:val="7"/>
  </w:num>
  <w:num w:numId="56">
    <w:abstractNumId w:val="28"/>
  </w:num>
  <w:num w:numId="57">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clickAndTypeStyle w:val="BodyText"/>
  <w:evenAndOddHeaders/>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ervices for people with disability"/>
    <w:docVar w:name="ShortReportTitle" w:val="REPORT ON GOVERNMENT SERVICES 2015"/>
  </w:docVars>
  <w:rsids>
    <w:rsidRoot w:val="001F39F2"/>
    <w:rsid w:val="00000665"/>
    <w:rsid w:val="000016A0"/>
    <w:rsid w:val="00002B03"/>
    <w:rsid w:val="00002BFD"/>
    <w:rsid w:val="00002E12"/>
    <w:rsid w:val="00003459"/>
    <w:rsid w:val="000038CE"/>
    <w:rsid w:val="00003E95"/>
    <w:rsid w:val="00005DAC"/>
    <w:rsid w:val="00006E23"/>
    <w:rsid w:val="00007329"/>
    <w:rsid w:val="00012A51"/>
    <w:rsid w:val="00013F71"/>
    <w:rsid w:val="00014029"/>
    <w:rsid w:val="00014A9A"/>
    <w:rsid w:val="00015031"/>
    <w:rsid w:val="000152FC"/>
    <w:rsid w:val="0001702E"/>
    <w:rsid w:val="00021B2E"/>
    <w:rsid w:val="00023284"/>
    <w:rsid w:val="000233CD"/>
    <w:rsid w:val="00024544"/>
    <w:rsid w:val="000245AA"/>
    <w:rsid w:val="00024CFE"/>
    <w:rsid w:val="0002561A"/>
    <w:rsid w:val="00025A38"/>
    <w:rsid w:val="000261E8"/>
    <w:rsid w:val="00026C51"/>
    <w:rsid w:val="000324AF"/>
    <w:rsid w:val="00034645"/>
    <w:rsid w:val="00035DF8"/>
    <w:rsid w:val="0003664B"/>
    <w:rsid w:val="00037301"/>
    <w:rsid w:val="0004111F"/>
    <w:rsid w:val="00043C8A"/>
    <w:rsid w:val="00044421"/>
    <w:rsid w:val="00044A51"/>
    <w:rsid w:val="00044F4B"/>
    <w:rsid w:val="00045024"/>
    <w:rsid w:val="000453A1"/>
    <w:rsid w:val="00046005"/>
    <w:rsid w:val="0004689D"/>
    <w:rsid w:val="00046B69"/>
    <w:rsid w:val="00047D9D"/>
    <w:rsid w:val="0005257C"/>
    <w:rsid w:val="00054363"/>
    <w:rsid w:val="000565B3"/>
    <w:rsid w:val="0005735B"/>
    <w:rsid w:val="00057D00"/>
    <w:rsid w:val="00060ADF"/>
    <w:rsid w:val="00062763"/>
    <w:rsid w:val="00063660"/>
    <w:rsid w:val="00063C12"/>
    <w:rsid w:val="000650D6"/>
    <w:rsid w:val="0007150B"/>
    <w:rsid w:val="00071C47"/>
    <w:rsid w:val="00071FBD"/>
    <w:rsid w:val="000748BE"/>
    <w:rsid w:val="00074A53"/>
    <w:rsid w:val="00074D20"/>
    <w:rsid w:val="000758C7"/>
    <w:rsid w:val="000761F8"/>
    <w:rsid w:val="00076EA6"/>
    <w:rsid w:val="000775F8"/>
    <w:rsid w:val="000802ED"/>
    <w:rsid w:val="000807C4"/>
    <w:rsid w:val="00082C62"/>
    <w:rsid w:val="0008320E"/>
    <w:rsid w:val="000835CA"/>
    <w:rsid w:val="00084826"/>
    <w:rsid w:val="00085A45"/>
    <w:rsid w:val="0008743A"/>
    <w:rsid w:val="000874CB"/>
    <w:rsid w:val="00092653"/>
    <w:rsid w:val="00093828"/>
    <w:rsid w:val="000938F5"/>
    <w:rsid w:val="00094524"/>
    <w:rsid w:val="0009555A"/>
    <w:rsid w:val="0009576B"/>
    <w:rsid w:val="000A0334"/>
    <w:rsid w:val="000A0469"/>
    <w:rsid w:val="000A15B6"/>
    <w:rsid w:val="000A1D43"/>
    <w:rsid w:val="000A1E0C"/>
    <w:rsid w:val="000A1FED"/>
    <w:rsid w:val="000A29DF"/>
    <w:rsid w:val="000A3996"/>
    <w:rsid w:val="000A3BDF"/>
    <w:rsid w:val="000A4175"/>
    <w:rsid w:val="000A53A8"/>
    <w:rsid w:val="000A5C73"/>
    <w:rsid w:val="000A68B6"/>
    <w:rsid w:val="000A77A8"/>
    <w:rsid w:val="000B0D73"/>
    <w:rsid w:val="000B2C51"/>
    <w:rsid w:val="000B601B"/>
    <w:rsid w:val="000C207E"/>
    <w:rsid w:val="000C3E40"/>
    <w:rsid w:val="000C3E8A"/>
    <w:rsid w:val="000C5659"/>
    <w:rsid w:val="000C6A07"/>
    <w:rsid w:val="000C6A45"/>
    <w:rsid w:val="000D2E3A"/>
    <w:rsid w:val="000D3220"/>
    <w:rsid w:val="000D3280"/>
    <w:rsid w:val="000D57CA"/>
    <w:rsid w:val="000D647C"/>
    <w:rsid w:val="000E0F9E"/>
    <w:rsid w:val="000E131A"/>
    <w:rsid w:val="000E231C"/>
    <w:rsid w:val="000E327B"/>
    <w:rsid w:val="000E3304"/>
    <w:rsid w:val="000E3BFA"/>
    <w:rsid w:val="000E41C8"/>
    <w:rsid w:val="000E4928"/>
    <w:rsid w:val="000E51C9"/>
    <w:rsid w:val="000E7D8A"/>
    <w:rsid w:val="000F005F"/>
    <w:rsid w:val="000F047B"/>
    <w:rsid w:val="000F1274"/>
    <w:rsid w:val="000F1C96"/>
    <w:rsid w:val="000F1F30"/>
    <w:rsid w:val="000F215F"/>
    <w:rsid w:val="000F24CE"/>
    <w:rsid w:val="000F35F4"/>
    <w:rsid w:val="000F436E"/>
    <w:rsid w:val="000F5B6E"/>
    <w:rsid w:val="000F777A"/>
    <w:rsid w:val="00100632"/>
    <w:rsid w:val="00101D23"/>
    <w:rsid w:val="00102FF7"/>
    <w:rsid w:val="00106842"/>
    <w:rsid w:val="00106A49"/>
    <w:rsid w:val="0010712D"/>
    <w:rsid w:val="00107BC7"/>
    <w:rsid w:val="00107DAF"/>
    <w:rsid w:val="00110116"/>
    <w:rsid w:val="00110F6E"/>
    <w:rsid w:val="001111F3"/>
    <w:rsid w:val="001119F9"/>
    <w:rsid w:val="00113F94"/>
    <w:rsid w:val="00114D99"/>
    <w:rsid w:val="001151BB"/>
    <w:rsid w:val="001166B3"/>
    <w:rsid w:val="0011697F"/>
    <w:rsid w:val="00116C9C"/>
    <w:rsid w:val="00116DE3"/>
    <w:rsid w:val="001170CF"/>
    <w:rsid w:val="001176EF"/>
    <w:rsid w:val="00117A96"/>
    <w:rsid w:val="00117EFA"/>
    <w:rsid w:val="001207A1"/>
    <w:rsid w:val="0012098D"/>
    <w:rsid w:val="00121636"/>
    <w:rsid w:val="0012355F"/>
    <w:rsid w:val="0012485D"/>
    <w:rsid w:val="00125346"/>
    <w:rsid w:val="00126EB8"/>
    <w:rsid w:val="00127366"/>
    <w:rsid w:val="0012788D"/>
    <w:rsid w:val="00131BC7"/>
    <w:rsid w:val="00131DBD"/>
    <w:rsid w:val="001326AF"/>
    <w:rsid w:val="0013461D"/>
    <w:rsid w:val="00135903"/>
    <w:rsid w:val="001361A1"/>
    <w:rsid w:val="001361A3"/>
    <w:rsid w:val="001363AA"/>
    <w:rsid w:val="00137BED"/>
    <w:rsid w:val="00140388"/>
    <w:rsid w:val="00140DE7"/>
    <w:rsid w:val="001414E7"/>
    <w:rsid w:val="00142E76"/>
    <w:rsid w:val="001459E8"/>
    <w:rsid w:val="00145AA8"/>
    <w:rsid w:val="00146039"/>
    <w:rsid w:val="00146874"/>
    <w:rsid w:val="001469BD"/>
    <w:rsid w:val="00146B50"/>
    <w:rsid w:val="00146CE5"/>
    <w:rsid w:val="00147D3B"/>
    <w:rsid w:val="00147FD2"/>
    <w:rsid w:val="00151167"/>
    <w:rsid w:val="001526EE"/>
    <w:rsid w:val="00160C69"/>
    <w:rsid w:val="00161353"/>
    <w:rsid w:val="001614F5"/>
    <w:rsid w:val="00161640"/>
    <w:rsid w:val="00164002"/>
    <w:rsid w:val="00164ACB"/>
    <w:rsid w:val="001663C1"/>
    <w:rsid w:val="00170C82"/>
    <w:rsid w:val="001721AE"/>
    <w:rsid w:val="0017269C"/>
    <w:rsid w:val="001739DA"/>
    <w:rsid w:val="0017544C"/>
    <w:rsid w:val="00176B98"/>
    <w:rsid w:val="00177211"/>
    <w:rsid w:val="001804E8"/>
    <w:rsid w:val="00180789"/>
    <w:rsid w:val="00180AA0"/>
    <w:rsid w:val="00182D5B"/>
    <w:rsid w:val="001838F1"/>
    <w:rsid w:val="00183E82"/>
    <w:rsid w:val="001842DC"/>
    <w:rsid w:val="001847B8"/>
    <w:rsid w:val="00184F38"/>
    <w:rsid w:val="0018500D"/>
    <w:rsid w:val="0019293B"/>
    <w:rsid w:val="0019455A"/>
    <w:rsid w:val="00195449"/>
    <w:rsid w:val="00197F0A"/>
    <w:rsid w:val="001A00C8"/>
    <w:rsid w:val="001A0652"/>
    <w:rsid w:val="001A0797"/>
    <w:rsid w:val="001A0C68"/>
    <w:rsid w:val="001A0CA8"/>
    <w:rsid w:val="001A143E"/>
    <w:rsid w:val="001A2413"/>
    <w:rsid w:val="001A2F72"/>
    <w:rsid w:val="001A3A75"/>
    <w:rsid w:val="001A4377"/>
    <w:rsid w:val="001A4BAB"/>
    <w:rsid w:val="001A6949"/>
    <w:rsid w:val="001A7646"/>
    <w:rsid w:val="001A7BB8"/>
    <w:rsid w:val="001B0183"/>
    <w:rsid w:val="001B08FD"/>
    <w:rsid w:val="001B3857"/>
    <w:rsid w:val="001B3D75"/>
    <w:rsid w:val="001B5580"/>
    <w:rsid w:val="001B5643"/>
    <w:rsid w:val="001B5BCA"/>
    <w:rsid w:val="001B5ED6"/>
    <w:rsid w:val="001B654D"/>
    <w:rsid w:val="001B7576"/>
    <w:rsid w:val="001B7C37"/>
    <w:rsid w:val="001C0865"/>
    <w:rsid w:val="001C10C8"/>
    <w:rsid w:val="001C3ABA"/>
    <w:rsid w:val="001C512C"/>
    <w:rsid w:val="001C58B3"/>
    <w:rsid w:val="001C669E"/>
    <w:rsid w:val="001C7410"/>
    <w:rsid w:val="001C7EB9"/>
    <w:rsid w:val="001D0784"/>
    <w:rsid w:val="001D12A3"/>
    <w:rsid w:val="001D2A92"/>
    <w:rsid w:val="001D4AA7"/>
    <w:rsid w:val="001D4BEE"/>
    <w:rsid w:val="001D7212"/>
    <w:rsid w:val="001D78F3"/>
    <w:rsid w:val="001E250B"/>
    <w:rsid w:val="001E2734"/>
    <w:rsid w:val="001E28AE"/>
    <w:rsid w:val="001E3437"/>
    <w:rsid w:val="001E4978"/>
    <w:rsid w:val="001E5F0F"/>
    <w:rsid w:val="001E605C"/>
    <w:rsid w:val="001E643F"/>
    <w:rsid w:val="001E681F"/>
    <w:rsid w:val="001E7BE8"/>
    <w:rsid w:val="001F0248"/>
    <w:rsid w:val="001F26AE"/>
    <w:rsid w:val="001F2DEE"/>
    <w:rsid w:val="001F39F2"/>
    <w:rsid w:val="001F3EB3"/>
    <w:rsid w:val="001F5749"/>
    <w:rsid w:val="001F5A6D"/>
    <w:rsid w:val="00200978"/>
    <w:rsid w:val="00200E75"/>
    <w:rsid w:val="00201419"/>
    <w:rsid w:val="00202C2C"/>
    <w:rsid w:val="0020654F"/>
    <w:rsid w:val="00206C4A"/>
    <w:rsid w:val="00207F01"/>
    <w:rsid w:val="00210E53"/>
    <w:rsid w:val="00211C1B"/>
    <w:rsid w:val="00212976"/>
    <w:rsid w:val="002137AD"/>
    <w:rsid w:val="00213C0F"/>
    <w:rsid w:val="00215106"/>
    <w:rsid w:val="00215454"/>
    <w:rsid w:val="00216270"/>
    <w:rsid w:val="00217BD3"/>
    <w:rsid w:val="002208BA"/>
    <w:rsid w:val="00221478"/>
    <w:rsid w:val="002227C5"/>
    <w:rsid w:val="002229DE"/>
    <w:rsid w:val="002246E3"/>
    <w:rsid w:val="00225FCF"/>
    <w:rsid w:val="00226606"/>
    <w:rsid w:val="00231774"/>
    <w:rsid w:val="00232292"/>
    <w:rsid w:val="00235B9E"/>
    <w:rsid w:val="00237B77"/>
    <w:rsid w:val="00240443"/>
    <w:rsid w:val="002407D1"/>
    <w:rsid w:val="00240E57"/>
    <w:rsid w:val="002414C5"/>
    <w:rsid w:val="00241794"/>
    <w:rsid w:val="00242279"/>
    <w:rsid w:val="00242A87"/>
    <w:rsid w:val="00242FB0"/>
    <w:rsid w:val="00244072"/>
    <w:rsid w:val="002450EA"/>
    <w:rsid w:val="002452E8"/>
    <w:rsid w:val="00245596"/>
    <w:rsid w:val="002459A3"/>
    <w:rsid w:val="00245C82"/>
    <w:rsid w:val="002460F7"/>
    <w:rsid w:val="002466CC"/>
    <w:rsid w:val="00247082"/>
    <w:rsid w:val="00247BC9"/>
    <w:rsid w:val="00251348"/>
    <w:rsid w:val="00251435"/>
    <w:rsid w:val="0025199B"/>
    <w:rsid w:val="00254115"/>
    <w:rsid w:val="00255504"/>
    <w:rsid w:val="00256763"/>
    <w:rsid w:val="002617CF"/>
    <w:rsid w:val="00261A53"/>
    <w:rsid w:val="002637E0"/>
    <w:rsid w:val="002639E9"/>
    <w:rsid w:val="00263BEE"/>
    <w:rsid w:val="00265FEB"/>
    <w:rsid w:val="002675F7"/>
    <w:rsid w:val="0027011A"/>
    <w:rsid w:val="002708C5"/>
    <w:rsid w:val="00271E5D"/>
    <w:rsid w:val="0027235C"/>
    <w:rsid w:val="002738EF"/>
    <w:rsid w:val="002749DD"/>
    <w:rsid w:val="00274F1A"/>
    <w:rsid w:val="00275112"/>
    <w:rsid w:val="0027537F"/>
    <w:rsid w:val="00277CBF"/>
    <w:rsid w:val="00280A73"/>
    <w:rsid w:val="00281FC8"/>
    <w:rsid w:val="0028249F"/>
    <w:rsid w:val="0028432F"/>
    <w:rsid w:val="00285EA8"/>
    <w:rsid w:val="00286A86"/>
    <w:rsid w:val="002875F6"/>
    <w:rsid w:val="00290A7F"/>
    <w:rsid w:val="00290DAD"/>
    <w:rsid w:val="00291B40"/>
    <w:rsid w:val="0029274A"/>
    <w:rsid w:val="002937E4"/>
    <w:rsid w:val="00293CDD"/>
    <w:rsid w:val="00293D4E"/>
    <w:rsid w:val="0029594D"/>
    <w:rsid w:val="0029640C"/>
    <w:rsid w:val="00297262"/>
    <w:rsid w:val="002977EB"/>
    <w:rsid w:val="002A0456"/>
    <w:rsid w:val="002A132B"/>
    <w:rsid w:val="002A2F18"/>
    <w:rsid w:val="002A3F57"/>
    <w:rsid w:val="002A3FE1"/>
    <w:rsid w:val="002A6A88"/>
    <w:rsid w:val="002B3B2F"/>
    <w:rsid w:val="002B4008"/>
    <w:rsid w:val="002B4AA4"/>
    <w:rsid w:val="002B5074"/>
    <w:rsid w:val="002B526C"/>
    <w:rsid w:val="002B606A"/>
    <w:rsid w:val="002B6CF2"/>
    <w:rsid w:val="002C1E65"/>
    <w:rsid w:val="002C2225"/>
    <w:rsid w:val="002C3181"/>
    <w:rsid w:val="002C39D3"/>
    <w:rsid w:val="002C4C86"/>
    <w:rsid w:val="002C5493"/>
    <w:rsid w:val="002C5F1D"/>
    <w:rsid w:val="002C683F"/>
    <w:rsid w:val="002C7101"/>
    <w:rsid w:val="002D0E8E"/>
    <w:rsid w:val="002D0F5B"/>
    <w:rsid w:val="002D248F"/>
    <w:rsid w:val="002D2523"/>
    <w:rsid w:val="002D2F95"/>
    <w:rsid w:val="002D3153"/>
    <w:rsid w:val="002D3FDA"/>
    <w:rsid w:val="002D5288"/>
    <w:rsid w:val="002E0FC3"/>
    <w:rsid w:val="002E2D0C"/>
    <w:rsid w:val="002E5465"/>
    <w:rsid w:val="002E6026"/>
    <w:rsid w:val="002E6F95"/>
    <w:rsid w:val="00301189"/>
    <w:rsid w:val="0030132A"/>
    <w:rsid w:val="00301DDD"/>
    <w:rsid w:val="00302015"/>
    <w:rsid w:val="00302BC1"/>
    <w:rsid w:val="00304D19"/>
    <w:rsid w:val="00304EE2"/>
    <w:rsid w:val="00305A0F"/>
    <w:rsid w:val="00305A72"/>
    <w:rsid w:val="00306720"/>
    <w:rsid w:val="00310FA7"/>
    <w:rsid w:val="00311F7A"/>
    <w:rsid w:val="00312605"/>
    <w:rsid w:val="003136EA"/>
    <w:rsid w:val="00313C80"/>
    <w:rsid w:val="00314052"/>
    <w:rsid w:val="00316C92"/>
    <w:rsid w:val="00320394"/>
    <w:rsid w:val="0032052D"/>
    <w:rsid w:val="0032063C"/>
    <w:rsid w:val="00321568"/>
    <w:rsid w:val="00323C68"/>
    <w:rsid w:val="00323E09"/>
    <w:rsid w:val="00324B1F"/>
    <w:rsid w:val="00324D25"/>
    <w:rsid w:val="00326ACD"/>
    <w:rsid w:val="00326B01"/>
    <w:rsid w:val="00326F45"/>
    <w:rsid w:val="003279F9"/>
    <w:rsid w:val="00330004"/>
    <w:rsid w:val="00330F61"/>
    <w:rsid w:val="00331A1E"/>
    <w:rsid w:val="00331CB8"/>
    <w:rsid w:val="00331E22"/>
    <w:rsid w:val="00332386"/>
    <w:rsid w:val="00332AA1"/>
    <w:rsid w:val="00332FE8"/>
    <w:rsid w:val="00333729"/>
    <w:rsid w:val="00333932"/>
    <w:rsid w:val="00334DB4"/>
    <w:rsid w:val="0033512D"/>
    <w:rsid w:val="00335296"/>
    <w:rsid w:val="00336864"/>
    <w:rsid w:val="003372AF"/>
    <w:rsid w:val="003404EE"/>
    <w:rsid w:val="00341F3E"/>
    <w:rsid w:val="003441DE"/>
    <w:rsid w:val="003454BE"/>
    <w:rsid w:val="003457C2"/>
    <w:rsid w:val="0034600B"/>
    <w:rsid w:val="00346417"/>
    <w:rsid w:val="003478B1"/>
    <w:rsid w:val="00347B8C"/>
    <w:rsid w:val="003518AA"/>
    <w:rsid w:val="003518E8"/>
    <w:rsid w:val="0035202D"/>
    <w:rsid w:val="00352165"/>
    <w:rsid w:val="00353182"/>
    <w:rsid w:val="003549E6"/>
    <w:rsid w:val="003565D9"/>
    <w:rsid w:val="003602E1"/>
    <w:rsid w:val="00361A05"/>
    <w:rsid w:val="00361EB7"/>
    <w:rsid w:val="003620F1"/>
    <w:rsid w:val="00362905"/>
    <w:rsid w:val="00362A4D"/>
    <w:rsid w:val="003633B0"/>
    <w:rsid w:val="003644A8"/>
    <w:rsid w:val="0036455E"/>
    <w:rsid w:val="003647E1"/>
    <w:rsid w:val="003649E8"/>
    <w:rsid w:val="00364A2E"/>
    <w:rsid w:val="0037026F"/>
    <w:rsid w:val="0037027C"/>
    <w:rsid w:val="00371240"/>
    <w:rsid w:val="00373031"/>
    <w:rsid w:val="00373205"/>
    <w:rsid w:val="00373248"/>
    <w:rsid w:val="00374731"/>
    <w:rsid w:val="0037567C"/>
    <w:rsid w:val="00375FFD"/>
    <w:rsid w:val="00376E50"/>
    <w:rsid w:val="003770C7"/>
    <w:rsid w:val="0038082D"/>
    <w:rsid w:val="003818BA"/>
    <w:rsid w:val="00381FA8"/>
    <w:rsid w:val="00382CD2"/>
    <w:rsid w:val="003840B9"/>
    <w:rsid w:val="003855F6"/>
    <w:rsid w:val="00386F06"/>
    <w:rsid w:val="003900E3"/>
    <w:rsid w:val="003910A1"/>
    <w:rsid w:val="003910DC"/>
    <w:rsid w:val="003919F9"/>
    <w:rsid w:val="00391CC7"/>
    <w:rsid w:val="00392741"/>
    <w:rsid w:val="00392B14"/>
    <w:rsid w:val="00392C54"/>
    <w:rsid w:val="00394ACA"/>
    <w:rsid w:val="0039529D"/>
    <w:rsid w:val="003969A1"/>
    <w:rsid w:val="00396D87"/>
    <w:rsid w:val="00397AD4"/>
    <w:rsid w:val="003A085B"/>
    <w:rsid w:val="003A15E1"/>
    <w:rsid w:val="003A1782"/>
    <w:rsid w:val="003A3AFF"/>
    <w:rsid w:val="003A3D09"/>
    <w:rsid w:val="003A3ED5"/>
    <w:rsid w:val="003A5155"/>
    <w:rsid w:val="003A5C1F"/>
    <w:rsid w:val="003A5E99"/>
    <w:rsid w:val="003B06BA"/>
    <w:rsid w:val="003B0FB4"/>
    <w:rsid w:val="003B12F3"/>
    <w:rsid w:val="003B3976"/>
    <w:rsid w:val="003B3BAE"/>
    <w:rsid w:val="003B417E"/>
    <w:rsid w:val="003B6657"/>
    <w:rsid w:val="003B688E"/>
    <w:rsid w:val="003B6BD6"/>
    <w:rsid w:val="003C0F43"/>
    <w:rsid w:val="003C16CE"/>
    <w:rsid w:val="003C1FC3"/>
    <w:rsid w:val="003C29AC"/>
    <w:rsid w:val="003C38B5"/>
    <w:rsid w:val="003C3BBB"/>
    <w:rsid w:val="003C40EA"/>
    <w:rsid w:val="003C5D99"/>
    <w:rsid w:val="003C623D"/>
    <w:rsid w:val="003C6D16"/>
    <w:rsid w:val="003C6EE8"/>
    <w:rsid w:val="003C7813"/>
    <w:rsid w:val="003C7BE0"/>
    <w:rsid w:val="003D0CDC"/>
    <w:rsid w:val="003D1C07"/>
    <w:rsid w:val="003D2205"/>
    <w:rsid w:val="003D31DC"/>
    <w:rsid w:val="003D5C7D"/>
    <w:rsid w:val="003D619E"/>
    <w:rsid w:val="003D6EE6"/>
    <w:rsid w:val="003E1186"/>
    <w:rsid w:val="003E207F"/>
    <w:rsid w:val="003E2B20"/>
    <w:rsid w:val="003E2B33"/>
    <w:rsid w:val="003E4234"/>
    <w:rsid w:val="003E5215"/>
    <w:rsid w:val="003E5CAC"/>
    <w:rsid w:val="003E6BB3"/>
    <w:rsid w:val="003E73FF"/>
    <w:rsid w:val="003F0789"/>
    <w:rsid w:val="003F2D49"/>
    <w:rsid w:val="003F3AD0"/>
    <w:rsid w:val="003F4214"/>
    <w:rsid w:val="003F4E5B"/>
    <w:rsid w:val="003F51C4"/>
    <w:rsid w:val="003F53BE"/>
    <w:rsid w:val="003F5744"/>
    <w:rsid w:val="003F6FF9"/>
    <w:rsid w:val="00401882"/>
    <w:rsid w:val="00401CBC"/>
    <w:rsid w:val="0040202F"/>
    <w:rsid w:val="004024A7"/>
    <w:rsid w:val="00402536"/>
    <w:rsid w:val="00402B1D"/>
    <w:rsid w:val="00402BE7"/>
    <w:rsid w:val="00405FF5"/>
    <w:rsid w:val="00406311"/>
    <w:rsid w:val="004071BF"/>
    <w:rsid w:val="004100C8"/>
    <w:rsid w:val="00412780"/>
    <w:rsid w:val="00412ACE"/>
    <w:rsid w:val="00413D48"/>
    <w:rsid w:val="00416F19"/>
    <w:rsid w:val="00417B0B"/>
    <w:rsid w:val="0042004C"/>
    <w:rsid w:val="004234DB"/>
    <w:rsid w:val="00423DEC"/>
    <w:rsid w:val="00424058"/>
    <w:rsid w:val="004271D8"/>
    <w:rsid w:val="00427C2A"/>
    <w:rsid w:val="00427F0F"/>
    <w:rsid w:val="00430027"/>
    <w:rsid w:val="004305A6"/>
    <w:rsid w:val="00430D4C"/>
    <w:rsid w:val="00431249"/>
    <w:rsid w:val="0043237B"/>
    <w:rsid w:val="00432A54"/>
    <w:rsid w:val="00434C19"/>
    <w:rsid w:val="00435137"/>
    <w:rsid w:val="0043605A"/>
    <w:rsid w:val="00436916"/>
    <w:rsid w:val="00437EA5"/>
    <w:rsid w:val="00442223"/>
    <w:rsid w:val="00442534"/>
    <w:rsid w:val="00444C2A"/>
    <w:rsid w:val="00445BA2"/>
    <w:rsid w:val="00445BD4"/>
    <w:rsid w:val="00445E1C"/>
    <w:rsid w:val="00445EE0"/>
    <w:rsid w:val="0045065A"/>
    <w:rsid w:val="00450810"/>
    <w:rsid w:val="004516C0"/>
    <w:rsid w:val="00451AF4"/>
    <w:rsid w:val="004529A9"/>
    <w:rsid w:val="0045559C"/>
    <w:rsid w:val="0045593D"/>
    <w:rsid w:val="00455B62"/>
    <w:rsid w:val="004570CF"/>
    <w:rsid w:val="004611A3"/>
    <w:rsid w:val="0046304B"/>
    <w:rsid w:val="00465494"/>
    <w:rsid w:val="00465838"/>
    <w:rsid w:val="004659D8"/>
    <w:rsid w:val="00465C26"/>
    <w:rsid w:val="00465C68"/>
    <w:rsid w:val="00466280"/>
    <w:rsid w:val="00467145"/>
    <w:rsid w:val="00470BF6"/>
    <w:rsid w:val="004714A2"/>
    <w:rsid w:val="004714AE"/>
    <w:rsid w:val="00472F57"/>
    <w:rsid w:val="00473EF8"/>
    <w:rsid w:val="00476310"/>
    <w:rsid w:val="00477144"/>
    <w:rsid w:val="0047722A"/>
    <w:rsid w:val="00477D82"/>
    <w:rsid w:val="004810BF"/>
    <w:rsid w:val="004814B3"/>
    <w:rsid w:val="0048172D"/>
    <w:rsid w:val="00481ECA"/>
    <w:rsid w:val="00482102"/>
    <w:rsid w:val="00482457"/>
    <w:rsid w:val="00483F99"/>
    <w:rsid w:val="004843D8"/>
    <w:rsid w:val="00485255"/>
    <w:rsid w:val="0048621C"/>
    <w:rsid w:val="0048643C"/>
    <w:rsid w:val="00487207"/>
    <w:rsid w:val="0048778F"/>
    <w:rsid w:val="004878A1"/>
    <w:rsid w:val="00487B1D"/>
    <w:rsid w:val="0049144E"/>
    <w:rsid w:val="00491E83"/>
    <w:rsid w:val="00492129"/>
    <w:rsid w:val="0049459F"/>
    <w:rsid w:val="00494E73"/>
    <w:rsid w:val="0049532F"/>
    <w:rsid w:val="004964B8"/>
    <w:rsid w:val="004964DB"/>
    <w:rsid w:val="00496DF4"/>
    <w:rsid w:val="0049705B"/>
    <w:rsid w:val="004A0228"/>
    <w:rsid w:val="004A38DD"/>
    <w:rsid w:val="004A3F42"/>
    <w:rsid w:val="004A4123"/>
    <w:rsid w:val="004A4486"/>
    <w:rsid w:val="004A4970"/>
    <w:rsid w:val="004A5086"/>
    <w:rsid w:val="004A661E"/>
    <w:rsid w:val="004A7205"/>
    <w:rsid w:val="004B2198"/>
    <w:rsid w:val="004B43AE"/>
    <w:rsid w:val="004B60C8"/>
    <w:rsid w:val="004B7037"/>
    <w:rsid w:val="004C10F7"/>
    <w:rsid w:val="004C30ED"/>
    <w:rsid w:val="004C674F"/>
    <w:rsid w:val="004C7F59"/>
    <w:rsid w:val="004D1147"/>
    <w:rsid w:val="004D14FE"/>
    <w:rsid w:val="004D1756"/>
    <w:rsid w:val="004D35B9"/>
    <w:rsid w:val="004D5675"/>
    <w:rsid w:val="004D5714"/>
    <w:rsid w:val="004D6CC0"/>
    <w:rsid w:val="004D7BF0"/>
    <w:rsid w:val="004E04A9"/>
    <w:rsid w:val="004E1123"/>
    <w:rsid w:val="004E196D"/>
    <w:rsid w:val="004E251C"/>
    <w:rsid w:val="004E413C"/>
    <w:rsid w:val="004E549D"/>
    <w:rsid w:val="004E5FD2"/>
    <w:rsid w:val="004E7B38"/>
    <w:rsid w:val="004F2097"/>
    <w:rsid w:val="004F25C1"/>
    <w:rsid w:val="004F5150"/>
    <w:rsid w:val="004F612E"/>
    <w:rsid w:val="004F6492"/>
    <w:rsid w:val="004F750C"/>
    <w:rsid w:val="004F7EB9"/>
    <w:rsid w:val="0050037C"/>
    <w:rsid w:val="00501671"/>
    <w:rsid w:val="005035B1"/>
    <w:rsid w:val="00503D6E"/>
    <w:rsid w:val="00504AE9"/>
    <w:rsid w:val="00505678"/>
    <w:rsid w:val="00505B60"/>
    <w:rsid w:val="005109F7"/>
    <w:rsid w:val="00512DAF"/>
    <w:rsid w:val="005141DE"/>
    <w:rsid w:val="00515779"/>
    <w:rsid w:val="0051614A"/>
    <w:rsid w:val="00516C52"/>
    <w:rsid w:val="0051710D"/>
    <w:rsid w:val="00521306"/>
    <w:rsid w:val="00523639"/>
    <w:rsid w:val="005255E8"/>
    <w:rsid w:val="00525A0A"/>
    <w:rsid w:val="005266D2"/>
    <w:rsid w:val="00526F09"/>
    <w:rsid w:val="00530DEE"/>
    <w:rsid w:val="00533FE6"/>
    <w:rsid w:val="00536A19"/>
    <w:rsid w:val="00536AEC"/>
    <w:rsid w:val="005414A3"/>
    <w:rsid w:val="00544897"/>
    <w:rsid w:val="00544A81"/>
    <w:rsid w:val="0054638E"/>
    <w:rsid w:val="005468A5"/>
    <w:rsid w:val="00547561"/>
    <w:rsid w:val="00547B21"/>
    <w:rsid w:val="00550542"/>
    <w:rsid w:val="00550C2A"/>
    <w:rsid w:val="00550DEF"/>
    <w:rsid w:val="005525BC"/>
    <w:rsid w:val="005526AD"/>
    <w:rsid w:val="005530C5"/>
    <w:rsid w:val="005538E6"/>
    <w:rsid w:val="00554393"/>
    <w:rsid w:val="0055607D"/>
    <w:rsid w:val="00556562"/>
    <w:rsid w:val="00560255"/>
    <w:rsid w:val="0056028E"/>
    <w:rsid w:val="005611F8"/>
    <w:rsid w:val="00561687"/>
    <w:rsid w:val="00562ABE"/>
    <w:rsid w:val="00562C24"/>
    <w:rsid w:val="00562E63"/>
    <w:rsid w:val="005633AE"/>
    <w:rsid w:val="00566D61"/>
    <w:rsid w:val="00567316"/>
    <w:rsid w:val="00567C09"/>
    <w:rsid w:val="00570042"/>
    <w:rsid w:val="005700D0"/>
    <w:rsid w:val="00570C28"/>
    <w:rsid w:val="005721CF"/>
    <w:rsid w:val="00572284"/>
    <w:rsid w:val="005737A3"/>
    <w:rsid w:val="00573E6D"/>
    <w:rsid w:val="0057455E"/>
    <w:rsid w:val="005760EA"/>
    <w:rsid w:val="005763DF"/>
    <w:rsid w:val="005763EC"/>
    <w:rsid w:val="005777E3"/>
    <w:rsid w:val="00577AC1"/>
    <w:rsid w:val="00580357"/>
    <w:rsid w:val="0058072E"/>
    <w:rsid w:val="0058186F"/>
    <w:rsid w:val="00583C39"/>
    <w:rsid w:val="00585E2C"/>
    <w:rsid w:val="005868D1"/>
    <w:rsid w:val="005909CF"/>
    <w:rsid w:val="00590F00"/>
    <w:rsid w:val="00591C09"/>
    <w:rsid w:val="00591E71"/>
    <w:rsid w:val="00595760"/>
    <w:rsid w:val="00595B55"/>
    <w:rsid w:val="005964AA"/>
    <w:rsid w:val="0059718D"/>
    <w:rsid w:val="005A080A"/>
    <w:rsid w:val="005A0D41"/>
    <w:rsid w:val="005A2FB5"/>
    <w:rsid w:val="005A65D0"/>
    <w:rsid w:val="005A7EF5"/>
    <w:rsid w:val="005B01DD"/>
    <w:rsid w:val="005B01E2"/>
    <w:rsid w:val="005B065A"/>
    <w:rsid w:val="005B097B"/>
    <w:rsid w:val="005B1357"/>
    <w:rsid w:val="005B136F"/>
    <w:rsid w:val="005B4041"/>
    <w:rsid w:val="005B409A"/>
    <w:rsid w:val="005B41A4"/>
    <w:rsid w:val="005B6471"/>
    <w:rsid w:val="005B7885"/>
    <w:rsid w:val="005C02BD"/>
    <w:rsid w:val="005C042B"/>
    <w:rsid w:val="005C189D"/>
    <w:rsid w:val="005C1E7A"/>
    <w:rsid w:val="005C20A2"/>
    <w:rsid w:val="005C36A7"/>
    <w:rsid w:val="005C4033"/>
    <w:rsid w:val="005C4150"/>
    <w:rsid w:val="005C51DD"/>
    <w:rsid w:val="005C5F30"/>
    <w:rsid w:val="005C6A51"/>
    <w:rsid w:val="005D0D69"/>
    <w:rsid w:val="005D189E"/>
    <w:rsid w:val="005D1CC2"/>
    <w:rsid w:val="005D1D90"/>
    <w:rsid w:val="005D45EF"/>
    <w:rsid w:val="005E02FD"/>
    <w:rsid w:val="005E05BB"/>
    <w:rsid w:val="005E126E"/>
    <w:rsid w:val="005E1D0C"/>
    <w:rsid w:val="005E33A0"/>
    <w:rsid w:val="005E5120"/>
    <w:rsid w:val="005E78BB"/>
    <w:rsid w:val="005E7FE1"/>
    <w:rsid w:val="005F03FB"/>
    <w:rsid w:val="005F04A3"/>
    <w:rsid w:val="005F060E"/>
    <w:rsid w:val="005F0C2C"/>
    <w:rsid w:val="005F0D64"/>
    <w:rsid w:val="005F0E4F"/>
    <w:rsid w:val="005F4C6C"/>
    <w:rsid w:val="005F5305"/>
    <w:rsid w:val="005F62E2"/>
    <w:rsid w:val="005F749D"/>
    <w:rsid w:val="005F7915"/>
    <w:rsid w:val="00600295"/>
    <w:rsid w:val="006012F0"/>
    <w:rsid w:val="00601595"/>
    <w:rsid w:val="00602E9F"/>
    <w:rsid w:val="006036DD"/>
    <w:rsid w:val="00604140"/>
    <w:rsid w:val="0060435E"/>
    <w:rsid w:val="00606909"/>
    <w:rsid w:val="00607BF1"/>
    <w:rsid w:val="00610020"/>
    <w:rsid w:val="00610515"/>
    <w:rsid w:val="0061162B"/>
    <w:rsid w:val="00612159"/>
    <w:rsid w:val="00612AF9"/>
    <w:rsid w:val="00612EA6"/>
    <w:rsid w:val="00613B98"/>
    <w:rsid w:val="00614FC2"/>
    <w:rsid w:val="006152DC"/>
    <w:rsid w:val="00615DC6"/>
    <w:rsid w:val="00617999"/>
    <w:rsid w:val="0062112F"/>
    <w:rsid w:val="00622D51"/>
    <w:rsid w:val="00626455"/>
    <w:rsid w:val="00626A1F"/>
    <w:rsid w:val="00627800"/>
    <w:rsid w:val="006278FC"/>
    <w:rsid w:val="0063095F"/>
    <w:rsid w:val="00630D4D"/>
    <w:rsid w:val="00630FC8"/>
    <w:rsid w:val="00631DBC"/>
    <w:rsid w:val="00632A74"/>
    <w:rsid w:val="00632ED8"/>
    <w:rsid w:val="00633C6C"/>
    <w:rsid w:val="00634483"/>
    <w:rsid w:val="00634A44"/>
    <w:rsid w:val="006356CD"/>
    <w:rsid w:val="00635820"/>
    <w:rsid w:val="00636681"/>
    <w:rsid w:val="00636E5C"/>
    <w:rsid w:val="006372D4"/>
    <w:rsid w:val="00637F91"/>
    <w:rsid w:val="00643BA6"/>
    <w:rsid w:val="0064601E"/>
    <w:rsid w:val="00647033"/>
    <w:rsid w:val="006517C8"/>
    <w:rsid w:val="00652860"/>
    <w:rsid w:val="00653D93"/>
    <w:rsid w:val="00654B4D"/>
    <w:rsid w:val="00655E3A"/>
    <w:rsid w:val="00657898"/>
    <w:rsid w:val="006606E4"/>
    <w:rsid w:val="00661A1B"/>
    <w:rsid w:val="00661A7A"/>
    <w:rsid w:val="00662C73"/>
    <w:rsid w:val="00662FDC"/>
    <w:rsid w:val="00663BBF"/>
    <w:rsid w:val="00663EB3"/>
    <w:rsid w:val="00664256"/>
    <w:rsid w:val="00664405"/>
    <w:rsid w:val="00666154"/>
    <w:rsid w:val="00666392"/>
    <w:rsid w:val="006665C4"/>
    <w:rsid w:val="00667A85"/>
    <w:rsid w:val="0067005C"/>
    <w:rsid w:val="006703B1"/>
    <w:rsid w:val="00670DE9"/>
    <w:rsid w:val="00670FB9"/>
    <w:rsid w:val="00671BA1"/>
    <w:rsid w:val="00671FE4"/>
    <w:rsid w:val="006727D0"/>
    <w:rsid w:val="006731B7"/>
    <w:rsid w:val="0067322D"/>
    <w:rsid w:val="0067540D"/>
    <w:rsid w:val="00676FC8"/>
    <w:rsid w:val="00677397"/>
    <w:rsid w:val="0067750F"/>
    <w:rsid w:val="00677973"/>
    <w:rsid w:val="00677AFA"/>
    <w:rsid w:val="00677E6C"/>
    <w:rsid w:val="00683393"/>
    <w:rsid w:val="006838A1"/>
    <w:rsid w:val="0068449D"/>
    <w:rsid w:val="00685295"/>
    <w:rsid w:val="006852C5"/>
    <w:rsid w:val="00685AE1"/>
    <w:rsid w:val="006873DA"/>
    <w:rsid w:val="006875D3"/>
    <w:rsid w:val="00687994"/>
    <w:rsid w:val="00687C15"/>
    <w:rsid w:val="00690472"/>
    <w:rsid w:val="00690E46"/>
    <w:rsid w:val="006923D9"/>
    <w:rsid w:val="00692E9C"/>
    <w:rsid w:val="00694CCF"/>
    <w:rsid w:val="00694D06"/>
    <w:rsid w:val="00697867"/>
    <w:rsid w:val="006979F7"/>
    <w:rsid w:val="006A1F45"/>
    <w:rsid w:val="006A2C28"/>
    <w:rsid w:val="006A4655"/>
    <w:rsid w:val="006A5970"/>
    <w:rsid w:val="006A6FE4"/>
    <w:rsid w:val="006A73EF"/>
    <w:rsid w:val="006B0045"/>
    <w:rsid w:val="006B2B3C"/>
    <w:rsid w:val="006B3016"/>
    <w:rsid w:val="006B311C"/>
    <w:rsid w:val="006B33C9"/>
    <w:rsid w:val="006B3C61"/>
    <w:rsid w:val="006B3E8F"/>
    <w:rsid w:val="006B51BC"/>
    <w:rsid w:val="006B540B"/>
    <w:rsid w:val="006B69A1"/>
    <w:rsid w:val="006B6CE7"/>
    <w:rsid w:val="006B6E35"/>
    <w:rsid w:val="006C0C0A"/>
    <w:rsid w:val="006C15C4"/>
    <w:rsid w:val="006C1D9D"/>
    <w:rsid w:val="006C2651"/>
    <w:rsid w:val="006C28D0"/>
    <w:rsid w:val="006C292C"/>
    <w:rsid w:val="006C325E"/>
    <w:rsid w:val="006C3364"/>
    <w:rsid w:val="006C5F8E"/>
    <w:rsid w:val="006C6C5C"/>
    <w:rsid w:val="006C7038"/>
    <w:rsid w:val="006C7D95"/>
    <w:rsid w:val="006D25A6"/>
    <w:rsid w:val="006D3E4E"/>
    <w:rsid w:val="006D402D"/>
    <w:rsid w:val="006D5230"/>
    <w:rsid w:val="006D5A49"/>
    <w:rsid w:val="006D752A"/>
    <w:rsid w:val="006D76E5"/>
    <w:rsid w:val="006D7BF2"/>
    <w:rsid w:val="006E200B"/>
    <w:rsid w:val="006E284A"/>
    <w:rsid w:val="006E2990"/>
    <w:rsid w:val="006E55ED"/>
    <w:rsid w:val="006E6B7F"/>
    <w:rsid w:val="006E73EF"/>
    <w:rsid w:val="006E7603"/>
    <w:rsid w:val="006F166D"/>
    <w:rsid w:val="006F273A"/>
    <w:rsid w:val="006F2E4D"/>
    <w:rsid w:val="006F31FA"/>
    <w:rsid w:val="006F38FE"/>
    <w:rsid w:val="006F39A7"/>
    <w:rsid w:val="006F3E9E"/>
    <w:rsid w:val="00700A48"/>
    <w:rsid w:val="00701720"/>
    <w:rsid w:val="00701D17"/>
    <w:rsid w:val="00702AA6"/>
    <w:rsid w:val="007041C8"/>
    <w:rsid w:val="007058B9"/>
    <w:rsid w:val="00706F92"/>
    <w:rsid w:val="0070764C"/>
    <w:rsid w:val="00707B90"/>
    <w:rsid w:val="00710693"/>
    <w:rsid w:val="00710FE2"/>
    <w:rsid w:val="0071133E"/>
    <w:rsid w:val="007114C5"/>
    <w:rsid w:val="00711D27"/>
    <w:rsid w:val="007135E8"/>
    <w:rsid w:val="00714D4D"/>
    <w:rsid w:val="00715317"/>
    <w:rsid w:val="0071748B"/>
    <w:rsid w:val="00717CE1"/>
    <w:rsid w:val="0072106B"/>
    <w:rsid w:val="00721E38"/>
    <w:rsid w:val="00722004"/>
    <w:rsid w:val="0072265E"/>
    <w:rsid w:val="00722AE0"/>
    <w:rsid w:val="00722EEE"/>
    <w:rsid w:val="00724162"/>
    <w:rsid w:val="00724470"/>
    <w:rsid w:val="00725957"/>
    <w:rsid w:val="0072610D"/>
    <w:rsid w:val="007265EE"/>
    <w:rsid w:val="0072722A"/>
    <w:rsid w:val="00727B3B"/>
    <w:rsid w:val="00730B6D"/>
    <w:rsid w:val="00730EA6"/>
    <w:rsid w:val="00731A54"/>
    <w:rsid w:val="007336AA"/>
    <w:rsid w:val="00734116"/>
    <w:rsid w:val="007343C6"/>
    <w:rsid w:val="007354C8"/>
    <w:rsid w:val="0073569E"/>
    <w:rsid w:val="00737134"/>
    <w:rsid w:val="0074180A"/>
    <w:rsid w:val="00741A8F"/>
    <w:rsid w:val="00741A9B"/>
    <w:rsid w:val="00743448"/>
    <w:rsid w:val="007451A6"/>
    <w:rsid w:val="007455E2"/>
    <w:rsid w:val="0074679E"/>
    <w:rsid w:val="00746B8D"/>
    <w:rsid w:val="00747B6A"/>
    <w:rsid w:val="00750AC4"/>
    <w:rsid w:val="00750CA2"/>
    <w:rsid w:val="00751636"/>
    <w:rsid w:val="00754CD6"/>
    <w:rsid w:val="00754DCA"/>
    <w:rsid w:val="007554C2"/>
    <w:rsid w:val="00756294"/>
    <w:rsid w:val="00757C4D"/>
    <w:rsid w:val="007604BB"/>
    <w:rsid w:val="00761415"/>
    <w:rsid w:val="007623C2"/>
    <w:rsid w:val="00762EB0"/>
    <w:rsid w:val="00763503"/>
    <w:rsid w:val="0076443B"/>
    <w:rsid w:val="0076507C"/>
    <w:rsid w:val="0076678A"/>
    <w:rsid w:val="00767CC1"/>
    <w:rsid w:val="0077044D"/>
    <w:rsid w:val="0077191E"/>
    <w:rsid w:val="007732D8"/>
    <w:rsid w:val="007733FA"/>
    <w:rsid w:val="00773EB8"/>
    <w:rsid w:val="00774264"/>
    <w:rsid w:val="00774A5D"/>
    <w:rsid w:val="007756EF"/>
    <w:rsid w:val="00776064"/>
    <w:rsid w:val="0078212A"/>
    <w:rsid w:val="00782DFB"/>
    <w:rsid w:val="00784223"/>
    <w:rsid w:val="00785232"/>
    <w:rsid w:val="00785CFA"/>
    <w:rsid w:val="00785D81"/>
    <w:rsid w:val="00785DC4"/>
    <w:rsid w:val="00786F34"/>
    <w:rsid w:val="00790BFD"/>
    <w:rsid w:val="00790FC1"/>
    <w:rsid w:val="00792F9B"/>
    <w:rsid w:val="0079434A"/>
    <w:rsid w:val="00795794"/>
    <w:rsid w:val="00795979"/>
    <w:rsid w:val="00796D39"/>
    <w:rsid w:val="007A21EB"/>
    <w:rsid w:val="007A3D67"/>
    <w:rsid w:val="007A51D2"/>
    <w:rsid w:val="007A555F"/>
    <w:rsid w:val="007A5BEA"/>
    <w:rsid w:val="007A6964"/>
    <w:rsid w:val="007A7C20"/>
    <w:rsid w:val="007B047D"/>
    <w:rsid w:val="007B05C6"/>
    <w:rsid w:val="007B14B1"/>
    <w:rsid w:val="007B7B66"/>
    <w:rsid w:val="007C36C9"/>
    <w:rsid w:val="007C41B5"/>
    <w:rsid w:val="007C4B0F"/>
    <w:rsid w:val="007C757D"/>
    <w:rsid w:val="007D044A"/>
    <w:rsid w:val="007D1FFF"/>
    <w:rsid w:val="007D403A"/>
    <w:rsid w:val="007D5AAA"/>
    <w:rsid w:val="007D611F"/>
    <w:rsid w:val="007E01E4"/>
    <w:rsid w:val="007E0FDC"/>
    <w:rsid w:val="007E36F1"/>
    <w:rsid w:val="007E3795"/>
    <w:rsid w:val="007E4549"/>
    <w:rsid w:val="007E5BCD"/>
    <w:rsid w:val="007E6C73"/>
    <w:rsid w:val="007E6D81"/>
    <w:rsid w:val="007F13CB"/>
    <w:rsid w:val="007F1A2B"/>
    <w:rsid w:val="007F2DAD"/>
    <w:rsid w:val="007F334A"/>
    <w:rsid w:val="007F5716"/>
    <w:rsid w:val="007F5C64"/>
    <w:rsid w:val="007F5E73"/>
    <w:rsid w:val="007F6032"/>
    <w:rsid w:val="007F7107"/>
    <w:rsid w:val="0080042E"/>
    <w:rsid w:val="00802A7D"/>
    <w:rsid w:val="00802B93"/>
    <w:rsid w:val="00803C75"/>
    <w:rsid w:val="00806AFF"/>
    <w:rsid w:val="0081030F"/>
    <w:rsid w:val="00810FF9"/>
    <w:rsid w:val="0081279E"/>
    <w:rsid w:val="0082087D"/>
    <w:rsid w:val="00821B66"/>
    <w:rsid w:val="00821CE5"/>
    <w:rsid w:val="00821EB3"/>
    <w:rsid w:val="008244C0"/>
    <w:rsid w:val="008276B1"/>
    <w:rsid w:val="00827BAE"/>
    <w:rsid w:val="00831ED4"/>
    <w:rsid w:val="00832519"/>
    <w:rsid w:val="00833F46"/>
    <w:rsid w:val="00834CC4"/>
    <w:rsid w:val="00837E56"/>
    <w:rsid w:val="008406C3"/>
    <w:rsid w:val="008410DC"/>
    <w:rsid w:val="008410EF"/>
    <w:rsid w:val="00841255"/>
    <w:rsid w:val="00841912"/>
    <w:rsid w:val="00841C3F"/>
    <w:rsid w:val="00842933"/>
    <w:rsid w:val="00843951"/>
    <w:rsid w:val="0084404E"/>
    <w:rsid w:val="00845A5C"/>
    <w:rsid w:val="008468D4"/>
    <w:rsid w:val="00846FA6"/>
    <w:rsid w:val="00847EFC"/>
    <w:rsid w:val="008515B1"/>
    <w:rsid w:val="0085284B"/>
    <w:rsid w:val="00853ABF"/>
    <w:rsid w:val="0086082C"/>
    <w:rsid w:val="0086127D"/>
    <w:rsid w:val="0086157F"/>
    <w:rsid w:val="0086285D"/>
    <w:rsid w:val="00864ADC"/>
    <w:rsid w:val="0086670B"/>
    <w:rsid w:val="008674E6"/>
    <w:rsid w:val="008704B6"/>
    <w:rsid w:val="00870952"/>
    <w:rsid w:val="00870997"/>
    <w:rsid w:val="0087424F"/>
    <w:rsid w:val="0087466F"/>
    <w:rsid w:val="0087571E"/>
    <w:rsid w:val="00877E4C"/>
    <w:rsid w:val="00880153"/>
    <w:rsid w:val="008807A1"/>
    <w:rsid w:val="00880F97"/>
    <w:rsid w:val="0088133A"/>
    <w:rsid w:val="00881804"/>
    <w:rsid w:val="008818B5"/>
    <w:rsid w:val="00882AA9"/>
    <w:rsid w:val="0088323A"/>
    <w:rsid w:val="00883F5C"/>
    <w:rsid w:val="00884173"/>
    <w:rsid w:val="0088495C"/>
    <w:rsid w:val="008860C4"/>
    <w:rsid w:val="008866E8"/>
    <w:rsid w:val="00886762"/>
    <w:rsid w:val="008867B5"/>
    <w:rsid w:val="00886A55"/>
    <w:rsid w:val="008876A1"/>
    <w:rsid w:val="00890535"/>
    <w:rsid w:val="0089285E"/>
    <w:rsid w:val="0089359D"/>
    <w:rsid w:val="00893F36"/>
    <w:rsid w:val="0089436C"/>
    <w:rsid w:val="00894BE1"/>
    <w:rsid w:val="008956CD"/>
    <w:rsid w:val="00896379"/>
    <w:rsid w:val="008A0D83"/>
    <w:rsid w:val="008A1B59"/>
    <w:rsid w:val="008A6C71"/>
    <w:rsid w:val="008A77C9"/>
    <w:rsid w:val="008B11AA"/>
    <w:rsid w:val="008B15C5"/>
    <w:rsid w:val="008B33C9"/>
    <w:rsid w:val="008B45F0"/>
    <w:rsid w:val="008B6F83"/>
    <w:rsid w:val="008B72B1"/>
    <w:rsid w:val="008B7B74"/>
    <w:rsid w:val="008B7FD1"/>
    <w:rsid w:val="008C1071"/>
    <w:rsid w:val="008C3F77"/>
    <w:rsid w:val="008C4508"/>
    <w:rsid w:val="008C66CB"/>
    <w:rsid w:val="008C7B98"/>
    <w:rsid w:val="008D05B3"/>
    <w:rsid w:val="008D06E4"/>
    <w:rsid w:val="008D0E95"/>
    <w:rsid w:val="008D172F"/>
    <w:rsid w:val="008D2F3F"/>
    <w:rsid w:val="008D3452"/>
    <w:rsid w:val="008D365C"/>
    <w:rsid w:val="008D3E6A"/>
    <w:rsid w:val="008D4578"/>
    <w:rsid w:val="008D612A"/>
    <w:rsid w:val="008D6EB6"/>
    <w:rsid w:val="008D7CDF"/>
    <w:rsid w:val="008E132C"/>
    <w:rsid w:val="008E2CC0"/>
    <w:rsid w:val="008E3618"/>
    <w:rsid w:val="008E6CCE"/>
    <w:rsid w:val="008F0518"/>
    <w:rsid w:val="008F195B"/>
    <w:rsid w:val="008F2226"/>
    <w:rsid w:val="008F324D"/>
    <w:rsid w:val="008F5F24"/>
    <w:rsid w:val="008F638F"/>
    <w:rsid w:val="008F681D"/>
    <w:rsid w:val="008F6B5D"/>
    <w:rsid w:val="00900573"/>
    <w:rsid w:val="009009C4"/>
    <w:rsid w:val="00900D7F"/>
    <w:rsid w:val="00901E76"/>
    <w:rsid w:val="009020DB"/>
    <w:rsid w:val="009030BF"/>
    <w:rsid w:val="00904ADD"/>
    <w:rsid w:val="00904E97"/>
    <w:rsid w:val="00905166"/>
    <w:rsid w:val="00906694"/>
    <w:rsid w:val="00911A66"/>
    <w:rsid w:val="00913967"/>
    <w:rsid w:val="00914152"/>
    <w:rsid w:val="00914368"/>
    <w:rsid w:val="009147D1"/>
    <w:rsid w:val="00914F3E"/>
    <w:rsid w:val="009155C2"/>
    <w:rsid w:val="00915FDB"/>
    <w:rsid w:val="0091689F"/>
    <w:rsid w:val="0091722F"/>
    <w:rsid w:val="009205E9"/>
    <w:rsid w:val="009208F9"/>
    <w:rsid w:val="00920E50"/>
    <w:rsid w:val="009223C2"/>
    <w:rsid w:val="00923257"/>
    <w:rsid w:val="00923CA9"/>
    <w:rsid w:val="009257D7"/>
    <w:rsid w:val="009262E7"/>
    <w:rsid w:val="00926737"/>
    <w:rsid w:val="0092691B"/>
    <w:rsid w:val="009273F8"/>
    <w:rsid w:val="00927930"/>
    <w:rsid w:val="00927F7E"/>
    <w:rsid w:val="0093026C"/>
    <w:rsid w:val="00930BFD"/>
    <w:rsid w:val="00931076"/>
    <w:rsid w:val="00931612"/>
    <w:rsid w:val="00931730"/>
    <w:rsid w:val="009323BA"/>
    <w:rsid w:val="00933954"/>
    <w:rsid w:val="009345D9"/>
    <w:rsid w:val="0093488C"/>
    <w:rsid w:val="00934B15"/>
    <w:rsid w:val="00934C3F"/>
    <w:rsid w:val="009376B2"/>
    <w:rsid w:val="009376BE"/>
    <w:rsid w:val="00937D91"/>
    <w:rsid w:val="00940B9F"/>
    <w:rsid w:val="00941DB9"/>
    <w:rsid w:val="0094263C"/>
    <w:rsid w:val="0094274D"/>
    <w:rsid w:val="00942B62"/>
    <w:rsid w:val="00944213"/>
    <w:rsid w:val="0094452E"/>
    <w:rsid w:val="00944872"/>
    <w:rsid w:val="00945E40"/>
    <w:rsid w:val="00945F7F"/>
    <w:rsid w:val="0094662A"/>
    <w:rsid w:val="00947242"/>
    <w:rsid w:val="009506B1"/>
    <w:rsid w:val="00952CC7"/>
    <w:rsid w:val="009532FD"/>
    <w:rsid w:val="009544D6"/>
    <w:rsid w:val="00955A61"/>
    <w:rsid w:val="00956A0C"/>
    <w:rsid w:val="00956BD9"/>
    <w:rsid w:val="009603FD"/>
    <w:rsid w:val="00961CD5"/>
    <w:rsid w:val="00961DAB"/>
    <w:rsid w:val="00962300"/>
    <w:rsid w:val="00962489"/>
    <w:rsid w:val="0096382D"/>
    <w:rsid w:val="00965D0C"/>
    <w:rsid w:val="00966067"/>
    <w:rsid w:val="00966505"/>
    <w:rsid w:val="0096667F"/>
    <w:rsid w:val="00966883"/>
    <w:rsid w:val="0097194C"/>
    <w:rsid w:val="009723A3"/>
    <w:rsid w:val="009730EC"/>
    <w:rsid w:val="00973203"/>
    <w:rsid w:val="009741F5"/>
    <w:rsid w:val="009744A5"/>
    <w:rsid w:val="0097737B"/>
    <w:rsid w:val="00977860"/>
    <w:rsid w:val="00980814"/>
    <w:rsid w:val="00980BD6"/>
    <w:rsid w:val="00983609"/>
    <w:rsid w:val="00984C70"/>
    <w:rsid w:val="009857A6"/>
    <w:rsid w:val="00985857"/>
    <w:rsid w:val="009866EF"/>
    <w:rsid w:val="00986756"/>
    <w:rsid w:val="00990C2C"/>
    <w:rsid w:val="009928E0"/>
    <w:rsid w:val="00993AEE"/>
    <w:rsid w:val="00997F81"/>
    <w:rsid w:val="009A2B81"/>
    <w:rsid w:val="009A4249"/>
    <w:rsid w:val="009A5C31"/>
    <w:rsid w:val="009A610F"/>
    <w:rsid w:val="009A740F"/>
    <w:rsid w:val="009B249D"/>
    <w:rsid w:val="009B2713"/>
    <w:rsid w:val="009B2BD4"/>
    <w:rsid w:val="009B2F26"/>
    <w:rsid w:val="009B3D80"/>
    <w:rsid w:val="009B405C"/>
    <w:rsid w:val="009B4B99"/>
    <w:rsid w:val="009B5029"/>
    <w:rsid w:val="009B6F34"/>
    <w:rsid w:val="009B719A"/>
    <w:rsid w:val="009B72C8"/>
    <w:rsid w:val="009C02EC"/>
    <w:rsid w:val="009C0FC4"/>
    <w:rsid w:val="009C1D00"/>
    <w:rsid w:val="009C2EC0"/>
    <w:rsid w:val="009C4949"/>
    <w:rsid w:val="009C74B1"/>
    <w:rsid w:val="009C77E2"/>
    <w:rsid w:val="009D29CA"/>
    <w:rsid w:val="009D46E6"/>
    <w:rsid w:val="009D541B"/>
    <w:rsid w:val="009D6D3D"/>
    <w:rsid w:val="009E0A9E"/>
    <w:rsid w:val="009E18F4"/>
    <w:rsid w:val="009E2E21"/>
    <w:rsid w:val="009E3044"/>
    <w:rsid w:val="009F1400"/>
    <w:rsid w:val="009F1FFF"/>
    <w:rsid w:val="009F228E"/>
    <w:rsid w:val="009F455E"/>
    <w:rsid w:val="009F5385"/>
    <w:rsid w:val="009F6050"/>
    <w:rsid w:val="009F696D"/>
    <w:rsid w:val="009F6BC6"/>
    <w:rsid w:val="00A0204E"/>
    <w:rsid w:val="00A041D6"/>
    <w:rsid w:val="00A050F7"/>
    <w:rsid w:val="00A05861"/>
    <w:rsid w:val="00A067F3"/>
    <w:rsid w:val="00A072B2"/>
    <w:rsid w:val="00A108D2"/>
    <w:rsid w:val="00A10BB9"/>
    <w:rsid w:val="00A11584"/>
    <w:rsid w:val="00A119F5"/>
    <w:rsid w:val="00A12369"/>
    <w:rsid w:val="00A12C03"/>
    <w:rsid w:val="00A12D4D"/>
    <w:rsid w:val="00A140B4"/>
    <w:rsid w:val="00A14C13"/>
    <w:rsid w:val="00A15ADD"/>
    <w:rsid w:val="00A17328"/>
    <w:rsid w:val="00A202EC"/>
    <w:rsid w:val="00A21D67"/>
    <w:rsid w:val="00A23956"/>
    <w:rsid w:val="00A23A20"/>
    <w:rsid w:val="00A23E95"/>
    <w:rsid w:val="00A2517C"/>
    <w:rsid w:val="00A25E90"/>
    <w:rsid w:val="00A26149"/>
    <w:rsid w:val="00A26514"/>
    <w:rsid w:val="00A268B9"/>
    <w:rsid w:val="00A2703A"/>
    <w:rsid w:val="00A273A7"/>
    <w:rsid w:val="00A278D0"/>
    <w:rsid w:val="00A27D7B"/>
    <w:rsid w:val="00A30952"/>
    <w:rsid w:val="00A310EB"/>
    <w:rsid w:val="00A32C32"/>
    <w:rsid w:val="00A32EAB"/>
    <w:rsid w:val="00A3361B"/>
    <w:rsid w:val="00A33D95"/>
    <w:rsid w:val="00A33DFF"/>
    <w:rsid w:val="00A34487"/>
    <w:rsid w:val="00A35115"/>
    <w:rsid w:val="00A361B8"/>
    <w:rsid w:val="00A36833"/>
    <w:rsid w:val="00A36858"/>
    <w:rsid w:val="00A4140C"/>
    <w:rsid w:val="00A42949"/>
    <w:rsid w:val="00A42B16"/>
    <w:rsid w:val="00A432DF"/>
    <w:rsid w:val="00A43C01"/>
    <w:rsid w:val="00A45158"/>
    <w:rsid w:val="00A458A7"/>
    <w:rsid w:val="00A46D86"/>
    <w:rsid w:val="00A47256"/>
    <w:rsid w:val="00A50256"/>
    <w:rsid w:val="00A50B78"/>
    <w:rsid w:val="00A5229F"/>
    <w:rsid w:val="00A52AE4"/>
    <w:rsid w:val="00A54755"/>
    <w:rsid w:val="00A54DB5"/>
    <w:rsid w:val="00A55082"/>
    <w:rsid w:val="00A554AB"/>
    <w:rsid w:val="00A60D58"/>
    <w:rsid w:val="00A62D2A"/>
    <w:rsid w:val="00A64C59"/>
    <w:rsid w:val="00A65783"/>
    <w:rsid w:val="00A659AF"/>
    <w:rsid w:val="00A67259"/>
    <w:rsid w:val="00A67389"/>
    <w:rsid w:val="00A70B15"/>
    <w:rsid w:val="00A70CCD"/>
    <w:rsid w:val="00A73AF6"/>
    <w:rsid w:val="00A73B87"/>
    <w:rsid w:val="00A74BA3"/>
    <w:rsid w:val="00A75363"/>
    <w:rsid w:val="00A7580B"/>
    <w:rsid w:val="00A75CB6"/>
    <w:rsid w:val="00A81367"/>
    <w:rsid w:val="00A82891"/>
    <w:rsid w:val="00A82999"/>
    <w:rsid w:val="00A83ED3"/>
    <w:rsid w:val="00A84DD1"/>
    <w:rsid w:val="00A85575"/>
    <w:rsid w:val="00A86268"/>
    <w:rsid w:val="00A8683A"/>
    <w:rsid w:val="00A86E6F"/>
    <w:rsid w:val="00A90A13"/>
    <w:rsid w:val="00A91E1E"/>
    <w:rsid w:val="00A92B53"/>
    <w:rsid w:val="00A93F0A"/>
    <w:rsid w:val="00A94164"/>
    <w:rsid w:val="00A9450C"/>
    <w:rsid w:val="00A94599"/>
    <w:rsid w:val="00A94FA6"/>
    <w:rsid w:val="00A95B9E"/>
    <w:rsid w:val="00AA09BF"/>
    <w:rsid w:val="00AA0B39"/>
    <w:rsid w:val="00AA1585"/>
    <w:rsid w:val="00AA18DE"/>
    <w:rsid w:val="00AA1D33"/>
    <w:rsid w:val="00AA24B8"/>
    <w:rsid w:val="00AA49A0"/>
    <w:rsid w:val="00AA6531"/>
    <w:rsid w:val="00AA6710"/>
    <w:rsid w:val="00AB0681"/>
    <w:rsid w:val="00AB0877"/>
    <w:rsid w:val="00AB0A80"/>
    <w:rsid w:val="00AB0C3B"/>
    <w:rsid w:val="00AB598B"/>
    <w:rsid w:val="00AB7E39"/>
    <w:rsid w:val="00AC1840"/>
    <w:rsid w:val="00AC230B"/>
    <w:rsid w:val="00AC43A4"/>
    <w:rsid w:val="00AC6C42"/>
    <w:rsid w:val="00AC7487"/>
    <w:rsid w:val="00AC7ECB"/>
    <w:rsid w:val="00AD0007"/>
    <w:rsid w:val="00AD059B"/>
    <w:rsid w:val="00AD1B3A"/>
    <w:rsid w:val="00AD2A4E"/>
    <w:rsid w:val="00AD3F2C"/>
    <w:rsid w:val="00AD44D5"/>
    <w:rsid w:val="00AD5373"/>
    <w:rsid w:val="00AD5376"/>
    <w:rsid w:val="00AD5CE1"/>
    <w:rsid w:val="00AD7A60"/>
    <w:rsid w:val="00AE1445"/>
    <w:rsid w:val="00AE1A57"/>
    <w:rsid w:val="00AE2A38"/>
    <w:rsid w:val="00AE3578"/>
    <w:rsid w:val="00AE560C"/>
    <w:rsid w:val="00AE71E5"/>
    <w:rsid w:val="00AE7783"/>
    <w:rsid w:val="00AF13FC"/>
    <w:rsid w:val="00AF23E5"/>
    <w:rsid w:val="00AF2946"/>
    <w:rsid w:val="00AF35E3"/>
    <w:rsid w:val="00AF5972"/>
    <w:rsid w:val="00AF5A59"/>
    <w:rsid w:val="00AF5B8C"/>
    <w:rsid w:val="00B018CB"/>
    <w:rsid w:val="00B02A7D"/>
    <w:rsid w:val="00B02DB0"/>
    <w:rsid w:val="00B0519B"/>
    <w:rsid w:val="00B052BA"/>
    <w:rsid w:val="00B05325"/>
    <w:rsid w:val="00B05504"/>
    <w:rsid w:val="00B05789"/>
    <w:rsid w:val="00B12613"/>
    <w:rsid w:val="00B12BA2"/>
    <w:rsid w:val="00B14D63"/>
    <w:rsid w:val="00B173E1"/>
    <w:rsid w:val="00B1746C"/>
    <w:rsid w:val="00B174BF"/>
    <w:rsid w:val="00B177C7"/>
    <w:rsid w:val="00B229D2"/>
    <w:rsid w:val="00B2421E"/>
    <w:rsid w:val="00B24491"/>
    <w:rsid w:val="00B258AD"/>
    <w:rsid w:val="00B27A00"/>
    <w:rsid w:val="00B309C3"/>
    <w:rsid w:val="00B30C6E"/>
    <w:rsid w:val="00B317C2"/>
    <w:rsid w:val="00B3276E"/>
    <w:rsid w:val="00B369AB"/>
    <w:rsid w:val="00B36BA4"/>
    <w:rsid w:val="00B3738B"/>
    <w:rsid w:val="00B41E27"/>
    <w:rsid w:val="00B424CE"/>
    <w:rsid w:val="00B440AD"/>
    <w:rsid w:val="00B451AF"/>
    <w:rsid w:val="00B453A7"/>
    <w:rsid w:val="00B45DE3"/>
    <w:rsid w:val="00B46C11"/>
    <w:rsid w:val="00B47FAC"/>
    <w:rsid w:val="00B5034D"/>
    <w:rsid w:val="00B53E7E"/>
    <w:rsid w:val="00B54AA1"/>
    <w:rsid w:val="00B54C66"/>
    <w:rsid w:val="00B54E11"/>
    <w:rsid w:val="00B55305"/>
    <w:rsid w:val="00B55385"/>
    <w:rsid w:val="00B55F70"/>
    <w:rsid w:val="00B56DBF"/>
    <w:rsid w:val="00B62A6B"/>
    <w:rsid w:val="00B62F73"/>
    <w:rsid w:val="00B63172"/>
    <w:rsid w:val="00B6342E"/>
    <w:rsid w:val="00B635EB"/>
    <w:rsid w:val="00B65C88"/>
    <w:rsid w:val="00B679D7"/>
    <w:rsid w:val="00B70B92"/>
    <w:rsid w:val="00B70DE2"/>
    <w:rsid w:val="00B7113F"/>
    <w:rsid w:val="00B7184E"/>
    <w:rsid w:val="00B72006"/>
    <w:rsid w:val="00B731DA"/>
    <w:rsid w:val="00B733A9"/>
    <w:rsid w:val="00B735A5"/>
    <w:rsid w:val="00B7659C"/>
    <w:rsid w:val="00B76D34"/>
    <w:rsid w:val="00B772AF"/>
    <w:rsid w:val="00B77AF7"/>
    <w:rsid w:val="00B803EF"/>
    <w:rsid w:val="00B83E02"/>
    <w:rsid w:val="00B841B6"/>
    <w:rsid w:val="00B84AF2"/>
    <w:rsid w:val="00B85CA7"/>
    <w:rsid w:val="00B85DD7"/>
    <w:rsid w:val="00B865A9"/>
    <w:rsid w:val="00B87C61"/>
    <w:rsid w:val="00B90190"/>
    <w:rsid w:val="00B92965"/>
    <w:rsid w:val="00B92FC6"/>
    <w:rsid w:val="00B947F0"/>
    <w:rsid w:val="00B95D8E"/>
    <w:rsid w:val="00B9634A"/>
    <w:rsid w:val="00B967AF"/>
    <w:rsid w:val="00B967FB"/>
    <w:rsid w:val="00BA1D8F"/>
    <w:rsid w:val="00BA2DDB"/>
    <w:rsid w:val="00BA46E0"/>
    <w:rsid w:val="00BA5606"/>
    <w:rsid w:val="00BA671F"/>
    <w:rsid w:val="00BA6EC4"/>
    <w:rsid w:val="00BA726F"/>
    <w:rsid w:val="00BA73B6"/>
    <w:rsid w:val="00BA7709"/>
    <w:rsid w:val="00BA7BAE"/>
    <w:rsid w:val="00BB0AC5"/>
    <w:rsid w:val="00BB0C47"/>
    <w:rsid w:val="00BB1BB4"/>
    <w:rsid w:val="00BB1D52"/>
    <w:rsid w:val="00BB4667"/>
    <w:rsid w:val="00BB4FCD"/>
    <w:rsid w:val="00BC1CC8"/>
    <w:rsid w:val="00BC3C56"/>
    <w:rsid w:val="00BC3FDC"/>
    <w:rsid w:val="00BC485F"/>
    <w:rsid w:val="00BC501F"/>
    <w:rsid w:val="00BC6D9C"/>
    <w:rsid w:val="00BD05EB"/>
    <w:rsid w:val="00BD0C3B"/>
    <w:rsid w:val="00BD13EA"/>
    <w:rsid w:val="00BD1C57"/>
    <w:rsid w:val="00BD1E94"/>
    <w:rsid w:val="00BD1F59"/>
    <w:rsid w:val="00BD39EB"/>
    <w:rsid w:val="00BD41A1"/>
    <w:rsid w:val="00BD429D"/>
    <w:rsid w:val="00BD493A"/>
    <w:rsid w:val="00BD4DD1"/>
    <w:rsid w:val="00BD53BA"/>
    <w:rsid w:val="00BD5720"/>
    <w:rsid w:val="00BD5C94"/>
    <w:rsid w:val="00BD65AC"/>
    <w:rsid w:val="00BD66E8"/>
    <w:rsid w:val="00BD796E"/>
    <w:rsid w:val="00BD7C3F"/>
    <w:rsid w:val="00BE1D15"/>
    <w:rsid w:val="00BE25BB"/>
    <w:rsid w:val="00BE345B"/>
    <w:rsid w:val="00BE3808"/>
    <w:rsid w:val="00BE3E3B"/>
    <w:rsid w:val="00BE55B6"/>
    <w:rsid w:val="00BE588B"/>
    <w:rsid w:val="00BE6D44"/>
    <w:rsid w:val="00BF453C"/>
    <w:rsid w:val="00BF5C27"/>
    <w:rsid w:val="00C01037"/>
    <w:rsid w:val="00C010BE"/>
    <w:rsid w:val="00C03641"/>
    <w:rsid w:val="00C03783"/>
    <w:rsid w:val="00C03EC5"/>
    <w:rsid w:val="00C0415F"/>
    <w:rsid w:val="00C04D41"/>
    <w:rsid w:val="00C050B4"/>
    <w:rsid w:val="00C05A6F"/>
    <w:rsid w:val="00C05EAF"/>
    <w:rsid w:val="00C062E9"/>
    <w:rsid w:val="00C063B4"/>
    <w:rsid w:val="00C07B64"/>
    <w:rsid w:val="00C11810"/>
    <w:rsid w:val="00C1219A"/>
    <w:rsid w:val="00C13721"/>
    <w:rsid w:val="00C13E76"/>
    <w:rsid w:val="00C141FE"/>
    <w:rsid w:val="00C144D1"/>
    <w:rsid w:val="00C14596"/>
    <w:rsid w:val="00C154D6"/>
    <w:rsid w:val="00C170F1"/>
    <w:rsid w:val="00C20135"/>
    <w:rsid w:val="00C20847"/>
    <w:rsid w:val="00C20F0A"/>
    <w:rsid w:val="00C21626"/>
    <w:rsid w:val="00C218AF"/>
    <w:rsid w:val="00C21DBC"/>
    <w:rsid w:val="00C22158"/>
    <w:rsid w:val="00C253AB"/>
    <w:rsid w:val="00C25BAA"/>
    <w:rsid w:val="00C25C21"/>
    <w:rsid w:val="00C27C7E"/>
    <w:rsid w:val="00C3066D"/>
    <w:rsid w:val="00C30C0C"/>
    <w:rsid w:val="00C31EEE"/>
    <w:rsid w:val="00C327E2"/>
    <w:rsid w:val="00C335BF"/>
    <w:rsid w:val="00C34CC6"/>
    <w:rsid w:val="00C34E51"/>
    <w:rsid w:val="00C359FE"/>
    <w:rsid w:val="00C36CDE"/>
    <w:rsid w:val="00C37BA0"/>
    <w:rsid w:val="00C4001D"/>
    <w:rsid w:val="00C448FA"/>
    <w:rsid w:val="00C44A04"/>
    <w:rsid w:val="00C458AE"/>
    <w:rsid w:val="00C47CFB"/>
    <w:rsid w:val="00C47E90"/>
    <w:rsid w:val="00C505B0"/>
    <w:rsid w:val="00C51B73"/>
    <w:rsid w:val="00C52DE4"/>
    <w:rsid w:val="00C543F4"/>
    <w:rsid w:val="00C5493C"/>
    <w:rsid w:val="00C57204"/>
    <w:rsid w:val="00C60675"/>
    <w:rsid w:val="00C61139"/>
    <w:rsid w:val="00C6185E"/>
    <w:rsid w:val="00C61A11"/>
    <w:rsid w:val="00C6291C"/>
    <w:rsid w:val="00C633CB"/>
    <w:rsid w:val="00C653AC"/>
    <w:rsid w:val="00C6586E"/>
    <w:rsid w:val="00C661B3"/>
    <w:rsid w:val="00C67D73"/>
    <w:rsid w:val="00C67F44"/>
    <w:rsid w:val="00C715D2"/>
    <w:rsid w:val="00C720B8"/>
    <w:rsid w:val="00C737BE"/>
    <w:rsid w:val="00C73AAC"/>
    <w:rsid w:val="00C74279"/>
    <w:rsid w:val="00C74D58"/>
    <w:rsid w:val="00C760D7"/>
    <w:rsid w:val="00C7636E"/>
    <w:rsid w:val="00C766D5"/>
    <w:rsid w:val="00C801A6"/>
    <w:rsid w:val="00C819E3"/>
    <w:rsid w:val="00C827D5"/>
    <w:rsid w:val="00C83BF5"/>
    <w:rsid w:val="00C83C82"/>
    <w:rsid w:val="00C83EFD"/>
    <w:rsid w:val="00C85277"/>
    <w:rsid w:val="00C86472"/>
    <w:rsid w:val="00C86983"/>
    <w:rsid w:val="00C8762C"/>
    <w:rsid w:val="00C91460"/>
    <w:rsid w:val="00C93913"/>
    <w:rsid w:val="00C96342"/>
    <w:rsid w:val="00C97D91"/>
    <w:rsid w:val="00CA00F9"/>
    <w:rsid w:val="00CA0D6A"/>
    <w:rsid w:val="00CA28BE"/>
    <w:rsid w:val="00CA2961"/>
    <w:rsid w:val="00CA500C"/>
    <w:rsid w:val="00CA589F"/>
    <w:rsid w:val="00CA68AF"/>
    <w:rsid w:val="00CB0629"/>
    <w:rsid w:val="00CB1E57"/>
    <w:rsid w:val="00CB2022"/>
    <w:rsid w:val="00CB2E08"/>
    <w:rsid w:val="00CB4C57"/>
    <w:rsid w:val="00CB50D7"/>
    <w:rsid w:val="00CB526B"/>
    <w:rsid w:val="00CB54BE"/>
    <w:rsid w:val="00CB5AF6"/>
    <w:rsid w:val="00CB6747"/>
    <w:rsid w:val="00CB67AA"/>
    <w:rsid w:val="00CB70B5"/>
    <w:rsid w:val="00CB7177"/>
    <w:rsid w:val="00CB74DE"/>
    <w:rsid w:val="00CB78D9"/>
    <w:rsid w:val="00CB7C17"/>
    <w:rsid w:val="00CC0977"/>
    <w:rsid w:val="00CC0CCD"/>
    <w:rsid w:val="00CC0FFD"/>
    <w:rsid w:val="00CC1998"/>
    <w:rsid w:val="00CC395C"/>
    <w:rsid w:val="00CC4946"/>
    <w:rsid w:val="00CC49D9"/>
    <w:rsid w:val="00CC4A67"/>
    <w:rsid w:val="00CC54A3"/>
    <w:rsid w:val="00CC655C"/>
    <w:rsid w:val="00CC6C17"/>
    <w:rsid w:val="00CC7BA7"/>
    <w:rsid w:val="00CD0021"/>
    <w:rsid w:val="00CD13A1"/>
    <w:rsid w:val="00CD1B6B"/>
    <w:rsid w:val="00CD291E"/>
    <w:rsid w:val="00CD2BAB"/>
    <w:rsid w:val="00CD3933"/>
    <w:rsid w:val="00CD4006"/>
    <w:rsid w:val="00CD52C9"/>
    <w:rsid w:val="00CD5347"/>
    <w:rsid w:val="00CD664D"/>
    <w:rsid w:val="00CD6A38"/>
    <w:rsid w:val="00CE0D31"/>
    <w:rsid w:val="00CE1A41"/>
    <w:rsid w:val="00CE3F9F"/>
    <w:rsid w:val="00CE51EB"/>
    <w:rsid w:val="00CE5834"/>
    <w:rsid w:val="00CE6379"/>
    <w:rsid w:val="00CE6FDB"/>
    <w:rsid w:val="00CF04C9"/>
    <w:rsid w:val="00CF34B6"/>
    <w:rsid w:val="00CF44B8"/>
    <w:rsid w:val="00CF50E4"/>
    <w:rsid w:val="00CF6FAF"/>
    <w:rsid w:val="00D00D42"/>
    <w:rsid w:val="00D0305E"/>
    <w:rsid w:val="00D04143"/>
    <w:rsid w:val="00D04F1C"/>
    <w:rsid w:val="00D06B8F"/>
    <w:rsid w:val="00D0700C"/>
    <w:rsid w:val="00D0796E"/>
    <w:rsid w:val="00D113DD"/>
    <w:rsid w:val="00D118F4"/>
    <w:rsid w:val="00D12AE0"/>
    <w:rsid w:val="00D12D52"/>
    <w:rsid w:val="00D1330C"/>
    <w:rsid w:val="00D13F7B"/>
    <w:rsid w:val="00D142DE"/>
    <w:rsid w:val="00D1488B"/>
    <w:rsid w:val="00D1494C"/>
    <w:rsid w:val="00D1603E"/>
    <w:rsid w:val="00D166B5"/>
    <w:rsid w:val="00D202A6"/>
    <w:rsid w:val="00D21085"/>
    <w:rsid w:val="00D221B0"/>
    <w:rsid w:val="00D23088"/>
    <w:rsid w:val="00D2374D"/>
    <w:rsid w:val="00D24649"/>
    <w:rsid w:val="00D24B1B"/>
    <w:rsid w:val="00D26C0A"/>
    <w:rsid w:val="00D270A4"/>
    <w:rsid w:val="00D2716E"/>
    <w:rsid w:val="00D27A04"/>
    <w:rsid w:val="00D27C9A"/>
    <w:rsid w:val="00D32585"/>
    <w:rsid w:val="00D32CC1"/>
    <w:rsid w:val="00D3306D"/>
    <w:rsid w:val="00D34CCC"/>
    <w:rsid w:val="00D34E1B"/>
    <w:rsid w:val="00D34F97"/>
    <w:rsid w:val="00D3621B"/>
    <w:rsid w:val="00D375E2"/>
    <w:rsid w:val="00D376BA"/>
    <w:rsid w:val="00D40573"/>
    <w:rsid w:val="00D44BA1"/>
    <w:rsid w:val="00D46DE8"/>
    <w:rsid w:val="00D478A3"/>
    <w:rsid w:val="00D478AD"/>
    <w:rsid w:val="00D50A71"/>
    <w:rsid w:val="00D51392"/>
    <w:rsid w:val="00D5568A"/>
    <w:rsid w:val="00D56491"/>
    <w:rsid w:val="00D5781F"/>
    <w:rsid w:val="00D57B98"/>
    <w:rsid w:val="00D60A9B"/>
    <w:rsid w:val="00D61CEA"/>
    <w:rsid w:val="00D62CD8"/>
    <w:rsid w:val="00D63229"/>
    <w:rsid w:val="00D639A9"/>
    <w:rsid w:val="00D63CDD"/>
    <w:rsid w:val="00D63D73"/>
    <w:rsid w:val="00D658BD"/>
    <w:rsid w:val="00D65A47"/>
    <w:rsid w:val="00D66443"/>
    <w:rsid w:val="00D66996"/>
    <w:rsid w:val="00D66E1E"/>
    <w:rsid w:val="00D66EBD"/>
    <w:rsid w:val="00D725E3"/>
    <w:rsid w:val="00D726F8"/>
    <w:rsid w:val="00D7346D"/>
    <w:rsid w:val="00D734E4"/>
    <w:rsid w:val="00D74493"/>
    <w:rsid w:val="00D75722"/>
    <w:rsid w:val="00D7722F"/>
    <w:rsid w:val="00D801C1"/>
    <w:rsid w:val="00D8387F"/>
    <w:rsid w:val="00D87FCF"/>
    <w:rsid w:val="00D90D1B"/>
    <w:rsid w:val="00D90D49"/>
    <w:rsid w:val="00D91F3B"/>
    <w:rsid w:val="00D92707"/>
    <w:rsid w:val="00D93951"/>
    <w:rsid w:val="00D94732"/>
    <w:rsid w:val="00D94C59"/>
    <w:rsid w:val="00D95EC5"/>
    <w:rsid w:val="00D9643F"/>
    <w:rsid w:val="00D967E0"/>
    <w:rsid w:val="00D972C7"/>
    <w:rsid w:val="00D973F8"/>
    <w:rsid w:val="00DA0DAF"/>
    <w:rsid w:val="00DA246C"/>
    <w:rsid w:val="00DA3101"/>
    <w:rsid w:val="00DA33CA"/>
    <w:rsid w:val="00DA381E"/>
    <w:rsid w:val="00DA4905"/>
    <w:rsid w:val="00DA4EF0"/>
    <w:rsid w:val="00DA4F01"/>
    <w:rsid w:val="00DA58C6"/>
    <w:rsid w:val="00DA5BBA"/>
    <w:rsid w:val="00DA5D20"/>
    <w:rsid w:val="00DB1727"/>
    <w:rsid w:val="00DB1BD6"/>
    <w:rsid w:val="00DB20FC"/>
    <w:rsid w:val="00DB2B11"/>
    <w:rsid w:val="00DB2EA4"/>
    <w:rsid w:val="00DB3A32"/>
    <w:rsid w:val="00DB67C9"/>
    <w:rsid w:val="00DB6A3F"/>
    <w:rsid w:val="00DB6DCF"/>
    <w:rsid w:val="00DB7BA2"/>
    <w:rsid w:val="00DC0A4C"/>
    <w:rsid w:val="00DC0C95"/>
    <w:rsid w:val="00DC19B9"/>
    <w:rsid w:val="00DC2445"/>
    <w:rsid w:val="00DC26E8"/>
    <w:rsid w:val="00DC4615"/>
    <w:rsid w:val="00DC4A2F"/>
    <w:rsid w:val="00DC4E0F"/>
    <w:rsid w:val="00DC537E"/>
    <w:rsid w:val="00DC62A0"/>
    <w:rsid w:val="00DC6375"/>
    <w:rsid w:val="00DC6AD0"/>
    <w:rsid w:val="00DC6F84"/>
    <w:rsid w:val="00DD2380"/>
    <w:rsid w:val="00DD2686"/>
    <w:rsid w:val="00DD31C3"/>
    <w:rsid w:val="00DD33DF"/>
    <w:rsid w:val="00DD35DF"/>
    <w:rsid w:val="00DD365E"/>
    <w:rsid w:val="00DD6580"/>
    <w:rsid w:val="00DD6866"/>
    <w:rsid w:val="00DD6C0A"/>
    <w:rsid w:val="00DD7396"/>
    <w:rsid w:val="00DE0ECB"/>
    <w:rsid w:val="00DE2F96"/>
    <w:rsid w:val="00DE331A"/>
    <w:rsid w:val="00DE363A"/>
    <w:rsid w:val="00DE524A"/>
    <w:rsid w:val="00DE5A0C"/>
    <w:rsid w:val="00DE659D"/>
    <w:rsid w:val="00DE6D35"/>
    <w:rsid w:val="00DE741C"/>
    <w:rsid w:val="00DE7C7A"/>
    <w:rsid w:val="00DF0013"/>
    <w:rsid w:val="00DF055D"/>
    <w:rsid w:val="00DF1129"/>
    <w:rsid w:val="00DF3894"/>
    <w:rsid w:val="00DF3B3B"/>
    <w:rsid w:val="00DF3F46"/>
    <w:rsid w:val="00DF418E"/>
    <w:rsid w:val="00DF5879"/>
    <w:rsid w:val="00DF61E7"/>
    <w:rsid w:val="00DF6CDF"/>
    <w:rsid w:val="00DF6DD6"/>
    <w:rsid w:val="00DF7B1C"/>
    <w:rsid w:val="00DF7BCE"/>
    <w:rsid w:val="00E033DE"/>
    <w:rsid w:val="00E05AC4"/>
    <w:rsid w:val="00E10EEA"/>
    <w:rsid w:val="00E10FAC"/>
    <w:rsid w:val="00E110A8"/>
    <w:rsid w:val="00E15ABB"/>
    <w:rsid w:val="00E16210"/>
    <w:rsid w:val="00E16D99"/>
    <w:rsid w:val="00E17301"/>
    <w:rsid w:val="00E17C72"/>
    <w:rsid w:val="00E17E85"/>
    <w:rsid w:val="00E20497"/>
    <w:rsid w:val="00E20851"/>
    <w:rsid w:val="00E20C11"/>
    <w:rsid w:val="00E20C59"/>
    <w:rsid w:val="00E21FC6"/>
    <w:rsid w:val="00E22772"/>
    <w:rsid w:val="00E22E6D"/>
    <w:rsid w:val="00E268F2"/>
    <w:rsid w:val="00E3179F"/>
    <w:rsid w:val="00E333CD"/>
    <w:rsid w:val="00E33512"/>
    <w:rsid w:val="00E3374A"/>
    <w:rsid w:val="00E340C1"/>
    <w:rsid w:val="00E346DF"/>
    <w:rsid w:val="00E35DEC"/>
    <w:rsid w:val="00E360FF"/>
    <w:rsid w:val="00E36A60"/>
    <w:rsid w:val="00E373DF"/>
    <w:rsid w:val="00E37D4C"/>
    <w:rsid w:val="00E41766"/>
    <w:rsid w:val="00E43475"/>
    <w:rsid w:val="00E43DC3"/>
    <w:rsid w:val="00E44170"/>
    <w:rsid w:val="00E45FE6"/>
    <w:rsid w:val="00E512BB"/>
    <w:rsid w:val="00E51DD8"/>
    <w:rsid w:val="00E52470"/>
    <w:rsid w:val="00E53020"/>
    <w:rsid w:val="00E532D6"/>
    <w:rsid w:val="00E54BBA"/>
    <w:rsid w:val="00E5504B"/>
    <w:rsid w:val="00E55F2A"/>
    <w:rsid w:val="00E573B8"/>
    <w:rsid w:val="00E6086E"/>
    <w:rsid w:val="00E60DF9"/>
    <w:rsid w:val="00E615A2"/>
    <w:rsid w:val="00E62331"/>
    <w:rsid w:val="00E6381F"/>
    <w:rsid w:val="00E65093"/>
    <w:rsid w:val="00E654B2"/>
    <w:rsid w:val="00E65C8B"/>
    <w:rsid w:val="00E669E2"/>
    <w:rsid w:val="00E70BF9"/>
    <w:rsid w:val="00E721E2"/>
    <w:rsid w:val="00E7499D"/>
    <w:rsid w:val="00E74ED2"/>
    <w:rsid w:val="00E7526E"/>
    <w:rsid w:val="00E76135"/>
    <w:rsid w:val="00E76F5F"/>
    <w:rsid w:val="00E77E03"/>
    <w:rsid w:val="00E8167B"/>
    <w:rsid w:val="00E82C3D"/>
    <w:rsid w:val="00E83052"/>
    <w:rsid w:val="00E84BC3"/>
    <w:rsid w:val="00E8577A"/>
    <w:rsid w:val="00E8670C"/>
    <w:rsid w:val="00E86795"/>
    <w:rsid w:val="00E86F12"/>
    <w:rsid w:val="00E87609"/>
    <w:rsid w:val="00E90A6B"/>
    <w:rsid w:val="00E90D54"/>
    <w:rsid w:val="00E91B78"/>
    <w:rsid w:val="00E926E6"/>
    <w:rsid w:val="00E93087"/>
    <w:rsid w:val="00E933A3"/>
    <w:rsid w:val="00E938E2"/>
    <w:rsid w:val="00E95509"/>
    <w:rsid w:val="00E95796"/>
    <w:rsid w:val="00E97E28"/>
    <w:rsid w:val="00EA27F1"/>
    <w:rsid w:val="00EA2E7B"/>
    <w:rsid w:val="00EA591F"/>
    <w:rsid w:val="00EA635D"/>
    <w:rsid w:val="00EA6C96"/>
    <w:rsid w:val="00EB1775"/>
    <w:rsid w:val="00EB53CC"/>
    <w:rsid w:val="00EB5B8F"/>
    <w:rsid w:val="00EC2844"/>
    <w:rsid w:val="00EC459B"/>
    <w:rsid w:val="00EC45F9"/>
    <w:rsid w:val="00EC471A"/>
    <w:rsid w:val="00EC5754"/>
    <w:rsid w:val="00EC6ADD"/>
    <w:rsid w:val="00ED0396"/>
    <w:rsid w:val="00ED38AC"/>
    <w:rsid w:val="00ED3937"/>
    <w:rsid w:val="00ED3E35"/>
    <w:rsid w:val="00ED4850"/>
    <w:rsid w:val="00ED4A28"/>
    <w:rsid w:val="00ED66E1"/>
    <w:rsid w:val="00ED753D"/>
    <w:rsid w:val="00ED75D5"/>
    <w:rsid w:val="00ED7679"/>
    <w:rsid w:val="00EE0AFB"/>
    <w:rsid w:val="00EE1C09"/>
    <w:rsid w:val="00EE2399"/>
    <w:rsid w:val="00EE483D"/>
    <w:rsid w:val="00EE6164"/>
    <w:rsid w:val="00EF28AC"/>
    <w:rsid w:val="00EF3AD2"/>
    <w:rsid w:val="00EF413D"/>
    <w:rsid w:val="00EF559A"/>
    <w:rsid w:val="00EF6C6C"/>
    <w:rsid w:val="00F0168F"/>
    <w:rsid w:val="00F02228"/>
    <w:rsid w:val="00F02BED"/>
    <w:rsid w:val="00F033FE"/>
    <w:rsid w:val="00F0465F"/>
    <w:rsid w:val="00F048D3"/>
    <w:rsid w:val="00F054C1"/>
    <w:rsid w:val="00F0553D"/>
    <w:rsid w:val="00F056FC"/>
    <w:rsid w:val="00F059DF"/>
    <w:rsid w:val="00F06656"/>
    <w:rsid w:val="00F10476"/>
    <w:rsid w:val="00F12EAE"/>
    <w:rsid w:val="00F135D8"/>
    <w:rsid w:val="00F162C6"/>
    <w:rsid w:val="00F17008"/>
    <w:rsid w:val="00F20007"/>
    <w:rsid w:val="00F21046"/>
    <w:rsid w:val="00F23D17"/>
    <w:rsid w:val="00F24D03"/>
    <w:rsid w:val="00F25421"/>
    <w:rsid w:val="00F25B51"/>
    <w:rsid w:val="00F2619B"/>
    <w:rsid w:val="00F30597"/>
    <w:rsid w:val="00F30D2A"/>
    <w:rsid w:val="00F31299"/>
    <w:rsid w:val="00F31504"/>
    <w:rsid w:val="00F3241C"/>
    <w:rsid w:val="00F333E7"/>
    <w:rsid w:val="00F350F3"/>
    <w:rsid w:val="00F3534A"/>
    <w:rsid w:val="00F3684D"/>
    <w:rsid w:val="00F43005"/>
    <w:rsid w:val="00F43BC7"/>
    <w:rsid w:val="00F449F0"/>
    <w:rsid w:val="00F44AA9"/>
    <w:rsid w:val="00F46BB7"/>
    <w:rsid w:val="00F4787F"/>
    <w:rsid w:val="00F50665"/>
    <w:rsid w:val="00F52610"/>
    <w:rsid w:val="00F554D6"/>
    <w:rsid w:val="00F55821"/>
    <w:rsid w:val="00F55920"/>
    <w:rsid w:val="00F560F5"/>
    <w:rsid w:val="00F561AA"/>
    <w:rsid w:val="00F6022C"/>
    <w:rsid w:val="00F60C5B"/>
    <w:rsid w:val="00F61E05"/>
    <w:rsid w:val="00F640AD"/>
    <w:rsid w:val="00F64353"/>
    <w:rsid w:val="00F65738"/>
    <w:rsid w:val="00F65788"/>
    <w:rsid w:val="00F657DF"/>
    <w:rsid w:val="00F65A76"/>
    <w:rsid w:val="00F66327"/>
    <w:rsid w:val="00F714A5"/>
    <w:rsid w:val="00F71AC5"/>
    <w:rsid w:val="00F81BD3"/>
    <w:rsid w:val="00F82D6B"/>
    <w:rsid w:val="00F83D9E"/>
    <w:rsid w:val="00F844D6"/>
    <w:rsid w:val="00F85325"/>
    <w:rsid w:val="00F90613"/>
    <w:rsid w:val="00F90A9F"/>
    <w:rsid w:val="00F914DA"/>
    <w:rsid w:val="00F91503"/>
    <w:rsid w:val="00F93C35"/>
    <w:rsid w:val="00F9427F"/>
    <w:rsid w:val="00F94BC1"/>
    <w:rsid w:val="00F94F4D"/>
    <w:rsid w:val="00FA0A23"/>
    <w:rsid w:val="00FA16C2"/>
    <w:rsid w:val="00FA270A"/>
    <w:rsid w:val="00FA33CF"/>
    <w:rsid w:val="00FA3CF6"/>
    <w:rsid w:val="00FA446A"/>
    <w:rsid w:val="00FA4670"/>
    <w:rsid w:val="00FB1396"/>
    <w:rsid w:val="00FB33F8"/>
    <w:rsid w:val="00FB3B17"/>
    <w:rsid w:val="00FB6787"/>
    <w:rsid w:val="00FB6B6C"/>
    <w:rsid w:val="00FB6C7C"/>
    <w:rsid w:val="00FC0943"/>
    <w:rsid w:val="00FC109A"/>
    <w:rsid w:val="00FC17DE"/>
    <w:rsid w:val="00FC3D41"/>
    <w:rsid w:val="00FC5886"/>
    <w:rsid w:val="00FC5ED1"/>
    <w:rsid w:val="00FC608D"/>
    <w:rsid w:val="00FC73D0"/>
    <w:rsid w:val="00FC7A8D"/>
    <w:rsid w:val="00FC7B15"/>
    <w:rsid w:val="00FD1608"/>
    <w:rsid w:val="00FD1771"/>
    <w:rsid w:val="00FD22B1"/>
    <w:rsid w:val="00FD3B36"/>
    <w:rsid w:val="00FD4B90"/>
    <w:rsid w:val="00FD547A"/>
    <w:rsid w:val="00FD5AE3"/>
    <w:rsid w:val="00FD76C0"/>
    <w:rsid w:val="00FE00B6"/>
    <w:rsid w:val="00FE0B9E"/>
    <w:rsid w:val="00FE1C3B"/>
    <w:rsid w:val="00FE2478"/>
    <w:rsid w:val="00FE27DC"/>
    <w:rsid w:val="00FE2F97"/>
    <w:rsid w:val="00FE33CC"/>
    <w:rsid w:val="00FE382F"/>
    <w:rsid w:val="00FE40E3"/>
    <w:rsid w:val="00FE6D99"/>
    <w:rsid w:val="00FF0B53"/>
    <w:rsid w:val="00FF17D5"/>
    <w:rsid w:val="00FF1A97"/>
    <w:rsid w:val="00FF1DB3"/>
    <w:rsid w:val="00FF233C"/>
    <w:rsid w:val="00FF28A7"/>
    <w:rsid w:val="00FF3725"/>
    <w:rsid w:val="00FF6647"/>
    <w:rsid w:val="00FF70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FollowedHyperlink" w:uiPriority="99"/>
    <w:lsdException w:name="Strong"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81FC8"/>
    <w:rPr>
      <w:sz w:val="24"/>
      <w:szCs w:val="24"/>
    </w:rPr>
  </w:style>
  <w:style w:type="paragraph" w:styleId="Heading1">
    <w:name w:val="heading 1"/>
    <w:basedOn w:val="BodyText"/>
    <w:next w:val="BodyText"/>
    <w:rsid w:val="00281FC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281FC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281FC8"/>
    <w:pPr>
      <w:spacing w:before="560" w:line="320" w:lineRule="exact"/>
      <w:ind w:left="0" w:firstLine="0"/>
      <w:outlineLvl w:val="2"/>
    </w:pPr>
    <w:rPr>
      <w:sz w:val="26"/>
    </w:rPr>
  </w:style>
  <w:style w:type="paragraph" w:styleId="Heading4">
    <w:name w:val="heading 4"/>
    <w:basedOn w:val="Heading3"/>
    <w:next w:val="BodyText"/>
    <w:qFormat/>
    <w:rsid w:val="00281FC8"/>
    <w:pPr>
      <w:spacing w:before="480"/>
      <w:outlineLvl w:val="3"/>
    </w:pPr>
    <w:rPr>
      <w:b w:val="0"/>
      <w:sz w:val="24"/>
    </w:rPr>
  </w:style>
  <w:style w:type="paragraph" w:styleId="Heading5">
    <w:name w:val="heading 5"/>
    <w:basedOn w:val="Heading4"/>
    <w:next w:val="BodyText"/>
    <w:link w:val="Heading5Char"/>
    <w:qFormat/>
    <w:rsid w:val="00281FC8"/>
    <w:pPr>
      <w:outlineLvl w:val="4"/>
    </w:pPr>
    <w:rPr>
      <w:i/>
      <w:sz w:val="22"/>
    </w:rPr>
  </w:style>
  <w:style w:type="paragraph" w:styleId="Heading6">
    <w:name w:val="heading 6"/>
    <w:basedOn w:val="BodyText"/>
    <w:next w:val="BodyText"/>
    <w:rsid w:val="00281FC8"/>
    <w:pPr>
      <w:spacing w:after="60"/>
      <w:jc w:val="left"/>
      <w:outlineLvl w:val="5"/>
    </w:pPr>
    <w:rPr>
      <w:i/>
      <w:sz w:val="22"/>
    </w:rPr>
  </w:style>
  <w:style w:type="paragraph" w:styleId="Heading7">
    <w:name w:val="heading 7"/>
    <w:basedOn w:val="BodyText"/>
    <w:next w:val="BodyText"/>
    <w:rsid w:val="00281FC8"/>
    <w:pPr>
      <w:spacing w:after="60" w:line="240" w:lineRule="auto"/>
      <w:jc w:val="left"/>
      <w:outlineLvl w:val="6"/>
    </w:pPr>
    <w:rPr>
      <w:rFonts w:ascii="Arial" w:hAnsi="Arial"/>
      <w:sz w:val="20"/>
    </w:rPr>
  </w:style>
  <w:style w:type="paragraph" w:styleId="Heading8">
    <w:name w:val="heading 8"/>
    <w:basedOn w:val="BodyText"/>
    <w:next w:val="BodyText"/>
    <w:rsid w:val="00281FC8"/>
    <w:pPr>
      <w:spacing w:after="60" w:line="240" w:lineRule="auto"/>
      <w:jc w:val="left"/>
      <w:outlineLvl w:val="7"/>
    </w:pPr>
    <w:rPr>
      <w:rFonts w:ascii="Arial" w:hAnsi="Arial"/>
      <w:i/>
      <w:sz w:val="20"/>
    </w:rPr>
  </w:style>
  <w:style w:type="paragraph" w:styleId="Heading9">
    <w:name w:val="heading 9"/>
    <w:basedOn w:val="BodyText"/>
    <w:next w:val="BodyText"/>
    <w:rsid w:val="00281FC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81F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1FC8"/>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81FC8"/>
    <w:pPr>
      <w:spacing w:before="240" w:line="300" w:lineRule="atLeast"/>
      <w:jc w:val="both"/>
    </w:pPr>
    <w:rPr>
      <w:sz w:val="24"/>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281FC8"/>
    <w:rPr>
      <w:sz w:val="24"/>
    </w:rPr>
  </w:style>
  <w:style w:type="paragraph" w:customStyle="1" w:styleId="Chapter">
    <w:name w:val="Chapter"/>
    <w:basedOn w:val="Heading1"/>
    <w:next w:val="BodyText"/>
    <w:link w:val="ChapterChar"/>
    <w:semiHidden/>
    <w:rsid w:val="00281FC8"/>
    <w:pPr>
      <w:ind w:left="0" w:firstLine="0"/>
      <w:outlineLvl w:val="9"/>
    </w:pPr>
  </w:style>
  <w:style w:type="character" w:customStyle="1" w:styleId="ChapterChar">
    <w:name w:val="Chapter Char"/>
    <w:link w:val="Chapter"/>
    <w:semiHidden/>
    <w:rsid w:val="001F39F2"/>
    <w:rPr>
      <w:sz w:val="52"/>
    </w:rPr>
  </w:style>
  <w:style w:type="paragraph" w:styleId="Footer">
    <w:name w:val="footer"/>
    <w:basedOn w:val="BodyText"/>
    <w:link w:val="FooterChar"/>
    <w:rsid w:val="00281FC8"/>
    <w:pPr>
      <w:spacing w:before="80" w:line="200" w:lineRule="exact"/>
      <w:ind w:right="6"/>
      <w:jc w:val="left"/>
    </w:pPr>
    <w:rPr>
      <w:rFonts w:ascii="Arial" w:hAnsi="Arial"/>
      <w:caps/>
      <w:spacing w:val="-4"/>
      <w:sz w:val="16"/>
    </w:rPr>
  </w:style>
  <w:style w:type="paragraph" w:customStyle="1" w:styleId="FooterEnd">
    <w:name w:val="Footer End"/>
    <w:basedOn w:val="Footer"/>
    <w:rsid w:val="00281FC8"/>
    <w:pPr>
      <w:spacing w:before="0" w:line="20" w:lineRule="exact"/>
    </w:pPr>
  </w:style>
  <w:style w:type="paragraph" w:styleId="Header">
    <w:name w:val="header"/>
    <w:basedOn w:val="BodyText"/>
    <w:rsid w:val="00281FC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81FC8"/>
    <w:pPr>
      <w:spacing w:line="20" w:lineRule="exact"/>
    </w:pPr>
    <w:rPr>
      <w:sz w:val="16"/>
    </w:rPr>
  </w:style>
  <w:style w:type="paragraph" w:customStyle="1" w:styleId="HeaderEven">
    <w:name w:val="Header Even"/>
    <w:basedOn w:val="Header"/>
    <w:semiHidden/>
    <w:rsid w:val="00281FC8"/>
  </w:style>
  <w:style w:type="paragraph" w:customStyle="1" w:styleId="HeaderOdd">
    <w:name w:val="Header Odd"/>
    <w:basedOn w:val="Header"/>
    <w:semiHidden/>
    <w:rsid w:val="00281FC8"/>
  </w:style>
  <w:style w:type="character" w:styleId="PageNumber">
    <w:name w:val="page number"/>
    <w:basedOn w:val="DefaultParagraphFont"/>
    <w:rsid w:val="00281FC8"/>
    <w:rPr>
      <w:rFonts w:ascii="Arial" w:hAnsi="Arial"/>
      <w:b/>
      <w:sz w:val="16"/>
    </w:rPr>
  </w:style>
  <w:style w:type="paragraph" w:customStyle="1" w:styleId="Abbreviation">
    <w:name w:val="Abbreviation"/>
    <w:basedOn w:val="BodyText"/>
    <w:rsid w:val="00281FC8"/>
    <w:pPr>
      <w:spacing w:before="120"/>
      <w:ind w:left="2381" w:hanging="2381"/>
      <w:jc w:val="left"/>
    </w:pPr>
  </w:style>
  <w:style w:type="paragraph" w:customStyle="1" w:styleId="Box">
    <w:name w:val="Box"/>
    <w:basedOn w:val="BodyText"/>
    <w:link w:val="BoxChar"/>
    <w:qFormat/>
    <w:rsid w:val="00281FC8"/>
    <w:pPr>
      <w:keepNext/>
      <w:spacing w:before="120" w:line="260" w:lineRule="atLeast"/>
    </w:pPr>
    <w:rPr>
      <w:rFonts w:ascii="Arial" w:hAnsi="Arial"/>
      <w:sz w:val="20"/>
    </w:rPr>
  </w:style>
  <w:style w:type="character" w:customStyle="1" w:styleId="BoxChar">
    <w:name w:val="Box Char"/>
    <w:link w:val="Box"/>
    <w:rsid w:val="001F39F2"/>
    <w:rPr>
      <w:rFonts w:ascii="Arial" w:hAnsi="Arial"/>
    </w:rPr>
  </w:style>
  <w:style w:type="paragraph" w:customStyle="1" w:styleId="BoxContinued">
    <w:name w:val="Box Continued"/>
    <w:basedOn w:val="BodyText"/>
    <w:next w:val="BodyText"/>
    <w:semiHidden/>
    <w:rsid w:val="00281FC8"/>
    <w:pPr>
      <w:spacing w:before="180" w:line="220" w:lineRule="exact"/>
      <w:jc w:val="right"/>
    </w:pPr>
    <w:rPr>
      <w:rFonts w:ascii="Arial" w:hAnsi="Arial"/>
      <w:sz w:val="18"/>
    </w:rPr>
  </w:style>
  <w:style w:type="paragraph" w:customStyle="1" w:styleId="BoxHeading1">
    <w:name w:val="Box Heading 1"/>
    <w:basedOn w:val="BodyText"/>
    <w:next w:val="Box"/>
    <w:rsid w:val="00281FC8"/>
    <w:pPr>
      <w:keepNext/>
      <w:spacing w:before="200" w:line="280" w:lineRule="atLeast"/>
    </w:pPr>
    <w:rPr>
      <w:rFonts w:ascii="Arial" w:hAnsi="Arial"/>
      <w:b/>
      <w:sz w:val="22"/>
    </w:rPr>
  </w:style>
  <w:style w:type="paragraph" w:customStyle="1" w:styleId="BoxHeading2">
    <w:name w:val="Box Heading 2"/>
    <w:basedOn w:val="BoxHeading1"/>
    <w:next w:val="Normal"/>
    <w:rsid w:val="00281FC8"/>
    <w:rPr>
      <w:b w:val="0"/>
      <w:i/>
    </w:rPr>
  </w:style>
  <w:style w:type="paragraph" w:customStyle="1" w:styleId="BoxListBullet">
    <w:name w:val="Box List Bullet"/>
    <w:basedOn w:val="BodyText"/>
    <w:rsid w:val="00281FC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281FC8"/>
    <w:pPr>
      <w:numPr>
        <w:numId w:val="2"/>
      </w:numPr>
      <w:ind w:left="568" w:hanging="284"/>
    </w:pPr>
  </w:style>
  <w:style w:type="paragraph" w:customStyle="1" w:styleId="BoxListNumber">
    <w:name w:val="Box List Number"/>
    <w:basedOn w:val="BodyText"/>
    <w:rsid w:val="00281FC8"/>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281FC8"/>
    <w:pPr>
      <w:numPr>
        <w:ilvl w:val="1"/>
      </w:numPr>
      <w:ind w:left="681" w:hanging="397"/>
    </w:pPr>
  </w:style>
  <w:style w:type="paragraph" w:customStyle="1" w:styleId="BoxQuote">
    <w:name w:val="Box Quote"/>
    <w:basedOn w:val="BodyText"/>
    <w:next w:val="Box"/>
    <w:link w:val="BoxQuoteChar"/>
    <w:qFormat/>
    <w:rsid w:val="00281FC8"/>
    <w:pPr>
      <w:keepNext/>
      <w:spacing w:before="60" w:line="240" w:lineRule="exact"/>
      <w:ind w:left="284"/>
    </w:pPr>
    <w:rPr>
      <w:rFonts w:ascii="Arial" w:hAnsi="Arial"/>
      <w:sz w:val="18"/>
    </w:rPr>
  </w:style>
  <w:style w:type="character" w:customStyle="1" w:styleId="BoxQuoteChar">
    <w:name w:val="Box Quote Char"/>
    <w:link w:val="BoxQuote"/>
    <w:rsid w:val="001F39F2"/>
    <w:rPr>
      <w:rFonts w:ascii="Arial" w:hAnsi="Arial"/>
      <w:sz w:val="18"/>
    </w:rPr>
  </w:style>
  <w:style w:type="paragraph" w:customStyle="1" w:styleId="Note">
    <w:name w:val="Note"/>
    <w:basedOn w:val="BodyText"/>
    <w:next w:val="BodyText"/>
    <w:link w:val="NoteChar"/>
    <w:rsid w:val="00281FC8"/>
    <w:pPr>
      <w:keepLines/>
      <w:spacing w:before="80" w:line="220" w:lineRule="exact"/>
    </w:pPr>
    <w:rPr>
      <w:rFonts w:ascii="Arial" w:hAnsi="Arial"/>
      <w:sz w:val="18"/>
    </w:rPr>
  </w:style>
  <w:style w:type="character" w:customStyle="1" w:styleId="NoteChar">
    <w:name w:val="Note Char"/>
    <w:link w:val="Note"/>
    <w:rsid w:val="001F39F2"/>
    <w:rPr>
      <w:rFonts w:ascii="Arial" w:hAnsi="Arial"/>
      <w:sz w:val="18"/>
    </w:rPr>
  </w:style>
  <w:style w:type="paragraph" w:customStyle="1" w:styleId="Source">
    <w:name w:val="Source"/>
    <w:basedOn w:val="Normal"/>
    <w:next w:val="BodyText"/>
    <w:link w:val="SourceChar"/>
    <w:rsid w:val="00281FC8"/>
    <w:pPr>
      <w:keepLines/>
      <w:spacing w:before="80" w:line="220" w:lineRule="exact"/>
      <w:jc w:val="both"/>
    </w:pPr>
    <w:rPr>
      <w:rFonts w:ascii="Arial" w:hAnsi="Arial"/>
      <w:sz w:val="18"/>
      <w:szCs w:val="20"/>
    </w:rPr>
  </w:style>
  <w:style w:type="character" w:customStyle="1" w:styleId="SourceChar">
    <w:name w:val="Source Char"/>
    <w:basedOn w:val="NoteChar"/>
    <w:link w:val="Source"/>
    <w:rsid w:val="001F39F2"/>
    <w:rPr>
      <w:rFonts w:ascii="Arial" w:hAnsi="Arial"/>
      <w:sz w:val="18"/>
    </w:rPr>
  </w:style>
  <w:style w:type="paragraph" w:customStyle="1" w:styleId="BoxSource">
    <w:name w:val="Box Source"/>
    <w:basedOn w:val="Source"/>
    <w:next w:val="BodyText"/>
    <w:rsid w:val="00281FC8"/>
    <w:pPr>
      <w:spacing w:before="120"/>
    </w:pPr>
  </w:style>
  <w:style w:type="paragraph" w:customStyle="1" w:styleId="BoxSpace">
    <w:name w:val="Box Space"/>
    <w:basedOn w:val="BodyText"/>
    <w:link w:val="BoxSpaceChar"/>
    <w:rsid w:val="00B83E02"/>
    <w:pPr>
      <w:keepNext/>
      <w:spacing w:before="360" w:line="80" w:lineRule="exact"/>
      <w:jc w:val="left"/>
    </w:pPr>
  </w:style>
  <w:style w:type="character" w:customStyle="1" w:styleId="BoxSpaceChar">
    <w:name w:val="Box Space Char"/>
    <w:basedOn w:val="DefaultParagraphFont"/>
    <w:link w:val="BoxSpace"/>
    <w:rsid w:val="00B772AF"/>
    <w:rPr>
      <w:sz w:val="26"/>
    </w:rPr>
  </w:style>
  <w:style w:type="paragraph" w:styleId="Caption">
    <w:name w:val="caption"/>
    <w:basedOn w:val="Normal"/>
    <w:next w:val="BodyText"/>
    <w:rsid w:val="00281FC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81FC8"/>
    <w:pPr>
      <w:spacing w:before="120" w:after="0"/>
    </w:pPr>
  </w:style>
  <w:style w:type="paragraph" w:customStyle="1" w:styleId="BoxSubtitle">
    <w:name w:val="Box Subtitle"/>
    <w:basedOn w:val="BoxTitle"/>
    <w:next w:val="Normal"/>
    <w:rsid w:val="00281FC8"/>
    <w:pPr>
      <w:spacing w:after="80" w:line="200" w:lineRule="exact"/>
      <w:ind w:firstLine="0"/>
    </w:pPr>
    <w:rPr>
      <w:b w:val="0"/>
      <w:sz w:val="20"/>
    </w:rPr>
  </w:style>
  <w:style w:type="character" w:customStyle="1" w:styleId="BoxTitleChar">
    <w:name w:val="Box Title Char"/>
    <w:link w:val="BoxTitle"/>
    <w:rsid w:val="001F39F2"/>
    <w:rPr>
      <w:rFonts w:ascii="Arial" w:hAnsi="Arial"/>
      <w:b/>
      <w:sz w:val="24"/>
      <w:szCs w:val="24"/>
    </w:rPr>
  </w:style>
  <w:style w:type="paragraph" w:customStyle="1" w:styleId="ChapterSummary">
    <w:name w:val="Chapter Summary"/>
    <w:basedOn w:val="BodyText"/>
    <w:rsid w:val="00281FC8"/>
    <w:pPr>
      <w:spacing w:line="280" w:lineRule="atLeast"/>
      <w:ind w:left="907"/>
    </w:pPr>
    <w:rPr>
      <w:rFonts w:ascii="Arial" w:hAnsi="Arial"/>
      <w:b/>
      <w:sz w:val="20"/>
    </w:rPr>
  </w:style>
  <w:style w:type="character" w:styleId="CommentReference">
    <w:name w:val="annotation reference"/>
    <w:basedOn w:val="DefaultParagraphFont"/>
    <w:semiHidden/>
    <w:rsid w:val="00281FC8"/>
    <w:rPr>
      <w:b/>
      <w:vanish/>
      <w:color w:val="FF00FF"/>
      <w:sz w:val="20"/>
    </w:rPr>
  </w:style>
  <w:style w:type="paragraph" w:styleId="CommentText">
    <w:name w:val="annotation text"/>
    <w:basedOn w:val="Normal"/>
    <w:link w:val="CommentTextChar"/>
    <w:semiHidden/>
    <w:rsid w:val="00281FC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F39F2"/>
    <w:rPr>
      <w:szCs w:val="24"/>
    </w:rPr>
  </w:style>
  <w:style w:type="paragraph" w:customStyle="1" w:styleId="Continued">
    <w:name w:val="Continued"/>
    <w:basedOn w:val="BoxContinued"/>
    <w:next w:val="BodyText"/>
    <w:link w:val="ContinuedChar"/>
    <w:rsid w:val="00281FC8"/>
  </w:style>
  <w:style w:type="character" w:customStyle="1" w:styleId="ContinuedChar">
    <w:name w:val="Continued Char"/>
    <w:link w:val="Continued"/>
    <w:rsid w:val="001F39F2"/>
    <w:rPr>
      <w:rFonts w:ascii="Arial" w:hAnsi="Arial"/>
      <w:sz w:val="18"/>
    </w:rPr>
  </w:style>
  <w:style w:type="character" w:customStyle="1" w:styleId="DocumentInfo">
    <w:name w:val="Document Info"/>
    <w:basedOn w:val="DefaultParagraphFont"/>
    <w:semiHidden/>
    <w:rsid w:val="00281FC8"/>
    <w:rPr>
      <w:rFonts w:ascii="Arial" w:hAnsi="Arial"/>
      <w:sz w:val="14"/>
    </w:rPr>
  </w:style>
  <w:style w:type="character" w:customStyle="1" w:styleId="DraftingNote">
    <w:name w:val="Drafting Note"/>
    <w:basedOn w:val="DefaultParagraphFont"/>
    <w:rsid w:val="00281FC8"/>
    <w:rPr>
      <w:b/>
      <w:color w:val="FF0000"/>
      <w:sz w:val="24"/>
      <w:u w:val="dotted"/>
    </w:rPr>
  </w:style>
  <w:style w:type="paragraph" w:customStyle="1" w:styleId="Figure">
    <w:name w:val="Figure"/>
    <w:basedOn w:val="BodyText"/>
    <w:link w:val="FigureChar"/>
    <w:rsid w:val="00281FC8"/>
    <w:pPr>
      <w:keepNext/>
      <w:spacing w:before="120" w:after="120" w:line="240" w:lineRule="atLeast"/>
      <w:jc w:val="center"/>
    </w:pPr>
  </w:style>
  <w:style w:type="character" w:customStyle="1" w:styleId="FigureChar">
    <w:name w:val="Figure Char"/>
    <w:link w:val="Figure"/>
    <w:rsid w:val="001F39F2"/>
    <w:rPr>
      <w:sz w:val="24"/>
    </w:rPr>
  </w:style>
  <w:style w:type="paragraph" w:customStyle="1" w:styleId="FigureTitle">
    <w:name w:val="Figure Title"/>
    <w:basedOn w:val="Caption"/>
    <w:next w:val="Subtitle"/>
    <w:link w:val="FigureTitleChar"/>
    <w:rsid w:val="00281FC8"/>
    <w:pPr>
      <w:spacing w:before="120"/>
    </w:pPr>
  </w:style>
  <w:style w:type="paragraph" w:styleId="Subtitle">
    <w:name w:val="Subtitle"/>
    <w:basedOn w:val="Caption"/>
    <w:link w:val="SubtitleChar"/>
    <w:qFormat/>
    <w:rsid w:val="00281FC8"/>
    <w:pPr>
      <w:spacing w:before="0" w:line="200" w:lineRule="exact"/>
      <w:ind w:firstLine="0"/>
    </w:pPr>
    <w:rPr>
      <w:b w:val="0"/>
      <w:sz w:val="20"/>
    </w:rPr>
  </w:style>
  <w:style w:type="character" w:customStyle="1" w:styleId="SubtitleChar">
    <w:name w:val="Subtitle Char"/>
    <w:basedOn w:val="DefaultParagraphFont"/>
    <w:link w:val="Subtitle"/>
    <w:rsid w:val="00281FC8"/>
    <w:rPr>
      <w:rFonts w:ascii="Arial" w:hAnsi="Arial"/>
      <w:szCs w:val="24"/>
    </w:rPr>
  </w:style>
  <w:style w:type="character" w:customStyle="1" w:styleId="FigureTitleChar">
    <w:name w:val="Figure Title Char"/>
    <w:link w:val="FigureTitle"/>
    <w:rsid w:val="001F39F2"/>
    <w:rPr>
      <w:rFonts w:ascii="Arial" w:hAnsi="Arial"/>
      <w:b/>
      <w:sz w:val="24"/>
      <w:szCs w:val="24"/>
    </w:rPr>
  </w:style>
  <w:style w:type="paragraph" w:customStyle="1" w:styleId="Finding">
    <w:name w:val="Finding"/>
    <w:basedOn w:val="BodyText"/>
    <w:rsid w:val="00281FC8"/>
    <w:pPr>
      <w:keepLines/>
      <w:spacing w:before="120" w:line="280" w:lineRule="atLeast"/>
    </w:pPr>
    <w:rPr>
      <w:rFonts w:ascii="Arial" w:hAnsi="Arial"/>
      <w:sz w:val="22"/>
    </w:rPr>
  </w:style>
  <w:style w:type="paragraph" w:customStyle="1" w:styleId="FindingBullet">
    <w:name w:val="Finding Bullet"/>
    <w:basedOn w:val="Finding"/>
    <w:rsid w:val="00281FC8"/>
    <w:pPr>
      <w:numPr>
        <w:numId w:val="3"/>
      </w:numPr>
      <w:spacing w:before="80"/>
    </w:pPr>
  </w:style>
  <w:style w:type="paragraph" w:customStyle="1" w:styleId="FindingNoTitle">
    <w:name w:val="Finding NoTitle"/>
    <w:basedOn w:val="Finding"/>
    <w:rsid w:val="00281FC8"/>
    <w:pPr>
      <w:spacing w:before="240"/>
    </w:pPr>
  </w:style>
  <w:style w:type="paragraph" w:customStyle="1" w:styleId="RecTitle">
    <w:name w:val="Rec Title"/>
    <w:basedOn w:val="BodyText"/>
    <w:next w:val="Rec"/>
    <w:qFormat/>
    <w:rsid w:val="00281FC8"/>
    <w:pPr>
      <w:keepNext/>
      <w:keepLines/>
      <w:spacing w:line="280" w:lineRule="atLeast"/>
    </w:pPr>
    <w:rPr>
      <w:rFonts w:ascii="Arial" w:hAnsi="Arial"/>
      <w:caps/>
      <w:sz w:val="18"/>
    </w:rPr>
  </w:style>
  <w:style w:type="paragraph" w:customStyle="1" w:styleId="FindingTitle">
    <w:name w:val="Finding Title"/>
    <w:basedOn w:val="RecTitle"/>
    <w:next w:val="Finding"/>
    <w:rsid w:val="00281FC8"/>
  </w:style>
  <w:style w:type="character" w:styleId="FootnoteReference">
    <w:name w:val="footnote reference"/>
    <w:basedOn w:val="DefaultParagraphFont"/>
    <w:rsid w:val="00281FC8"/>
    <w:rPr>
      <w:rFonts w:ascii="Times New Roman" w:hAnsi="Times New Roman"/>
      <w:position w:val="6"/>
      <w:sz w:val="20"/>
      <w:vertAlign w:val="baseline"/>
    </w:rPr>
  </w:style>
  <w:style w:type="paragraph" w:styleId="FootnoteText">
    <w:name w:val="footnote text"/>
    <w:basedOn w:val="BodyText"/>
    <w:link w:val="FootnoteTextChar"/>
    <w:rsid w:val="00281FC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281FC8"/>
    <w:rPr>
      <w:i/>
    </w:rPr>
  </w:style>
  <w:style w:type="paragraph" w:customStyle="1" w:styleId="Jurisdictioncommentsbodytext">
    <w:name w:val="Jurisdiction comments body text"/>
    <w:rsid w:val="00281FC8"/>
    <w:pPr>
      <w:spacing w:after="140"/>
      <w:jc w:val="both"/>
    </w:pPr>
    <w:rPr>
      <w:rFonts w:ascii="Arial" w:hAnsi="Arial"/>
      <w:sz w:val="24"/>
      <w:lang w:eastAsia="en-US"/>
    </w:rPr>
  </w:style>
  <w:style w:type="paragraph" w:customStyle="1" w:styleId="Jurisdictioncommentsheading">
    <w:name w:val="Jurisdiction comments heading"/>
    <w:rsid w:val="00281FC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281FC8"/>
    <w:pPr>
      <w:numPr>
        <w:numId w:val="4"/>
      </w:numPr>
      <w:spacing w:after="140"/>
      <w:jc w:val="both"/>
    </w:pPr>
    <w:rPr>
      <w:rFonts w:ascii="Arial" w:hAnsi="Arial"/>
      <w:sz w:val="24"/>
      <w:lang w:eastAsia="en-US"/>
    </w:rPr>
  </w:style>
  <w:style w:type="character" w:customStyle="1" w:styleId="JurisdictioncommentslistbulletChar">
    <w:name w:val="Jurisdiction comments list bullet Char"/>
    <w:link w:val="Jurisdictioncommentslistbullet"/>
    <w:rsid w:val="001F39F2"/>
    <w:rPr>
      <w:rFonts w:ascii="Arial" w:hAnsi="Arial"/>
      <w:sz w:val="24"/>
      <w:lang w:eastAsia="en-US"/>
    </w:rPr>
  </w:style>
  <w:style w:type="paragraph" w:styleId="ListBullet">
    <w:name w:val="List Bullet"/>
    <w:basedOn w:val="BodyText"/>
    <w:link w:val="ListBulletChar"/>
    <w:rsid w:val="00281FC8"/>
    <w:pPr>
      <w:numPr>
        <w:numId w:val="5"/>
      </w:numPr>
      <w:spacing w:before="120"/>
    </w:pPr>
  </w:style>
  <w:style w:type="character" w:customStyle="1" w:styleId="ListBulletChar">
    <w:name w:val="List Bullet Char"/>
    <w:link w:val="ListBullet"/>
    <w:rsid w:val="001F39F2"/>
    <w:rPr>
      <w:sz w:val="24"/>
    </w:rPr>
  </w:style>
  <w:style w:type="paragraph" w:styleId="ListBullet2">
    <w:name w:val="List Bullet 2"/>
    <w:basedOn w:val="BodyText"/>
    <w:rsid w:val="00281FC8"/>
    <w:pPr>
      <w:numPr>
        <w:numId w:val="6"/>
      </w:numPr>
      <w:spacing w:before="120"/>
    </w:pPr>
  </w:style>
  <w:style w:type="paragraph" w:styleId="ListBullet3">
    <w:name w:val="List Bullet 3"/>
    <w:basedOn w:val="BodyText"/>
    <w:rsid w:val="00281FC8"/>
    <w:pPr>
      <w:numPr>
        <w:numId w:val="7"/>
      </w:numPr>
      <w:spacing w:before="120"/>
      <w:ind w:left="1020" w:hanging="340"/>
    </w:pPr>
  </w:style>
  <w:style w:type="paragraph" w:styleId="ListNumber">
    <w:name w:val="List Number"/>
    <w:basedOn w:val="BodyText"/>
    <w:rsid w:val="00281FC8"/>
    <w:pPr>
      <w:numPr>
        <w:numId w:val="13"/>
      </w:numPr>
      <w:spacing w:before="120"/>
    </w:pPr>
  </w:style>
  <w:style w:type="paragraph" w:styleId="ListNumber2">
    <w:name w:val="List Number 2"/>
    <w:basedOn w:val="ListNumber"/>
    <w:rsid w:val="00281FC8"/>
    <w:pPr>
      <w:numPr>
        <w:ilvl w:val="1"/>
      </w:numPr>
    </w:pPr>
  </w:style>
  <w:style w:type="paragraph" w:styleId="ListNumber3">
    <w:name w:val="List Number 3"/>
    <w:basedOn w:val="ListNumber2"/>
    <w:rsid w:val="00281FC8"/>
    <w:pPr>
      <w:numPr>
        <w:ilvl w:val="2"/>
      </w:numPr>
    </w:pPr>
  </w:style>
  <w:style w:type="character" w:customStyle="1" w:styleId="NoteLabel">
    <w:name w:val="Note Label"/>
    <w:basedOn w:val="DefaultParagraphFont"/>
    <w:rsid w:val="00281FC8"/>
    <w:rPr>
      <w:rFonts w:ascii="Arial" w:hAnsi="Arial"/>
      <w:b/>
      <w:position w:val="6"/>
      <w:sz w:val="18"/>
    </w:rPr>
  </w:style>
  <w:style w:type="paragraph" w:customStyle="1" w:styleId="PartDivider">
    <w:name w:val="Part Divider"/>
    <w:basedOn w:val="BodyText"/>
    <w:next w:val="BodyText"/>
    <w:semiHidden/>
    <w:rsid w:val="00281FC8"/>
    <w:pPr>
      <w:spacing w:before="0" w:line="40" w:lineRule="exact"/>
      <w:jc w:val="right"/>
    </w:pPr>
    <w:rPr>
      <w:smallCaps/>
      <w:sz w:val="16"/>
    </w:rPr>
  </w:style>
  <w:style w:type="paragraph" w:customStyle="1" w:styleId="PartNumber">
    <w:name w:val="Part Number"/>
    <w:basedOn w:val="BodyText"/>
    <w:next w:val="BodyText"/>
    <w:semiHidden/>
    <w:rsid w:val="00281FC8"/>
    <w:pPr>
      <w:spacing w:before="4000" w:line="320" w:lineRule="exact"/>
      <w:ind w:left="6634"/>
      <w:jc w:val="right"/>
    </w:pPr>
    <w:rPr>
      <w:smallCaps/>
      <w:spacing w:val="60"/>
      <w:sz w:val="32"/>
    </w:rPr>
  </w:style>
  <w:style w:type="paragraph" w:customStyle="1" w:styleId="PartTitle">
    <w:name w:val="Part Title"/>
    <w:basedOn w:val="BodyText"/>
    <w:semiHidden/>
    <w:rsid w:val="00281FC8"/>
    <w:pPr>
      <w:spacing w:before="160" w:after="1360" w:line="520" w:lineRule="exact"/>
      <w:ind w:right="2381"/>
      <w:jc w:val="right"/>
    </w:pPr>
    <w:rPr>
      <w:smallCaps/>
      <w:sz w:val="52"/>
    </w:rPr>
  </w:style>
  <w:style w:type="paragraph" w:styleId="Quote">
    <w:name w:val="Quote"/>
    <w:basedOn w:val="BodyText"/>
    <w:next w:val="BodyText"/>
    <w:qFormat/>
    <w:rsid w:val="00281FC8"/>
    <w:pPr>
      <w:spacing w:before="120" w:line="280" w:lineRule="exact"/>
      <w:ind w:left="340"/>
    </w:pPr>
    <w:rPr>
      <w:sz w:val="22"/>
    </w:rPr>
  </w:style>
  <w:style w:type="paragraph" w:customStyle="1" w:styleId="QuoteBullet">
    <w:name w:val="Quote Bullet"/>
    <w:basedOn w:val="Quote"/>
    <w:rsid w:val="00281FC8"/>
    <w:pPr>
      <w:numPr>
        <w:numId w:val="8"/>
      </w:numPr>
    </w:pPr>
  </w:style>
  <w:style w:type="paragraph" w:customStyle="1" w:styleId="Rec">
    <w:name w:val="Rec"/>
    <w:basedOn w:val="BodyText"/>
    <w:qFormat/>
    <w:rsid w:val="00281FC8"/>
    <w:pPr>
      <w:keepLines/>
      <w:spacing w:before="120" w:line="280" w:lineRule="atLeast"/>
    </w:pPr>
    <w:rPr>
      <w:rFonts w:ascii="Arial" w:hAnsi="Arial"/>
      <w:sz w:val="22"/>
    </w:rPr>
  </w:style>
  <w:style w:type="paragraph" w:customStyle="1" w:styleId="RecBullet">
    <w:name w:val="Rec Bullet"/>
    <w:basedOn w:val="Rec"/>
    <w:rsid w:val="00281FC8"/>
    <w:pPr>
      <w:numPr>
        <w:numId w:val="9"/>
      </w:numPr>
      <w:spacing w:before="80"/>
    </w:pPr>
  </w:style>
  <w:style w:type="paragraph" w:customStyle="1" w:styleId="RecB">
    <w:name w:val="RecB"/>
    <w:basedOn w:val="Normal"/>
    <w:rsid w:val="00281FC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81FC8"/>
    <w:pPr>
      <w:numPr>
        <w:numId w:val="10"/>
      </w:numPr>
      <w:spacing w:before="80"/>
    </w:pPr>
  </w:style>
  <w:style w:type="paragraph" w:customStyle="1" w:styleId="RecBNoTitle">
    <w:name w:val="RecB NoTitle"/>
    <w:basedOn w:val="RecB"/>
    <w:rsid w:val="00281FC8"/>
    <w:pPr>
      <w:spacing w:before="240"/>
    </w:pPr>
  </w:style>
  <w:style w:type="paragraph" w:customStyle="1" w:styleId="Reference">
    <w:name w:val="Reference"/>
    <w:basedOn w:val="BodyText"/>
    <w:rsid w:val="00281FC8"/>
    <w:pPr>
      <w:spacing w:before="120"/>
      <w:ind w:left="340" w:hanging="340"/>
    </w:pPr>
  </w:style>
  <w:style w:type="paragraph" w:customStyle="1" w:styleId="SequenceInfo">
    <w:name w:val="Sequence Info"/>
    <w:basedOn w:val="BodyText"/>
    <w:semiHidden/>
    <w:rsid w:val="00281FC8"/>
    <w:rPr>
      <w:vanish/>
      <w:sz w:val="16"/>
    </w:rPr>
  </w:style>
  <w:style w:type="paragraph" w:customStyle="1" w:styleId="SideNote">
    <w:name w:val="Side Note"/>
    <w:basedOn w:val="BodyText"/>
    <w:next w:val="BodyText"/>
    <w:semiHidden/>
    <w:rsid w:val="00281FC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281FC8"/>
    <w:pPr>
      <w:framePr w:wrap="around"/>
      <w:numPr>
        <w:numId w:val="11"/>
      </w:numPr>
      <w:tabs>
        <w:tab w:val="left" w:pos="227"/>
      </w:tabs>
    </w:pPr>
  </w:style>
  <w:style w:type="paragraph" w:customStyle="1" w:styleId="SideNoteGraphic">
    <w:name w:val="Side Note Graphic"/>
    <w:basedOn w:val="SideNote"/>
    <w:next w:val="BodyText"/>
    <w:semiHidden/>
    <w:rsid w:val="00281FC8"/>
    <w:pPr>
      <w:framePr w:wrap="around"/>
    </w:pPr>
  </w:style>
  <w:style w:type="paragraph" w:customStyle="1" w:styleId="TableBodyText">
    <w:name w:val="Table Body Text"/>
    <w:basedOn w:val="BodyText"/>
    <w:link w:val="TableBodyTextChar"/>
    <w:rsid w:val="00281FC8"/>
    <w:pPr>
      <w:keepNext/>
      <w:keepLines/>
      <w:spacing w:before="0" w:after="40" w:line="200" w:lineRule="atLeast"/>
      <w:ind w:left="6" w:right="113"/>
      <w:jc w:val="right"/>
    </w:pPr>
    <w:rPr>
      <w:rFonts w:ascii="Arial" w:hAnsi="Arial"/>
      <w:sz w:val="18"/>
    </w:rPr>
  </w:style>
  <w:style w:type="character" w:customStyle="1" w:styleId="TableBodyTextChar">
    <w:name w:val="Table Body Text Char"/>
    <w:link w:val="TableBodyText"/>
    <w:rsid w:val="001F39F2"/>
    <w:rPr>
      <w:rFonts w:ascii="Arial" w:hAnsi="Arial"/>
      <w:sz w:val="18"/>
    </w:rPr>
  </w:style>
  <w:style w:type="paragraph" w:customStyle="1" w:styleId="TableBullet">
    <w:name w:val="Table Bullet"/>
    <w:basedOn w:val="TableBodyText"/>
    <w:rsid w:val="00281FC8"/>
    <w:pPr>
      <w:numPr>
        <w:numId w:val="12"/>
      </w:numPr>
      <w:jc w:val="left"/>
    </w:pPr>
  </w:style>
  <w:style w:type="paragraph" w:customStyle="1" w:styleId="TableColumnHeading">
    <w:name w:val="Table Column Heading"/>
    <w:basedOn w:val="TableBodyText"/>
    <w:link w:val="TableColumnHeadingChar"/>
    <w:rsid w:val="00281FC8"/>
    <w:pPr>
      <w:spacing w:before="80" w:after="80"/>
    </w:pPr>
    <w:rPr>
      <w:i/>
    </w:rPr>
  </w:style>
  <w:style w:type="character" w:customStyle="1" w:styleId="TableColumnHeadingChar">
    <w:name w:val="Table Column Heading Char"/>
    <w:basedOn w:val="TableBodyTextChar"/>
    <w:link w:val="TableColumnHeading"/>
    <w:rsid w:val="005E1D0C"/>
    <w:rPr>
      <w:rFonts w:ascii="Arial" w:hAnsi="Arial"/>
      <w:i/>
      <w:sz w:val="18"/>
    </w:rPr>
  </w:style>
  <w:style w:type="paragraph" w:styleId="TOC2">
    <w:name w:val="toc 2"/>
    <w:basedOn w:val="TOC1"/>
    <w:rsid w:val="00281FC8"/>
    <w:pPr>
      <w:ind w:left="1134" w:hanging="624"/>
    </w:pPr>
    <w:rPr>
      <w:b w:val="0"/>
    </w:rPr>
  </w:style>
  <w:style w:type="paragraph" w:styleId="TOC3">
    <w:name w:val="toc 3"/>
    <w:basedOn w:val="TOC2"/>
    <w:rsid w:val="00281FC8"/>
    <w:pPr>
      <w:spacing w:before="60"/>
      <w:ind w:left="1190" w:hanging="680"/>
    </w:pPr>
  </w:style>
  <w:style w:type="paragraph" w:styleId="TableofFigures">
    <w:name w:val="table of figures"/>
    <w:basedOn w:val="TOC3"/>
    <w:next w:val="BodyText"/>
    <w:semiHidden/>
    <w:rsid w:val="00281FC8"/>
    <w:pPr>
      <w:ind w:left="737" w:hanging="737"/>
    </w:pPr>
  </w:style>
  <w:style w:type="paragraph" w:customStyle="1" w:styleId="TableTitle">
    <w:name w:val="Table Title"/>
    <w:basedOn w:val="Caption"/>
    <w:next w:val="Subtitle"/>
    <w:link w:val="TableTitleChar"/>
    <w:qFormat/>
    <w:rsid w:val="00281FC8"/>
    <w:pPr>
      <w:spacing w:before="120"/>
    </w:pPr>
  </w:style>
  <w:style w:type="character" w:customStyle="1" w:styleId="TableTitleChar">
    <w:name w:val="Table Title Char"/>
    <w:basedOn w:val="DefaultParagraphFont"/>
    <w:link w:val="TableTitle"/>
    <w:rsid w:val="005E1D0C"/>
    <w:rPr>
      <w:rFonts w:ascii="Arial" w:hAnsi="Arial"/>
      <w:b/>
      <w:sz w:val="24"/>
      <w:szCs w:val="24"/>
    </w:rPr>
  </w:style>
  <w:style w:type="paragraph" w:customStyle="1" w:styleId="TableUnitsRow">
    <w:name w:val="Table Units Row"/>
    <w:basedOn w:val="TableBodyText"/>
    <w:rsid w:val="00281FC8"/>
    <w:pPr>
      <w:spacing w:before="40"/>
    </w:pPr>
  </w:style>
  <w:style w:type="paragraph" w:styleId="TOC1">
    <w:name w:val="toc 1"/>
    <w:basedOn w:val="Normal"/>
    <w:next w:val="TOC2"/>
    <w:link w:val="TOC1Char"/>
    <w:rsid w:val="00281FC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281FC8"/>
    <w:pPr>
      <w:ind w:left="1191" w:firstLine="0"/>
    </w:pPr>
  </w:style>
  <w:style w:type="paragraph" w:customStyle="1" w:styleId="RecBBullet2">
    <w:name w:val="RecB Bullet 2"/>
    <w:basedOn w:val="ListBullet2"/>
    <w:rsid w:val="00281FC8"/>
    <w:pPr>
      <w:pBdr>
        <w:left w:val="single" w:sz="24" w:space="29" w:color="C0C0C0"/>
      </w:pBdr>
    </w:pPr>
    <w:rPr>
      <w:b/>
      <w:i/>
    </w:rPr>
  </w:style>
  <w:style w:type="paragraph" w:styleId="BalloonText">
    <w:name w:val="Balloon Text"/>
    <w:basedOn w:val="Normal"/>
    <w:link w:val="BalloonTextChar"/>
    <w:rsid w:val="00281FC8"/>
    <w:rPr>
      <w:rFonts w:ascii="Tahoma" w:hAnsi="Tahoma" w:cs="Tahoma"/>
      <w:sz w:val="16"/>
      <w:szCs w:val="16"/>
    </w:rPr>
  </w:style>
  <w:style w:type="character" w:customStyle="1" w:styleId="BalloonTextChar">
    <w:name w:val="Balloon Text Char"/>
    <w:basedOn w:val="DefaultParagraphFont"/>
    <w:link w:val="BalloonText"/>
    <w:rsid w:val="00281FC8"/>
    <w:rPr>
      <w:rFonts w:ascii="Tahoma" w:hAnsi="Tahoma" w:cs="Tahoma"/>
      <w:sz w:val="16"/>
      <w:szCs w:val="16"/>
    </w:rPr>
  </w:style>
  <w:style w:type="paragraph" w:customStyle="1" w:styleId="BoxListBullet3">
    <w:name w:val="Box List Bullet 3"/>
    <w:basedOn w:val="ListBullet3"/>
    <w:rsid w:val="00281FC8"/>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281FC8"/>
    <w:rPr>
      <w:i/>
      <w:iCs/>
    </w:rPr>
  </w:style>
  <w:style w:type="paragraph" w:customStyle="1" w:styleId="SOC">
    <w:name w:val="SOC"/>
    <w:basedOn w:val="Normal"/>
    <w:rsid w:val="001F39F2"/>
    <w:pPr>
      <w:spacing w:after="140"/>
      <w:jc w:val="both"/>
    </w:pPr>
    <w:rPr>
      <w:rFonts w:ascii="Arial" w:hAnsi="Arial"/>
      <w:szCs w:val="20"/>
    </w:rPr>
  </w:style>
  <w:style w:type="character" w:styleId="Hyperlink">
    <w:name w:val="Hyperlink"/>
    <w:uiPriority w:val="99"/>
    <w:rsid w:val="001F39F2"/>
    <w:rPr>
      <w:color w:val="0000FF"/>
      <w:u w:val="single"/>
    </w:rPr>
  </w:style>
  <w:style w:type="table" w:styleId="TableGrid">
    <w:name w:val="Table Grid"/>
    <w:basedOn w:val="TableNormal"/>
    <w:rsid w:val="00281F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1F39F2"/>
    <w:rPr>
      <w:b/>
      <w:bCs/>
    </w:rPr>
  </w:style>
  <w:style w:type="paragraph" w:customStyle="1" w:styleId="DocInfo">
    <w:name w:val="Doc Info"/>
    <w:basedOn w:val="Normal"/>
    <w:next w:val="Normal"/>
    <w:rsid w:val="001F39F2"/>
    <w:pPr>
      <w:jc w:val="center"/>
    </w:pPr>
    <w:rPr>
      <w:rFonts w:ascii="Arial" w:hAnsi="Arial"/>
      <w:sz w:val="14"/>
    </w:rPr>
  </w:style>
  <w:style w:type="paragraph" w:customStyle="1" w:styleId="Heading2NotTOC">
    <w:name w:val="Heading 2 Not TOC"/>
    <w:basedOn w:val="Heading2"/>
    <w:next w:val="Normal"/>
    <w:rsid w:val="001F39F2"/>
    <w:pPr>
      <w:outlineLvl w:val="9"/>
    </w:pPr>
  </w:style>
  <w:style w:type="paragraph" w:customStyle="1" w:styleId="TableFigText">
    <w:name w:val="Table/Fig: Text"/>
    <w:basedOn w:val="Normal"/>
    <w:link w:val="TableFigTextChar"/>
    <w:rsid w:val="001F39F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1F39F2"/>
    <w:rPr>
      <w:rFonts w:ascii="Arial" w:hAnsi="Arial"/>
      <w:color w:val="000000"/>
      <w:sz w:val="16"/>
      <w:lang w:eastAsia="en-US"/>
    </w:rPr>
  </w:style>
  <w:style w:type="table" w:styleId="Table3Deffects1">
    <w:name w:val="Table 3D effects 1"/>
    <w:basedOn w:val="TableNormal"/>
    <w:rsid w:val="001F39F2"/>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1F39F2"/>
    <w:rPr>
      <w:sz w:val="26"/>
      <w:lang w:val="en-AU" w:eastAsia="en-AU" w:bidi="ar-SA"/>
    </w:rPr>
  </w:style>
  <w:style w:type="paragraph" w:styleId="DocumentMap">
    <w:name w:val="Document Map"/>
    <w:basedOn w:val="Normal"/>
    <w:link w:val="DocumentMapChar"/>
    <w:rsid w:val="001F39F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F39F2"/>
    <w:rPr>
      <w:rFonts w:ascii="Tahoma" w:hAnsi="Tahoma" w:cs="Tahoma"/>
      <w:shd w:val="clear" w:color="auto" w:fill="000080"/>
    </w:rPr>
  </w:style>
  <w:style w:type="paragraph" w:customStyle="1" w:styleId="Pa1">
    <w:name w:val="Pa1"/>
    <w:basedOn w:val="Normal"/>
    <w:next w:val="Normal"/>
    <w:rsid w:val="001F39F2"/>
    <w:pPr>
      <w:autoSpaceDE w:val="0"/>
      <w:autoSpaceDN w:val="0"/>
      <w:adjustRightInd w:val="0"/>
      <w:spacing w:line="241" w:lineRule="atLeast"/>
    </w:pPr>
    <w:rPr>
      <w:rFonts w:ascii="Arial" w:hAnsi="Arial"/>
    </w:rPr>
  </w:style>
  <w:style w:type="paragraph" w:styleId="CommentSubject">
    <w:name w:val="annotation subject"/>
    <w:basedOn w:val="CommentText"/>
    <w:next w:val="CommentText"/>
    <w:link w:val="CommentSubjectChar"/>
    <w:rsid w:val="001F39F2"/>
    <w:pPr>
      <w:spacing w:before="0" w:line="240" w:lineRule="auto"/>
      <w:ind w:left="0" w:firstLine="0"/>
    </w:pPr>
    <w:rPr>
      <w:b/>
      <w:bCs/>
      <w:szCs w:val="20"/>
    </w:rPr>
  </w:style>
  <w:style w:type="character" w:customStyle="1" w:styleId="CommentSubjectChar">
    <w:name w:val="Comment Subject Char"/>
    <w:basedOn w:val="CommentTextChar"/>
    <w:link w:val="CommentSubject"/>
    <w:rsid w:val="001F39F2"/>
    <w:rPr>
      <w:b/>
      <w:bCs/>
      <w:szCs w:val="24"/>
    </w:rPr>
  </w:style>
  <w:style w:type="paragraph" w:customStyle="1" w:styleId="BoxQuoteBullet">
    <w:name w:val="Box Quote Bullet"/>
    <w:basedOn w:val="BoxQuote"/>
    <w:next w:val="Box"/>
    <w:rsid w:val="00281FC8"/>
    <w:pPr>
      <w:numPr>
        <w:numId w:val="15"/>
      </w:numPr>
      <w:ind w:left="568" w:hanging="284"/>
    </w:pPr>
  </w:style>
  <w:style w:type="paragraph" w:customStyle="1" w:styleId="InformationRequestBullet">
    <w:name w:val="Information Request Bullet"/>
    <w:basedOn w:val="ListBullet"/>
    <w:next w:val="BodyText"/>
    <w:rsid w:val="00281FC8"/>
    <w:pPr>
      <w:numPr>
        <w:numId w:val="16"/>
      </w:numPr>
      <w:spacing w:before="80" w:line="280" w:lineRule="atLeast"/>
      <w:ind w:left="357" w:hanging="357"/>
    </w:pPr>
    <w:rPr>
      <w:rFonts w:ascii="Arial" w:hAnsi="Arial"/>
      <w:i/>
      <w:sz w:val="22"/>
    </w:rPr>
  </w:style>
  <w:style w:type="paragraph" w:styleId="NormalWeb">
    <w:name w:val="Normal (Web)"/>
    <w:basedOn w:val="Normal"/>
    <w:uiPriority w:val="99"/>
    <w:unhideWhenUsed/>
    <w:rsid w:val="00710693"/>
    <w:pPr>
      <w:spacing w:before="100" w:beforeAutospacing="1" w:after="100" w:afterAutospacing="1"/>
    </w:pPr>
  </w:style>
  <w:style w:type="paragraph" w:styleId="Revision">
    <w:name w:val="Revision"/>
    <w:hidden/>
    <w:uiPriority w:val="99"/>
    <w:semiHidden/>
    <w:rsid w:val="00FD1608"/>
    <w:rPr>
      <w:sz w:val="26"/>
      <w:szCs w:val="24"/>
    </w:rPr>
  </w:style>
  <w:style w:type="paragraph" w:customStyle="1" w:styleId="BoxSpaceAbove">
    <w:name w:val="Box Space Above"/>
    <w:basedOn w:val="BodyText"/>
    <w:rsid w:val="00281FC8"/>
    <w:pPr>
      <w:keepNext/>
      <w:spacing w:before="360" w:line="80" w:lineRule="exact"/>
      <w:jc w:val="left"/>
    </w:pPr>
  </w:style>
  <w:style w:type="paragraph" w:customStyle="1" w:styleId="BoxSpaceBelow">
    <w:name w:val="Box Space Below"/>
    <w:basedOn w:val="Box"/>
    <w:rsid w:val="00281FC8"/>
    <w:pPr>
      <w:keepNext w:val="0"/>
      <w:spacing w:before="60" w:after="60" w:line="80" w:lineRule="exact"/>
    </w:pPr>
    <w:rPr>
      <w:sz w:val="14"/>
    </w:rPr>
  </w:style>
  <w:style w:type="paragraph" w:styleId="List">
    <w:name w:val="List"/>
    <w:basedOn w:val="Normal"/>
    <w:rsid w:val="0054638E"/>
    <w:pPr>
      <w:ind w:left="283" w:hanging="283"/>
      <w:contextualSpacing/>
    </w:pPr>
  </w:style>
  <w:style w:type="paragraph" w:customStyle="1" w:styleId="AIHWbodytext">
    <w:name w:val="AIHW body text"/>
    <w:basedOn w:val="Normal"/>
    <w:link w:val="AIHWbodytextChar"/>
    <w:qFormat/>
    <w:rsid w:val="009730EC"/>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uiPriority w:val="2"/>
    <w:qFormat/>
    <w:rsid w:val="009730EC"/>
    <w:pPr>
      <w:numPr>
        <w:numId w:val="18"/>
      </w:numPr>
      <w:spacing w:before="40" w:after="80"/>
    </w:pPr>
  </w:style>
  <w:style w:type="character" w:customStyle="1" w:styleId="AIHWbodytextChar">
    <w:name w:val="AIHW body text Char"/>
    <w:link w:val="AIHWbodytext"/>
    <w:locked/>
    <w:rsid w:val="009730EC"/>
    <w:rPr>
      <w:rFonts w:ascii="Book Antiqua" w:hAnsi="Book Antiqua"/>
      <w:sz w:val="22"/>
      <w:lang w:eastAsia="en-US"/>
    </w:rPr>
  </w:style>
  <w:style w:type="paragraph" w:customStyle="1" w:styleId="AIHWbodytextintable">
    <w:name w:val="AIHW body text in table"/>
    <w:basedOn w:val="AIHWbodytext"/>
    <w:next w:val="AIHWbodytext"/>
    <w:rsid w:val="009730EC"/>
    <w:pPr>
      <w:spacing w:before="80" w:after="80"/>
    </w:pPr>
  </w:style>
  <w:style w:type="character" w:customStyle="1" w:styleId="Bullet1Char">
    <w:name w:val="Bullet 1 Char"/>
    <w:link w:val="Bullet1"/>
    <w:rsid w:val="009730EC"/>
    <w:rPr>
      <w:rFonts w:ascii="Book Antiqua" w:hAnsi="Book Antiqua"/>
      <w:sz w:val="22"/>
      <w:lang w:eastAsia="en-US"/>
    </w:rPr>
  </w:style>
  <w:style w:type="paragraph" w:styleId="ListParagraph">
    <w:name w:val="List Paragraph"/>
    <w:basedOn w:val="Normal"/>
    <w:qFormat/>
    <w:rsid w:val="000F215F"/>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DB6DCF"/>
    <w:pPr>
      <w:autoSpaceDE w:val="0"/>
      <w:autoSpaceDN w:val="0"/>
      <w:adjustRightInd w:val="0"/>
    </w:pPr>
    <w:rPr>
      <w:rFonts w:eastAsiaTheme="minorHAnsi"/>
      <w:color w:val="000000"/>
      <w:sz w:val="24"/>
      <w:szCs w:val="24"/>
      <w:lang w:eastAsia="en-US"/>
    </w:rPr>
  </w:style>
  <w:style w:type="paragraph" w:customStyle="1" w:styleId="KeyPointsListBullet">
    <w:name w:val="Key Points List Bullet"/>
    <w:basedOn w:val="Normal"/>
    <w:qFormat/>
    <w:rsid w:val="00281FC8"/>
    <w:pPr>
      <w:keepNext/>
      <w:numPr>
        <w:numId w:val="5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281FC8"/>
    <w:pPr>
      <w:numPr>
        <w:numId w:val="51"/>
      </w:numPr>
      <w:ind w:left="568" w:hanging="284"/>
    </w:pPr>
  </w:style>
  <w:style w:type="paragraph" w:customStyle="1" w:styleId="InformationRequestTitle">
    <w:name w:val="Information Request Title"/>
    <w:basedOn w:val="FindingTitle"/>
    <w:next w:val="InformationRequest"/>
    <w:rsid w:val="00281FC8"/>
    <w:rPr>
      <w:i/>
    </w:rPr>
  </w:style>
  <w:style w:type="paragraph" w:customStyle="1" w:styleId="Space">
    <w:name w:val="Space"/>
    <w:basedOn w:val="Normal"/>
    <w:rsid w:val="00281FC8"/>
    <w:pPr>
      <w:keepNext/>
      <w:spacing w:line="120" w:lineRule="exact"/>
      <w:jc w:val="both"/>
    </w:pPr>
    <w:rPr>
      <w:rFonts w:ascii="Arial" w:hAnsi="Arial"/>
      <w:sz w:val="20"/>
      <w:szCs w:val="20"/>
    </w:rPr>
  </w:style>
  <w:style w:type="paragraph" w:customStyle="1" w:styleId="Heading1nochapterno">
    <w:name w:val="Heading 1 (no chapter no.)"/>
    <w:basedOn w:val="Heading1"/>
    <w:rsid w:val="00281FC8"/>
    <w:pPr>
      <w:spacing w:before="0"/>
      <w:ind w:left="0" w:firstLine="0"/>
    </w:pPr>
  </w:style>
  <w:style w:type="paragraph" w:customStyle="1" w:styleId="Heading2nosectionno">
    <w:name w:val="Heading 2 (no section no.)"/>
    <w:basedOn w:val="Heading2"/>
    <w:rsid w:val="00281FC8"/>
    <w:pPr>
      <w:ind w:left="0" w:firstLine="0"/>
    </w:pPr>
  </w:style>
  <w:style w:type="character" w:customStyle="1" w:styleId="Heading5Char">
    <w:name w:val="Heading 5 Char"/>
    <w:basedOn w:val="DefaultParagraphFont"/>
    <w:link w:val="Heading5"/>
    <w:rsid w:val="00281FC8"/>
    <w:rPr>
      <w:rFonts w:ascii="Arial" w:hAnsi="Arial"/>
      <w:i/>
      <w:sz w:val="22"/>
    </w:rPr>
  </w:style>
  <w:style w:type="paragraph" w:customStyle="1" w:styleId="Figurespace">
    <w:name w:val="Figure space"/>
    <w:basedOn w:val="Box"/>
    <w:rsid w:val="00281FC8"/>
    <w:pPr>
      <w:spacing w:before="0" w:line="120" w:lineRule="exact"/>
    </w:pPr>
  </w:style>
  <w:style w:type="paragraph" w:customStyle="1" w:styleId="FooterDraftReport">
    <w:name w:val="FooterDraftReport"/>
    <w:basedOn w:val="Footer"/>
    <w:link w:val="FooterDraftReportChar"/>
    <w:rsid w:val="00281FC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281FC8"/>
    <w:rPr>
      <w:rFonts w:ascii="Arial" w:hAnsi="Arial"/>
      <w:caps/>
      <w:spacing w:val="-4"/>
      <w:sz w:val="16"/>
    </w:rPr>
  </w:style>
  <w:style w:type="character" w:customStyle="1" w:styleId="FooterDraftReportChar">
    <w:name w:val="FooterDraftReport Char"/>
    <w:basedOn w:val="FooterChar"/>
    <w:link w:val="FooterDraftReport"/>
    <w:rsid w:val="00281FC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281FC8"/>
    <w:rPr>
      <w:rFonts w:ascii="Arial" w:hAnsi="Arial"/>
      <w:b/>
      <w:sz w:val="26"/>
      <w:szCs w:val="26"/>
      <w:lang w:eastAsia="en-US"/>
    </w:rPr>
  </w:style>
  <w:style w:type="paragraph" w:customStyle="1" w:styleId="Heading1NotTOC">
    <w:name w:val="Heading 1 Not TOC"/>
    <w:basedOn w:val="Heading1"/>
    <w:next w:val="BodyText"/>
    <w:rsid w:val="00391CC7"/>
    <w:rPr>
      <w:kern w:val="28"/>
      <w:szCs w:val="26"/>
      <w:lang w:eastAsia="en-US"/>
    </w:rPr>
  </w:style>
  <w:style w:type="character" w:customStyle="1" w:styleId="FootnoteTextChar">
    <w:name w:val="Footnote Text Char"/>
    <w:basedOn w:val="DefaultParagraphFont"/>
    <w:link w:val="FootnoteText"/>
    <w:rsid w:val="00A11584"/>
  </w:style>
  <w:style w:type="character" w:customStyle="1" w:styleId="ARitalic">
    <w:name w:val="AR italic"/>
    <w:basedOn w:val="DefaultParagraphFont"/>
    <w:rsid w:val="000F1274"/>
    <w:rPr>
      <w:rFonts w:ascii="Arial" w:hAnsi="Arial" w:cs="Arial" w:hint="default"/>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FollowedHyperlink" w:uiPriority="99"/>
    <w:lsdException w:name="Strong"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81FC8"/>
    <w:rPr>
      <w:sz w:val="24"/>
      <w:szCs w:val="24"/>
    </w:rPr>
  </w:style>
  <w:style w:type="paragraph" w:styleId="Heading1">
    <w:name w:val="heading 1"/>
    <w:basedOn w:val="BodyText"/>
    <w:next w:val="BodyText"/>
    <w:rsid w:val="00281FC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281FC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281FC8"/>
    <w:pPr>
      <w:spacing w:before="560" w:line="320" w:lineRule="exact"/>
      <w:ind w:left="0" w:firstLine="0"/>
      <w:outlineLvl w:val="2"/>
    </w:pPr>
    <w:rPr>
      <w:sz w:val="26"/>
    </w:rPr>
  </w:style>
  <w:style w:type="paragraph" w:styleId="Heading4">
    <w:name w:val="heading 4"/>
    <w:basedOn w:val="Heading3"/>
    <w:next w:val="BodyText"/>
    <w:qFormat/>
    <w:rsid w:val="00281FC8"/>
    <w:pPr>
      <w:spacing w:before="480"/>
      <w:outlineLvl w:val="3"/>
    </w:pPr>
    <w:rPr>
      <w:b w:val="0"/>
      <w:sz w:val="24"/>
    </w:rPr>
  </w:style>
  <w:style w:type="paragraph" w:styleId="Heading5">
    <w:name w:val="heading 5"/>
    <w:basedOn w:val="Heading4"/>
    <w:next w:val="BodyText"/>
    <w:link w:val="Heading5Char"/>
    <w:qFormat/>
    <w:rsid w:val="00281FC8"/>
    <w:pPr>
      <w:outlineLvl w:val="4"/>
    </w:pPr>
    <w:rPr>
      <w:i/>
      <w:sz w:val="22"/>
    </w:rPr>
  </w:style>
  <w:style w:type="paragraph" w:styleId="Heading6">
    <w:name w:val="heading 6"/>
    <w:basedOn w:val="BodyText"/>
    <w:next w:val="BodyText"/>
    <w:rsid w:val="00281FC8"/>
    <w:pPr>
      <w:spacing w:after="60"/>
      <w:jc w:val="left"/>
      <w:outlineLvl w:val="5"/>
    </w:pPr>
    <w:rPr>
      <w:i/>
      <w:sz w:val="22"/>
    </w:rPr>
  </w:style>
  <w:style w:type="paragraph" w:styleId="Heading7">
    <w:name w:val="heading 7"/>
    <w:basedOn w:val="BodyText"/>
    <w:next w:val="BodyText"/>
    <w:rsid w:val="00281FC8"/>
    <w:pPr>
      <w:spacing w:after="60" w:line="240" w:lineRule="auto"/>
      <w:jc w:val="left"/>
      <w:outlineLvl w:val="6"/>
    </w:pPr>
    <w:rPr>
      <w:rFonts w:ascii="Arial" w:hAnsi="Arial"/>
      <w:sz w:val="20"/>
    </w:rPr>
  </w:style>
  <w:style w:type="paragraph" w:styleId="Heading8">
    <w:name w:val="heading 8"/>
    <w:basedOn w:val="BodyText"/>
    <w:next w:val="BodyText"/>
    <w:rsid w:val="00281FC8"/>
    <w:pPr>
      <w:spacing w:after="60" w:line="240" w:lineRule="auto"/>
      <w:jc w:val="left"/>
      <w:outlineLvl w:val="7"/>
    </w:pPr>
    <w:rPr>
      <w:rFonts w:ascii="Arial" w:hAnsi="Arial"/>
      <w:i/>
      <w:sz w:val="20"/>
    </w:rPr>
  </w:style>
  <w:style w:type="paragraph" w:styleId="Heading9">
    <w:name w:val="heading 9"/>
    <w:basedOn w:val="BodyText"/>
    <w:next w:val="BodyText"/>
    <w:rsid w:val="00281FC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81F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1FC8"/>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81FC8"/>
    <w:pPr>
      <w:spacing w:before="240" w:line="300" w:lineRule="atLeast"/>
      <w:jc w:val="both"/>
    </w:pPr>
    <w:rPr>
      <w:sz w:val="24"/>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281FC8"/>
    <w:rPr>
      <w:sz w:val="24"/>
    </w:rPr>
  </w:style>
  <w:style w:type="paragraph" w:customStyle="1" w:styleId="Chapter">
    <w:name w:val="Chapter"/>
    <w:basedOn w:val="Heading1"/>
    <w:next w:val="BodyText"/>
    <w:link w:val="ChapterChar"/>
    <w:semiHidden/>
    <w:rsid w:val="00281FC8"/>
    <w:pPr>
      <w:ind w:left="0" w:firstLine="0"/>
      <w:outlineLvl w:val="9"/>
    </w:pPr>
  </w:style>
  <w:style w:type="character" w:customStyle="1" w:styleId="ChapterChar">
    <w:name w:val="Chapter Char"/>
    <w:link w:val="Chapter"/>
    <w:semiHidden/>
    <w:rsid w:val="001F39F2"/>
    <w:rPr>
      <w:sz w:val="52"/>
    </w:rPr>
  </w:style>
  <w:style w:type="paragraph" w:styleId="Footer">
    <w:name w:val="footer"/>
    <w:basedOn w:val="BodyText"/>
    <w:link w:val="FooterChar"/>
    <w:rsid w:val="00281FC8"/>
    <w:pPr>
      <w:spacing w:before="80" w:line="200" w:lineRule="exact"/>
      <w:ind w:right="6"/>
      <w:jc w:val="left"/>
    </w:pPr>
    <w:rPr>
      <w:rFonts w:ascii="Arial" w:hAnsi="Arial"/>
      <w:caps/>
      <w:spacing w:val="-4"/>
      <w:sz w:val="16"/>
    </w:rPr>
  </w:style>
  <w:style w:type="paragraph" w:customStyle="1" w:styleId="FooterEnd">
    <w:name w:val="Footer End"/>
    <w:basedOn w:val="Footer"/>
    <w:rsid w:val="00281FC8"/>
    <w:pPr>
      <w:spacing w:before="0" w:line="20" w:lineRule="exact"/>
    </w:pPr>
  </w:style>
  <w:style w:type="paragraph" w:styleId="Header">
    <w:name w:val="header"/>
    <w:basedOn w:val="BodyText"/>
    <w:rsid w:val="00281FC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81FC8"/>
    <w:pPr>
      <w:spacing w:line="20" w:lineRule="exact"/>
    </w:pPr>
    <w:rPr>
      <w:sz w:val="16"/>
    </w:rPr>
  </w:style>
  <w:style w:type="paragraph" w:customStyle="1" w:styleId="HeaderEven">
    <w:name w:val="Header Even"/>
    <w:basedOn w:val="Header"/>
    <w:semiHidden/>
    <w:rsid w:val="00281FC8"/>
  </w:style>
  <w:style w:type="paragraph" w:customStyle="1" w:styleId="HeaderOdd">
    <w:name w:val="Header Odd"/>
    <w:basedOn w:val="Header"/>
    <w:semiHidden/>
    <w:rsid w:val="00281FC8"/>
  </w:style>
  <w:style w:type="character" w:styleId="PageNumber">
    <w:name w:val="page number"/>
    <w:basedOn w:val="DefaultParagraphFont"/>
    <w:rsid w:val="00281FC8"/>
    <w:rPr>
      <w:rFonts w:ascii="Arial" w:hAnsi="Arial"/>
      <w:b/>
      <w:sz w:val="16"/>
    </w:rPr>
  </w:style>
  <w:style w:type="paragraph" w:customStyle="1" w:styleId="Abbreviation">
    <w:name w:val="Abbreviation"/>
    <w:basedOn w:val="BodyText"/>
    <w:rsid w:val="00281FC8"/>
    <w:pPr>
      <w:spacing w:before="120"/>
      <w:ind w:left="2381" w:hanging="2381"/>
      <w:jc w:val="left"/>
    </w:pPr>
  </w:style>
  <w:style w:type="paragraph" w:customStyle="1" w:styleId="Box">
    <w:name w:val="Box"/>
    <w:basedOn w:val="BodyText"/>
    <w:link w:val="BoxChar"/>
    <w:qFormat/>
    <w:rsid w:val="00281FC8"/>
    <w:pPr>
      <w:keepNext/>
      <w:spacing w:before="120" w:line="260" w:lineRule="atLeast"/>
    </w:pPr>
    <w:rPr>
      <w:rFonts w:ascii="Arial" w:hAnsi="Arial"/>
      <w:sz w:val="20"/>
    </w:rPr>
  </w:style>
  <w:style w:type="character" w:customStyle="1" w:styleId="BoxChar">
    <w:name w:val="Box Char"/>
    <w:link w:val="Box"/>
    <w:rsid w:val="001F39F2"/>
    <w:rPr>
      <w:rFonts w:ascii="Arial" w:hAnsi="Arial"/>
    </w:rPr>
  </w:style>
  <w:style w:type="paragraph" w:customStyle="1" w:styleId="BoxContinued">
    <w:name w:val="Box Continued"/>
    <w:basedOn w:val="BodyText"/>
    <w:next w:val="BodyText"/>
    <w:semiHidden/>
    <w:rsid w:val="00281FC8"/>
    <w:pPr>
      <w:spacing w:before="180" w:line="220" w:lineRule="exact"/>
      <w:jc w:val="right"/>
    </w:pPr>
    <w:rPr>
      <w:rFonts w:ascii="Arial" w:hAnsi="Arial"/>
      <w:sz w:val="18"/>
    </w:rPr>
  </w:style>
  <w:style w:type="paragraph" w:customStyle="1" w:styleId="BoxHeading1">
    <w:name w:val="Box Heading 1"/>
    <w:basedOn w:val="BodyText"/>
    <w:next w:val="Box"/>
    <w:rsid w:val="00281FC8"/>
    <w:pPr>
      <w:keepNext/>
      <w:spacing w:before="200" w:line="280" w:lineRule="atLeast"/>
    </w:pPr>
    <w:rPr>
      <w:rFonts w:ascii="Arial" w:hAnsi="Arial"/>
      <w:b/>
      <w:sz w:val="22"/>
    </w:rPr>
  </w:style>
  <w:style w:type="paragraph" w:customStyle="1" w:styleId="BoxHeading2">
    <w:name w:val="Box Heading 2"/>
    <w:basedOn w:val="BoxHeading1"/>
    <w:next w:val="Normal"/>
    <w:rsid w:val="00281FC8"/>
    <w:rPr>
      <w:b w:val="0"/>
      <w:i/>
    </w:rPr>
  </w:style>
  <w:style w:type="paragraph" w:customStyle="1" w:styleId="BoxListBullet">
    <w:name w:val="Box List Bullet"/>
    <w:basedOn w:val="BodyText"/>
    <w:rsid w:val="00281FC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281FC8"/>
    <w:pPr>
      <w:numPr>
        <w:numId w:val="2"/>
      </w:numPr>
      <w:ind w:left="568" w:hanging="284"/>
    </w:pPr>
  </w:style>
  <w:style w:type="paragraph" w:customStyle="1" w:styleId="BoxListNumber">
    <w:name w:val="Box List Number"/>
    <w:basedOn w:val="BodyText"/>
    <w:rsid w:val="00281FC8"/>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281FC8"/>
    <w:pPr>
      <w:numPr>
        <w:ilvl w:val="1"/>
      </w:numPr>
      <w:ind w:left="681" w:hanging="397"/>
    </w:pPr>
  </w:style>
  <w:style w:type="paragraph" w:customStyle="1" w:styleId="BoxQuote">
    <w:name w:val="Box Quote"/>
    <w:basedOn w:val="BodyText"/>
    <w:next w:val="Box"/>
    <w:link w:val="BoxQuoteChar"/>
    <w:qFormat/>
    <w:rsid w:val="00281FC8"/>
    <w:pPr>
      <w:keepNext/>
      <w:spacing w:before="60" w:line="240" w:lineRule="exact"/>
      <w:ind w:left="284"/>
    </w:pPr>
    <w:rPr>
      <w:rFonts w:ascii="Arial" w:hAnsi="Arial"/>
      <w:sz w:val="18"/>
    </w:rPr>
  </w:style>
  <w:style w:type="character" w:customStyle="1" w:styleId="BoxQuoteChar">
    <w:name w:val="Box Quote Char"/>
    <w:link w:val="BoxQuote"/>
    <w:rsid w:val="001F39F2"/>
    <w:rPr>
      <w:rFonts w:ascii="Arial" w:hAnsi="Arial"/>
      <w:sz w:val="18"/>
    </w:rPr>
  </w:style>
  <w:style w:type="paragraph" w:customStyle="1" w:styleId="Note">
    <w:name w:val="Note"/>
    <w:basedOn w:val="BodyText"/>
    <w:next w:val="BodyText"/>
    <w:link w:val="NoteChar"/>
    <w:rsid w:val="00281FC8"/>
    <w:pPr>
      <w:keepLines/>
      <w:spacing w:before="80" w:line="220" w:lineRule="exact"/>
    </w:pPr>
    <w:rPr>
      <w:rFonts w:ascii="Arial" w:hAnsi="Arial"/>
      <w:sz w:val="18"/>
    </w:rPr>
  </w:style>
  <w:style w:type="character" w:customStyle="1" w:styleId="NoteChar">
    <w:name w:val="Note Char"/>
    <w:link w:val="Note"/>
    <w:rsid w:val="001F39F2"/>
    <w:rPr>
      <w:rFonts w:ascii="Arial" w:hAnsi="Arial"/>
      <w:sz w:val="18"/>
    </w:rPr>
  </w:style>
  <w:style w:type="paragraph" w:customStyle="1" w:styleId="Source">
    <w:name w:val="Source"/>
    <w:basedOn w:val="Normal"/>
    <w:next w:val="BodyText"/>
    <w:link w:val="SourceChar"/>
    <w:rsid w:val="00281FC8"/>
    <w:pPr>
      <w:keepLines/>
      <w:spacing w:before="80" w:line="220" w:lineRule="exact"/>
      <w:jc w:val="both"/>
    </w:pPr>
    <w:rPr>
      <w:rFonts w:ascii="Arial" w:hAnsi="Arial"/>
      <w:sz w:val="18"/>
      <w:szCs w:val="20"/>
    </w:rPr>
  </w:style>
  <w:style w:type="character" w:customStyle="1" w:styleId="SourceChar">
    <w:name w:val="Source Char"/>
    <w:basedOn w:val="NoteChar"/>
    <w:link w:val="Source"/>
    <w:rsid w:val="001F39F2"/>
    <w:rPr>
      <w:rFonts w:ascii="Arial" w:hAnsi="Arial"/>
      <w:sz w:val="18"/>
    </w:rPr>
  </w:style>
  <w:style w:type="paragraph" w:customStyle="1" w:styleId="BoxSource">
    <w:name w:val="Box Source"/>
    <w:basedOn w:val="Source"/>
    <w:next w:val="BodyText"/>
    <w:rsid w:val="00281FC8"/>
    <w:pPr>
      <w:spacing w:before="120"/>
    </w:pPr>
  </w:style>
  <w:style w:type="paragraph" w:customStyle="1" w:styleId="BoxSpace">
    <w:name w:val="Box Space"/>
    <w:basedOn w:val="BodyText"/>
    <w:link w:val="BoxSpaceChar"/>
    <w:rsid w:val="00B83E02"/>
    <w:pPr>
      <w:keepNext/>
      <w:spacing w:before="360" w:line="80" w:lineRule="exact"/>
      <w:jc w:val="left"/>
    </w:pPr>
  </w:style>
  <w:style w:type="character" w:customStyle="1" w:styleId="BoxSpaceChar">
    <w:name w:val="Box Space Char"/>
    <w:basedOn w:val="DefaultParagraphFont"/>
    <w:link w:val="BoxSpace"/>
    <w:rsid w:val="00B772AF"/>
    <w:rPr>
      <w:sz w:val="26"/>
    </w:rPr>
  </w:style>
  <w:style w:type="paragraph" w:styleId="Caption">
    <w:name w:val="caption"/>
    <w:basedOn w:val="Normal"/>
    <w:next w:val="BodyText"/>
    <w:rsid w:val="00281FC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81FC8"/>
    <w:pPr>
      <w:spacing w:before="120" w:after="0"/>
    </w:pPr>
  </w:style>
  <w:style w:type="paragraph" w:customStyle="1" w:styleId="BoxSubtitle">
    <w:name w:val="Box Subtitle"/>
    <w:basedOn w:val="BoxTitle"/>
    <w:next w:val="Normal"/>
    <w:rsid w:val="00281FC8"/>
    <w:pPr>
      <w:spacing w:after="80" w:line="200" w:lineRule="exact"/>
      <w:ind w:firstLine="0"/>
    </w:pPr>
    <w:rPr>
      <w:b w:val="0"/>
      <w:sz w:val="20"/>
    </w:rPr>
  </w:style>
  <w:style w:type="character" w:customStyle="1" w:styleId="BoxTitleChar">
    <w:name w:val="Box Title Char"/>
    <w:link w:val="BoxTitle"/>
    <w:rsid w:val="001F39F2"/>
    <w:rPr>
      <w:rFonts w:ascii="Arial" w:hAnsi="Arial"/>
      <w:b/>
      <w:sz w:val="24"/>
      <w:szCs w:val="24"/>
    </w:rPr>
  </w:style>
  <w:style w:type="paragraph" w:customStyle="1" w:styleId="ChapterSummary">
    <w:name w:val="Chapter Summary"/>
    <w:basedOn w:val="BodyText"/>
    <w:rsid w:val="00281FC8"/>
    <w:pPr>
      <w:spacing w:line="280" w:lineRule="atLeast"/>
      <w:ind w:left="907"/>
    </w:pPr>
    <w:rPr>
      <w:rFonts w:ascii="Arial" w:hAnsi="Arial"/>
      <w:b/>
      <w:sz w:val="20"/>
    </w:rPr>
  </w:style>
  <w:style w:type="character" w:styleId="CommentReference">
    <w:name w:val="annotation reference"/>
    <w:basedOn w:val="DefaultParagraphFont"/>
    <w:semiHidden/>
    <w:rsid w:val="00281FC8"/>
    <w:rPr>
      <w:b/>
      <w:vanish/>
      <w:color w:val="FF00FF"/>
      <w:sz w:val="20"/>
    </w:rPr>
  </w:style>
  <w:style w:type="paragraph" w:styleId="CommentText">
    <w:name w:val="annotation text"/>
    <w:basedOn w:val="Normal"/>
    <w:link w:val="CommentTextChar"/>
    <w:semiHidden/>
    <w:rsid w:val="00281FC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F39F2"/>
    <w:rPr>
      <w:szCs w:val="24"/>
    </w:rPr>
  </w:style>
  <w:style w:type="paragraph" w:customStyle="1" w:styleId="Continued">
    <w:name w:val="Continued"/>
    <w:basedOn w:val="BoxContinued"/>
    <w:next w:val="BodyText"/>
    <w:link w:val="ContinuedChar"/>
    <w:rsid w:val="00281FC8"/>
  </w:style>
  <w:style w:type="character" w:customStyle="1" w:styleId="ContinuedChar">
    <w:name w:val="Continued Char"/>
    <w:link w:val="Continued"/>
    <w:rsid w:val="001F39F2"/>
    <w:rPr>
      <w:rFonts w:ascii="Arial" w:hAnsi="Arial"/>
      <w:sz w:val="18"/>
    </w:rPr>
  </w:style>
  <w:style w:type="character" w:customStyle="1" w:styleId="DocumentInfo">
    <w:name w:val="Document Info"/>
    <w:basedOn w:val="DefaultParagraphFont"/>
    <w:semiHidden/>
    <w:rsid w:val="00281FC8"/>
    <w:rPr>
      <w:rFonts w:ascii="Arial" w:hAnsi="Arial"/>
      <w:sz w:val="14"/>
    </w:rPr>
  </w:style>
  <w:style w:type="character" w:customStyle="1" w:styleId="DraftingNote">
    <w:name w:val="Drafting Note"/>
    <w:basedOn w:val="DefaultParagraphFont"/>
    <w:rsid w:val="00281FC8"/>
    <w:rPr>
      <w:b/>
      <w:color w:val="FF0000"/>
      <w:sz w:val="24"/>
      <w:u w:val="dotted"/>
    </w:rPr>
  </w:style>
  <w:style w:type="paragraph" w:customStyle="1" w:styleId="Figure">
    <w:name w:val="Figure"/>
    <w:basedOn w:val="BodyText"/>
    <w:link w:val="FigureChar"/>
    <w:rsid w:val="00281FC8"/>
    <w:pPr>
      <w:keepNext/>
      <w:spacing w:before="120" w:after="120" w:line="240" w:lineRule="atLeast"/>
      <w:jc w:val="center"/>
    </w:pPr>
  </w:style>
  <w:style w:type="character" w:customStyle="1" w:styleId="FigureChar">
    <w:name w:val="Figure Char"/>
    <w:link w:val="Figure"/>
    <w:rsid w:val="001F39F2"/>
    <w:rPr>
      <w:sz w:val="24"/>
    </w:rPr>
  </w:style>
  <w:style w:type="paragraph" w:customStyle="1" w:styleId="FigureTitle">
    <w:name w:val="Figure Title"/>
    <w:basedOn w:val="Caption"/>
    <w:next w:val="Subtitle"/>
    <w:link w:val="FigureTitleChar"/>
    <w:rsid w:val="00281FC8"/>
    <w:pPr>
      <w:spacing w:before="120"/>
    </w:pPr>
  </w:style>
  <w:style w:type="paragraph" w:styleId="Subtitle">
    <w:name w:val="Subtitle"/>
    <w:basedOn w:val="Caption"/>
    <w:link w:val="SubtitleChar"/>
    <w:qFormat/>
    <w:rsid w:val="00281FC8"/>
    <w:pPr>
      <w:spacing w:before="0" w:line="200" w:lineRule="exact"/>
      <w:ind w:firstLine="0"/>
    </w:pPr>
    <w:rPr>
      <w:b w:val="0"/>
      <w:sz w:val="20"/>
    </w:rPr>
  </w:style>
  <w:style w:type="character" w:customStyle="1" w:styleId="SubtitleChar">
    <w:name w:val="Subtitle Char"/>
    <w:basedOn w:val="DefaultParagraphFont"/>
    <w:link w:val="Subtitle"/>
    <w:rsid w:val="00281FC8"/>
    <w:rPr>
      <w:rFonts w:ascii="Arial" w:hAnsi="Arial"/>
      <w:szCs w:val="24"/>
    </w:rPr>
  </w:style>
  <w:style w:type="character" w:customStyle="1" w:styleId="FigureTitleChar">
    <w:name w:val="Figure Title Char"/>
    <w:link w:val="FigureTitle"/>
    <w:rsid w:val="001F39F2"/>
    <w:rPr>
      <w:rFonts w:ascii="Arial" w:hAnsi="Arial"/>
      <w:b/>
      <w:sz w:val="24"/>
      <w:szCs w:val="24"/>
    </w:rPr>
  </w:style>
  <w:style w:type="paragraph" w:customStyle="1" w:styleId="Finding">
    <w:name w:val="Finding"/>
    <w:basedOn w:val="BodyText"/>
    <w:rsid w:val="00281FC8"/>
    <w:pPr>
      <w:keepLines/>
      <w:spacing w:before="120" w:line="280" w:lineRule="atLeast"/>
    </w:pPr>
    <w:rPr>
      <w:rFonts w:ascii="Arial" w:hAnsi="Arial"/>
      <w:sz w:val="22"/>
    </w:rPr>
  </w:style>
  <w:style w:type="paragraph" w:customStyle="1" w:styleId="FindingBullet">
    <w:name w:val="Finding Bullet"/>
    <w:basedOn w:val="Finding"/>
    <w:rsid w:val="00281FC8"/>
    <w:pPr>
      <w:numPr>
        <w:numId w:val="3"/>
      </w:numPr>
      <w:spacing w:before="80"/>
    </w:pPr>
  </w:style>
  <w:style w:type="paragraph" w:customStyle="1" w:styleId="FindingNoTitle">
    <w:name w:val="Finding NoTitle"/>
    <w:basedOn w:val="Finding"/>
    <w:rsid w:val="00281FC8"/>
    <w:pPr>
      <w:spacing w:before="240"/>
    </w:pPr>
  </w:style>
  <w:style w:type="paragraph" w:customStyle="1" w:styleId="RecTitle">
    <w:name w:val="Rec Title"/>
    <w:basedOn w:val="BodyText"/>
    <w:next w:val="Rec"/>
    <w:qFormat/>
    <w:rsid w:val="00281FC8"/>
    <w:pPr>
      <w:keepNext/>
      <w:keepLines/>
      <w:spacing w:line="280" w:lineRule="atLeast"/>
    </w:pPr>
    <w:rPr>
      <w:rFonts w:ascii="Arial" w:hAnsi="Arial"/>
      <w:caps/>
      <w:sz w:val="18"/>
    </w:rPr>
  </w:style>
  <w:style w:type="paragraph" w:customStyle="1" w:styleId="FindingTitle">
    <w:name w:val="Finding Title"/>
    <w:basedOn w:val="RecTitle"/>
    <w:next w:val="Finding"/>
    <w:rsid w:val="00281FC8"/>
  </w:style>
  <w:style w:type="character" w:styleId="FootnoteReference">
    <w:name w:val="footnote reference"/>
    <w:basedOn w:val="DefaultParagraphFont"/>
    <w:rsid w:val="00281FC8"/>
    <w:rPr>
      <w:rFonts w:ascii="Times New Roman" w:hAnsi="Times New Roman"/>
      <w:position w:val="6"/>
      <w:sz w:val="20"/>
      <w:vertAlign w:val="baseline"/>
    </w:rPr>
  </w:style>
  <w:style w:type="paragraph" w:styleId="FootnoteText">
    <w:name w:val="footnote text"/>
    <w:basedOn w:val="BodyText"/>
    <w:link w:val="FootnoteTextChar"/>
    <w:rsid w:val="00281FC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281FC8"/>
    <w:rPr>
      <w:i/>
    </w:rPr>
  </w:style>
  <w:style w:type="paragraph" w:customStyle="1" w:styleId="Jurisdictioncommentsbodytext">
    <w:name w:val="Jurisdiction comments body text"/>
    <w:rsid w:val="00281FC8"/>
    <w:pPr>
      <w:spacing w:after="140"/>
      <w:jc w:val="both"/>
    </w:pPr>
    <w:rPr>
      <w:rFonts w:ascii="Arial" w:hAnsi="Arial"/>
      <w:sz w:val="24"/>
      <w:lang w:eastAsia="en-US"/>
    </w:rPr>
  </w:style>
  <w:style w:type="paragraph" w:customStyle="1" w:styleId="Jurisdictioncommentsheading">
    <w:name w:val="Jurisdiction comments heading"/>
    <w:rsid w:val="00281FC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281FC8"/>
    <w:pPr>
      <w:numPr>
        <w:numId w:val="4"/>
      </w:numPr>
      <w:spacing w:after="140"/>
      <w:jc w:val="both"/>
    </w:pPr>
    <w:rPr>
      <w:rFonts w:ascii="Arial" w:hAnsi="Arial"/>
      <w:sz w:val="24"/>
      <w:lang w:eastAsia="en-US"/>
    </w:rPr>
  </w:style>
  <w:style w:type="character" w:customStyle="1" w:styleId="JurisdictioncommentslistbulletChar">
    <w:name w:val="Jurisdiction comments list bullet Char"/>
    <w:link w:val="Jurisdictioncommentslistbullet"/>
    <w:rsid w:val="001F39F2"/>
    <w:rPr>
      <w:rFonts w:ascii="Arial" w:hAnsi="Arial"/>
      <w:sz w:val="24"/>
      <w:lang w:eastAsia="en-US"/>
    </w:rPr>
  </w:style>
  <w:style w:type="paragraph" w:styleId="ListBullet">
    <w:name w:val="List Bullet"/>
    <w:basedOn w:val="BodyText"/>
    <w:link w:val="ListBulletChar"/>
    <w:rsid w:val="00281FC8"/>
    <w:pPr>
      <w:numPr>
        <w:numId w:val="5"/>
      </w:numPr>
      <w:spacing w:before="120"/>
    </w:pPr>
  </w:style>
  <w:style w:type="character" w:customStyle="1" w:styleId="ListBulletChar">
    <w:name w:val="List Bullet Char"/>
    <w:link w:val="ListBullet"/>
    <w:rsid w:val="001F39F2"/>
    <w:rPr>
      <w:sz w:val="24"/>
    </w:rPr>
  </w:style>
  <w:style w:type="paragraph" w:styleId="ListBullet2">
    <w:name w:val="List Bullet 2"/>
    <w:basedOn w:val="BodyText"/>
    <w:rsid w:val="00281FC8"/>
    <w:pPr>
      <w:numPr>
        <w:numId w:val="6"/>
      </w:numPr>
      <w:spacing w:before="120"/>
    </w:pPr>
  </w:style>
  <w:style w:type="paragraph" w:styleId="ListBullet3">
    <w:name w:val="List Bullet 3"/>
    <w:basedOn w:val="BodyText"/>
    <w:rsid w:val="00281FC8"/>
    <w:pPr>
      <w:numPr>
        <w:numId w:val="7"/>
      </w:numPr>
      <w:spacing w:before="120"/>
      <w:ind w:left="1020" w:hanging="340"/>
    </w:pPr>
  </w:style>
  <w:style w:type="paragraph" w:styleId="ListNumber">
    <w:name w:val="List Number"/>
    <w:basedOn w:val="BodyText"/>
    <w:rsid w:val="00281FC8"/>
    <w:pPr>
      <w:numPr>
        <w:numId w:val="13"/>
      </w:numPr>
      <w:spacing w:before="120"/>
    </w:pPr>
  </w:style>
  <w:style w:type="paragraph" w:styleId="ListNumber2">
    <w:name w:val="List Number 2"/>
    <w:basedOn w:val="ListNumber"/>
    <w:rsid w:val="00281FC8"/>
    <w:pPr>
      <w:numPr>
        <w:ilvl w:val="1"/>
      </w:numPr>
    </w:pPr>
  </w:style>
  <w:style w:type="paragraph" w:styleId="ListNumber3">
    <w:name w:val="List Number 3"/>
    <w:basedOn w:val="ListNumber2"/>
    <w:rsid w:val="00281FC8"/>
    <w:pPr>
      <w:numPr>
        <w:ilvl w:val="2"/>
      </w:numPr>
    </w:pPr>
  </w:style>
  <w:style w:type="character" w:customStyle="1" w:styleId="NoteLabel">
    <w:name w:val="Note Label"/>
    <w:basedOn w:val="DefaultParagraphFont"/>
    <w:rsid w:val="00281FC8"/>
    <w:rPr>
      <w:rFonts w:ascii="Arial" w:hAnsi="Arial"/>
      <w:b/>
      <w:position w:val="6"/>
      <w:sz w:val="18"/>
    </w:rPr>
  </w:style>
  <w:style w:type="paragraph" w:customStyle="1" w:styleId="PartDivider">
    <w:name w:val="Part Divider"/>
    <w:basedOn w:val="BodyText"/>
    <w:next w:val="BodyText"/>
    <w:semiHidden/>
    <w:rsid w:val="00281FC8"/>
    <w:pPr>
      <w:spacing w:before="0" w:line="40" w:lineRule="exact"/>
      <w:jc w:val="right"/>
    </w:pPr>
    <w:rPr>
      <w:smallCaps/>
      <w:sz w:val="16"/>
    </w:rPr>
  </w:style>
  <w:style w:type="paragraph" w:customStyle="1" w:styleId="PartNumber">
    <w:name w:val="Part Number"/>
    <w:basedOn w:val="BodyText"/>
    <w:next w:val="BodyText"/>
    <w:semiHidden/>
    <w:rsid w:val="00281FC8"/>
    <w:pPr>
      <w:spacing w:before="4000" w:line="320" w:lineRule="exact"/>
      <w:ind w:left="6634"/>
      <w:jc w:val="right"/>
    </w:pPr>
    <w:rPr>
      <w:smallCaps/>
      <w:spacing w:val="60"/>
      <w:sz w:val="32"/>
    </w:rPr>
  </w:style>
  <w:style w:type="paragraph" w:customStyle="1" w:styleId="PartTitle">
    <w:name w:val="Part Title"/>
    <w:basedOn w:val="BodyText"/>
    <w:semiHidden/>
    <w:rsid w:val="00281FC8"/>
    <w:pPr>
      <w:spacing w:before="160" w:after="1360" w:line="520" w:lineRule="exact"/>
      <w:ind w:right="2381"/>
      <w:jc w:val="right"/>
    </w:pPr>
    <w:rPr>
      <w:smallCaps/>
      <w:sz w:val="52"/>
    </w:rPr>
  </w:style>
  <w:style w:type="paragraph" w:styleId="Quote">
    <w:name w:val="Quote"/>
    <w:basedOn w:val="BodyText"/>
    <w:next w:val="BodyText"/>
    <w:qFormat/>
    <w:rsid w:val="00281FC8"/>
    <w:pPr>
      <w:spacing w:before="120" w:line="280" w:lineRule="exact"/>
      <w:ind w:left="340"/>
    </w:pPr>
    <w:rPr>
      <w:sz w:val="22"/>
    </w:rPr>
  </w:style>
  <w:style w:type="paragraph" w:customStyle="1" w:styleId="QuoteBullet">
    <w:name w:val="Quote Bullet"/>
    <w:basedOn w:val="Quote"/>
    <w:rsid w:val="00281FC8"/>
    <w:pPr>
      <w:numPr>
        <w:numId w:val="8"/>
      </w:numPr>
    </w:pPr>
  </w:style>
  <w:style w:type="paragraph" w:customStyle="1" w:styleId="Rec">
    <w:name w:val="Rec"/>
    <w:basedOn w:val="BodyText"/>
    <w:qFormat/>
    <w:rsid w:val="00281FC8"/>
    <w:pPr>
      <w:keepLines/>
      <w:spacing w:before="120" w:line="280" w:lineRule="atLeast"/>
    </w:pPr>
    <w:rPr>
      <w:rFonts w:ascii="Arial" w:hAnsi="Arial"/>
      <w:sz w:val="22"/>
    </w:rPr>
  </w:style>
  <w:style w:type="paragraph" w:customStyle="1" w:styleId="RecBullet">
    <w:name w:val="Rec Bullet"/>
    <w:basedOn w:val="Rec"/>
    <w:rsid w:val="00281FC8"/>
    <w:pPr>
      <w:numPr>
        <w:numId w:val="9"/>
      </w:numPr>
      <w:spacing w:before="80"/>
    </w:pPr>
  </w:style>
  <w:style w:type="paragraph" w:customStyle="1" w:styleId="RecB">
    <w:name w:val="RecB"/>
    <w:basedOn w:val="Normal"/>
    <w:rsid w:val="00281FC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81FC8"/>
    <w:pPr>
      <w:numPr>
        <w:numId w:val="10"/>
      </w:numPr>
      <w:spacing w:before="80"/>
    </w:pPr>
  </w:style>
  <w:style w:type="paragraph" w:customStyle="1" w:styleId="RecBNoTitle">
    <w:name w:val="RecB NoTitle"/>
    <w:basedOn w:val="RecB"/>
    <w:rsid w:val="00281FC8"/>
    <w:pPr>
      <w:spacing w:before="240"/>
    </w:pPr>
  </w:style>
  <w:style w:type="paragraph" w:customStyle="1" w:styleId="Reference">
    <w:name w:val="Reference"/>
    <w:basedOn w:val="BodyText"/>
    <w:rsid w:val="00281FC8"/>
    <w:pPr>
      <w:spacing w:before="120"/>
      <w:ind w:left="340" w:hanging="340"/>
    </w:pPr>
  </w:style>
  <w:style w:type="paragraph" w:customStyle="1" w:styleId="SequenceInfo">
    <w:name w:val="Sequence Info"/>
    <w:basedOn w:val="BodyText"/>
    <w:semiHidden/>
    <w:rsid w:val="00281FC8"/>
    <w:rPr>
      <w:vanish/>
      <w:sz w:val="16"/>
    </w:rPr>
  </w:style>
  <w:style w:type="paragraph" w:customStyle="1" w:styleId="SideNote">
    <w:name w:val="Side Note"/>
    <w:basedOn w:val="BodyText"/>
    <w:next w:val="BodyText"/>
    <w:semiHidden/>
    <w:rsid w:val="00281FC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281FC8"/>
    <w:pPr>
      <w:framePr w:wrap="around"/>
      <w:numPr>
        <w:numId w:val="11"/>
      </w:numPr>
      <w:tabs>
        <w:tab w:val="left" w:pos="227"/>
      </w:tabs>
    </w:pPr>
  </w:style>
  <w:style w:type="paragraph" w:customStyle="1" w:styleId="SideNoteGraphic">
    <w:name w:val="Side Note Graphic"/>
    <w:basedOn w:val="SideNote"/>
    <w:next w:val="BodyText"/>
    <w:semiHidden/>
    <w:rsid w:val="00281FC8"/>
    <w:pPr>
      <w:framePr w:wrap="around"/>
    </w:pPr>
  </w:style>
  <w:style w:type="paragraph" w:customStyle="1" w:styleId="TableBodyText">
    <w:name w:val="Table Body Text"/>
    <w:basedOn w:val="BodyText"/>
    <w:link w:val="TableBodyTextChar"/>
    <w:rsid w:val="00281FC8"/>
    <w:pPr>
      <w:keepNext/>
      <w:keepLines/>
      <w:spacing w:before="0" w:after="40" w:line="200" w:lineRule="atLeast"/>
      <w:ind w:left="6" w:right="113"/>
      <w:jc w:val="right"/>
    </w:pPr>
    <w:rPr>
      <w:rFonts w:ascii="Arial" w:hAnsi="Arial"/>
      <w:sz w:val="18"/>
    </w:rPr>
  </w:style>
  <w:style w:type="character" w:customStyle="1" w:styleId="TableBodyTextChar">
    <w:name w:val="Table Body Text Char"/>
    <w:link w:val="TableBodyText"/>
    <w:rsid w:val="001F39F2"/>
    <w:rPr>
      <w:rFonts w:ascii="Arial" w:hAnsi="Arial"/>
      <w:sz w:val="18"/>
    </w:rPr>
  </w:style>
  <w:style w:type="paragraph" w:customStyle="1" w:styleId="TableBullet">
    <w:name w:val="Table Bullet"/>
    <w:basedOn w:val="TableBodyText"/>
    <w:rsid w:val="00281FC8"/>
    <w:pPr>
      <w:numPr>
        <w:numId w:val="12"/>
      </w:numPr>
      <w:jc w:val="left"/>
    </w:pPr>
  </w:style>
  <w:style w:type="paragraph" w:customStyle="1" w:styleId="TableColumnHeading">
    <w:name w:val="Table Column Heading"/>
    <w:basedOn w:val="TableBodyText"/>
    <w:link w:val="TableColumnHeadingChar"/>
    <w:rsid w:val="00281FC8"/>
    <w:pPr>
      <w:spacing w:before="80" w:after="80"/>
    </w:pPr>
    <w:rPr>
      <w:i/>
    </w:rPr>
  </w:style>
  <w:style w:type="character" w:customStyle="1" w:styleId="TableColumnHeadingChar">
    <w:name w:val="Table Column Heading Char"/>
    <w:basedOn w:val="TableBodyTextChar"/>
    <w:link w:val="TableColumnHeading"/>
    <w:rsid w:val="005E1D0C"/>
    <w:rPr>
      <w:rFonts w:ascii="Arial" w:hAnsi="Arial"/>
      <w:i/>
      <w:sz w:val="18"/>
    </w:rPr>
  </w:style>
  <w:style w:type="paragraph" w:styleId="TOC2">
    <w:name w:val="toc 2"/>
    <w:basedOn w:val="TOC1"/>
    <w:rsid w:val="00281FC8"/>
    <w:pPr>
      <w:ind w:left="1134" w:hanging="624"/>
    </w:pPr>
    <w:rPr>
      <w:b w:val="0"/>
    </w:rPr>
  </w:style>
  <w:style w:type="paragraph" w:styleId="TOC3">
    <w:name w:val="toc 3"/>
    <w:basedOn w:val="TOC2"/>
    <w:rsid w:val="00281FC8"/>
    <w:pPr>
      <w:spacing w:before="60"/>
      <w:ind w:left="1190" w:hanging="680"/>
    </w:pPr>
  </w:style>
  <w:style w:type="paragraph" w:styleId="TableofFigures">
    <w:name w:val="table of figures"/>
    <w:basedOn w:val="TOC3"/>
    <w:next w:val="BodyText"/>
    <w:semiHidden/>
    <w:rsid w:val="00281FC8"/>
    <w:pPr>
      <w:ind w:left="737" w:hanging="737"/>
    </w:pPr>
  </w:style>
  <w:style w:type="paragraph" w:customStyle="1" w:styleId="TableTitle">
    <w:name w:val="Table Title"/>
    <w:basedOn w:val="Caption"/>
    <w:next w:val="Subtitle"/>
    <w:link w:val="TableTitleChar"/>
    <w:qFormat/>
    <w:rsid w:val="00281FC8"/>
    <w:pPr>
      <w:spacing w:before="120"/>
    </w:pPr>
  </w:style>
  <w:style w:type="character" w:customStyle="1" w:styleId="TableTitleChar">
    <w:name w:val="Table Title Char"/>
    <w:basedOn w:val="DefaultParagraphFont"/>
    <w:link w:val="TableTitle"/>
    <w:rsid w:val="005E1D0C"/>
    <w:rPr>
      <w:rFonts w:ascii="Arial" w:hAnsi="Arial"/>
      <w:b/>
      <w:sz w:val="24"/>
      <w:szCs w:val="24"/>
    </w:rPr>
  </w:style>
  <w:style w:type="paragraph" w:customStyle="1" w:styleId="TableUnitsRow">
    <w:name w:val="Table Units Row"/>
    <w:basedOn w:val="TableBodyText"/>
    <w:rsid w:val="00281FC8"/>
    <w:pPr>
      <w:spacing w:before="40"/>
    </w:pPr>
  </w:style>
  <w:style w:type="paragraph" w:styleId="TOC1">
    <w:name w:val="toc 1"/>
    <w:basedOn w:val="Normal"/>
    <w:next w:val="TOC2"/>
    <w:link w:val="TOC1Char"/>
    <w:rsid w:val="00281FC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281FC8"/>
    <w:pPr>
      <w:ind w:left="1191" w:firstLine="0"/>
    </w:pPr>
  </w:style>
  <w:style w:type="paragraph" w:customStyle="1" w:styleId="RecBBullet2">
    <w:name w:val="RecB Bullet 2"/>
    <w:basedOn w:val="ListBullet2"/>
    <w:rsid w:val="00281FC8"/>
    <w:pPr>
      <w:pBdr>
        <w:left w:val="single" w:sz="24" w:space="29" w:color="C0C0C0"/>
      </w:pBdr>
    </w:pPr>
    <w:rPr>
      <w:b/>
      <w:i/>
    </w:rPr>
  </w:style>
  <w:style w:type="paragraph" w:styleId="BalloonText">
    <w:name w:val="Balloon Text"/>
    <w:basedOn w:val="Normal"/>
    <w:link w:val="BalloonTextChar"/>
    <w:rsid w:val="00281FC8"/>
    <w:rPr>
      <w:rFonts w:ascii="Tahoma" w:hAnsi="Tahoma" w:cs="Tahoma"/>
      <w:sz w:val="16"/>
      <w:szCs w:val="16"/>
    </w:rPr>
  </w:style>
  <w:style w:type="character" w:customStyle="1" w:styleId="BalloonTextChar">
    <w:name w:val="Balloon Text Char"/>
    <w:basedOn w:val="DefaultParagraphFont"/>
    <w:link w:val="BalloonText"/>
    <w:rsid w:val="00281FC8"/>
    <w:rPr>
      <w:rFonts w:ascii="Tahoma" w:hAnsi="Tahoma" w:cs="Tahoma"/>
      <w:sz w:val="16"/>
      <w:szCs w:val="16"/>
    </w:rPr>
  </w:style>
  <w:style w:type="paragraph" w:customStyle="1" w:styleId="BoxListBullet3">
    <w:name w:val="Box List Bullet 3"/>
    <w:basedOn w:val="ListBullet3"/>
    <w:rsid w:val="00281FC8"/>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281FC8"/>
    <w:rPr>
      <w:i/>
      <w:iCs/>
    </w:rPr>
  </w:style>
  <w:style w:type="paragraph" w:customStyle="1" w:styleId="SOC">
    <w:name w:val="SOC"/>
    <w:basedOn w:val="Normal"/>
    <w:rsid w:val="001F39F2"/>
    <w:pPr>
      <w:spacing w:after="140"/>
      <w:jc w:val="both"/>
    </w:pPr>
    <w:rPr>
      <w:rFonts w:ascii="Arial" w:hAnsi="Arial"/>
      <w:szCs w:val="20"/>
    </w:rPr>
  </w:style>
  <w:style w:type="character" w:styleId="Hyperlink">
    <w:name w:val="Hyperlink"/>
    <w:uiPriority w:val="99"/>
    <w:rsid w:val="001F39F2"/>
    <w:rPr>
      <w:color w:val="0000FF"/>
      <w:u w:val="single"/>
    </w:rPr>
  </w:style>
  <w:style w:type="table" w:styleId="TableGrid">
    <w:name w:val="Table Grid"/>
    <w:basedOn w:val="TableNormal"/>
    <w:rsid w:val="00281F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1F39F2"/>
    <w:rPr>
      <w:b/>
      <w:bCs/>
    </w:rPr>
  </w:style>
  <w:style w:type="paragraph" w:customStyle="1" w:styleId="DocInfo">
    <w:name w:val="Doc Info"/>
    <w:basedOn w:val="Normal"/>
    <w:next w:val="Normal"/>
    <w:rsid w:val="001F39F2"/>
    <w:pPr>
      <w:jc w:val="center"/>
    </w:pPr>
    <w:rPr>
      <w:rFonts w:ascii="Arial" w:hAnsi="Arial"/>
      <w:sz w:val="14"/>
    </w:rPr>
  </w:style>
  <w:style w:type="paragraph" w:customStyle="1" w:styleId="Heading2NotTOC">
    <w:name w:val="Heading 2 Not TOC"/>
    <w:basedOn w:val="Heading2"/>
    <w:next w:val="Normal"/>
    <w:rsid w:val="001F39F2"/>
    <w:pPr>
      <w:outlineLvl w:val="9"/>
    </w:pPr>
  </w:style>
  <w:style w:type="paragraph" w:customStyle="1" w:styleId="TableFigText">
    <w:name w:val="Table/Fig: Text"/>
    <w:basedOn w:val="Normal"/>
    <w:link w:val="TableFigTextChar"/>
    <w:rsid w:val="001F39F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1F39F2"/>
    <w:rPr>
      <w:rFonts w:ascii="Arial" w:hAnsi="Arial"/>
      <w:color w:val="000000"/>
      <w:sz w:val="16"/>
      <w:lang w:eastAsia="en-US"/>
    </w:rPr>
  </w:style>
  <w:style w:type="table" w:styleId="Table3Deffects1">
    <w:name w:val="Table 3D effects 1"/>
    <w:basedOn w:val="TableNormal"/>
    <w:rsid w:val="001F39F2"/>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1F39F2"/>
    <w:rPr>
      <w:sz w:val="26"/>
      <w:lang w:val="en-AU" w:eastAsia="en-AU" w:bidi="ar-SA"/>
    </w:rPr>
  </w:style>
  <w:style w:type="paragraph" w:styleId="DocumentMap">
    <w:name w:val="Document Map"/>
    <w:basedOn w:val="Normal"/>
    <w:link w:val="DocumentMapChar"/>
    <w:rsid w:val="001F39F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F39F2"/>
    <w:rPr>
      <w:rFonts w:ascii="Tahoma" w:hAnsi="Tahoma" w:cs="Tahoma"/>
      <w:shd w:val="clear" w:color="auto" w:fill="000080"/>
    </w:rPr>
  </w:style>
  <w:style w:type="paragraph" w:customStyle="1" w:styleId="Pa1">
    <w:name w:val="Pa1"/>
    <w:basedOn w:val="Normal"/>
    <w:next w:val="Normal"/>
    <w:rsid w:val="001F39F2"/>
    <w:pPr>
      <w:autoSpaceDE w:val="0"/>
      <w:autoSpaceDN w:val="0"/>
      <w:adjustRightInd w:val="0"/>
      <w:spacing w:line="241" w:lineRule="atLeast"/>
    </w:pPr>
    <w:rPr>
      <w:rFonts w:ascii="Arial" w:hAnsi="Arial"/>
    </w:rPr>
  </w:style>
  <w:style w:type="paragraph" w:styleId="CommentSubject">
    <w:name w:val="annotation subject"/>
    <w:basedOn w:val="CommentText"/>
    <w:next w:val="CommentText"/>
    <w:link w:val="CommentSubjectChar"/>
    <w:rsid w:val="001F39F2"/>
    <w:pPr>
      <w:spacing w:before="0" w:line="240" w:lineRule="auto"/>
      <w:ind w:left="0" w:firstLine="0"/>
    </w:pPr>
    <w:rPr>
      <w:b/>
      <w:bCs/>
      <w:szCs w:val="20"/>
    </w:rPr>
  </w:style>
  <w:style w:type="character" w:customStyle="1" w:styleId="CommentSubjectChar">
    <w:name w:val="Comment Subject Char"/>
    <w:basedOn w:val="CommentTextChar"/>
    <w:link w:val="CommentSubject"/>
    <w:rsid w:val="001F39F2"/>
    <w:rPr>
      <w:b/>
      <w:bCs/>
      <w:szCs w:val="24"/>
    </w:rPr>
  </w:style>
  <w:style w:type="paragraph" w:customStyle="1" w:styleId="BoxQuoteBullet">
    <w:name w:val="Box Quote Bullet"/>
    <w:basedOn w:val="BoxQuote"/>
    <w:next w:val="Box"/>
    <w:rsid w:val="00281FC8"/>
    <w:pPr>
      <w:numPr>
        <w:numId w:val="15"/>
      </w:numPr>
      <w:ind w:left="568" w:hanging="284"/>
    </w:pPr>
  </w:style>
  <w:style w:type="paragraph" w:customStyle="1" w:styleId="InformationRequestBullet">
    <w:name w:val="Information Request Bullet"/>
    <w:basedOn w:val="ListBullet"/>
    <w:next w:val="BodyText"/>
    <w:rsid w:val="00281FC8"/>
    <w:pPr>
      <w:numPr>
        <w:numId w:val="16"/>
      </w:numPr>
      <w:spacing w:before="80" w:line="280" w:lineRule="atLeast"/>
      <w:ind w:left="357" w:hanging="357"/>
    </w:pPr>
    <w:rPr>
      <w:rFonts w:ascii="Arial" w:hAnsi="Arial"/>
      <w:i/>
      <w:sz w:val="22"/>
    </w:rPr>
  </w:style>
  <w:style w:type="paragraph" w:styleId="NormalWeb">
    <w:name w:val="Normal (Web)"/>
    <w:basedOn w:val="Normal"/>
    <w:uiPriority w:val="99"/>
    <w:unhideWhenUsed/>
    <w:rsid w:val="00710693"/>
    <w:pPr>
      <w:spacing w:before="100" w:beforeAutospacing="1" w:after="100" w:afterAutospacing="1"/>
    </w:pPr>
  </w:style>
  <w:style w:type="paragraph" w:styleId="Revision">
    <w:name w:val="Revision"/>
    <w:hidden/>
    <w:uiPriority w:val="99"/>
    <w:semiHidden/>
    <w:rsid w:val="00FD1608"/>
    <w:rPr>
      <w:sz w:val="26"/>
      <w:szCs w:val="24"/>
    </w:rPr>
  </w:style>
  <w:style w:type="paragraph" w:customStyle="1" w:styleId="BoxSpaceAbove">
    <w:name w:val="Box Space Above"/>
    <w:basedOn w:val="BodyText"/>
    <w:rsid w:val="00281FC8"/>
    <w:pPr>
      <w:keepNext/>
      <w:spacing w:before="360" w:line="80" w:lineRule="exact"/>
      <w:jc w:val="left"/>
    </w:pPr>
  </w:style>
  <w:style w:type="paragraph" w:customStyle="1" w:styleId="BoxSpaceBelow">
    <w:name w:val="Box Space Below"/>
    <w:basedOn w:val="Box"/>
    <w:rsid w:val="00281FC8"/>
    <w:pPr>
      <w:keepNext w:val="0"/>
      <w:spacing w:before="60" w:after="60" w:line="80" w:lineRule="exact"/>
    </w:pPr>
    <w:rPr>
      <w:sz w:val="14"/>
    </w:rPr>
  </w:style>
  <w:style w:type="paragraph" w:styleId="List">
    <w:name w:val="List"/>
    <w:basedOn w:val="Normal"/>
    <w:rsid w:val="0054638E"/>
    <w:pPr>
      <w:ind w:left="283" w:hanging="283"/>
      <w:contextualSpacing/>
    </w:pPr>
  </w:style>
  <w:style w:type="paragraph" w:customStyle="1" w:styleId="AIHWbodytext">
    <w:name w:val="AIHW body text"/>
    <w:basedOn w:val="Normal"/>
    <w:link w:val="AIHWbodytextChar"/>
    <w:qFormat/>
    <w:rsid w:val="009730EC"/>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uiPriority w:val="2"/>
    <w:qFormat/>
    <w:rsid w:val="009730EC"/>
    <w:pPr>
      <w:numPr>
        <w:numId w:val="18"/>
      </w:numPr>
      <w:spacing w:before="40" w:after="80"/>
    </w:pPr>
  </w:style>
  <w:style w:type="character" w:customStyle="1" w:styleId="AIHWbodytextChar">
    <w:name w:val="AIHW body text Char"/>
    <w:link w:val="AIHWbodytext"/>
    <w:locked/>
    <w:rsid w:val="009730EC"/>
    <w:rPr>
      <w:rFonts w:ascii="Book Antiqua" w:hAnsi="Book Antiqua"/>
      <w:sz w:val="22"/>
      <w:lang w:eastAsia="en-US"/>
    </w:rPr>
  </w:style>
  <w:style w:type="paragraph" w:customStyle="1" w:styleId="AIHWbodytextintable">
    <w:name w:val="AIHW body text in table"/>
    <w:basedOn w:val="AIHWbodytext"/>
    <w:next w:val="AIHWbodytext"/>
    <w:rsid w:val="009730EC"/>
    <w:pPr>
      <w:spacing w:before="80" w:after="80"/>
    </w:pPr>
  </w:style>
  <w:style w:type="character" w:customStyle="1" w:styleId="Bullet1Char">
    <w:name w:val="Bullet 1 Char"/>
    <w:link w:val="Bullet1"/>
    <w:rsid w:val="009730EC"/>
    <w:rPr>
      <w:rFonts w:ascii="Book Antiqua" w:hAnsi="Book Antiqua"/>
      <w:sz w:val="22"/>
      <w:lang w:eastAsia="en-US"/>
    </w:rPr>
  </w:style>
  <w:style w:type="paragraph" w:styleId="ListParagraph">
    <w:name w:val="List Paragraph"/>
    <w:basedOn w:val="Normal"/>
    <w:qFormat/>
    <w:rsid w:val="000F215F"/>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DB6DCF"/>
    <w:pPr>
      <w:autoSpaceDE w:val="0"/>
      <w:autoSpaceDN w:val="0"/>
      <w:adjustRightInd w:val="0"/>
    </w:pPr>
    <w:rPr>
      <w:rFonts w:eastAsiaTheme="minorHAnsi"/>
      <w:color w:val="000000"/>
      <w:sz w:val="24"/>
      <w:szCs w:val="24"/>
      <w:lang w:eastAsia="en-US"/>
    </w:rPr>
  </w:style>
  <w:style w:type="paragraph" w:customStyle="1" w:styleId="KeyPointsListBullet">
    <w:name w:val="Key Points List Bullet"/>
    <w:basedOn w:val="Normal"/>
    <w:qFormat/>
    <w:rsid w:val="00281FC8"/>
    <w:pPr>
      <w:keepNext/>
      <w:numPr>
        <w:numId w:val="5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281FC8"/>
    <w:pPr>
      <w:numPr>
        <w:numId w:val="51"/>
      </w:numPr>
      <w:ind w:left="568" w:hanging="284"/>
    </w:pPr>
  </w:style>
  <w:style w:type="paragraph" w:customStyle="1" w:styleId="InformationRequestTitle">
    <w:name w:val="Information Request Title"/>
    <w:basedOn w:val="FindingTitle"/>
    <w:next w:val="InformationRequest"/>
    <w:rsid w:val="00281FC8"/>
    <w:rPr>
      <w:i/>
    </w:rPr>
  </w:style>
  <w:style w:type="paragraph" w:customStyle="1" w:styleId="Space">
    <w:name w:val="Space"/>
    <w:basedOn w:val="Normal"/>
    <w:rsid w:val="00281FC8"/>
    <w:pPr>
      <w:keepNext/>
      <w:spacing w:line="120" w:lineRule="exact"/>
      <w:jc w:val="both"/>
    </w:pPr>
    <w:rPr>
      <w:rFonts w:ascii="Arial" w:hAnsi="Arial"/>
      <w:sz w:val="20"/>
      <w:szCs w:val="20"/>
    </w:rPr>
  </w:style>
  <w:style w:type="paragraph" w:customStyle="1" w:styleId="Heading1nochapterno">
    <w:name w:val="Heading 1 (no chapter no.)"/>
    <w:basedOn w:val="Heading1"/>
    <w:rsid w:val="00281FC8"/>
    <w:pPr>
      <w:spacing w:before="0"/>
      <w:ind w:left="0" w:firstLine="0"/>
    </w:pPr>
  </w:style>
  <w:style w:type="paragraph" w:customStyle="1" w:styleId="Heading2nosectionno">
    <w:name w:val="Heading 2 (no section no.)"/>
    <w:basedOn w:val="Heading2"/>
    <w:rsid w:val="00281FC8"/>
    <w:pPr>
      <w:ind w:left="0" w:firstLine="0"/>
    </w:pPr>
  </w:style>
  <w:style w:type="character" w:customStyle="1" w:styleId="Heading5Char">
    <w:name w:val="Heading 5 Char"/>
    <w:basedOn w:val="DefaultParagraphFont"/>
    <w:link w:val="Heading5"/>
    <w:rsid w:val="00281FC8"/>
    <w:rPr>
      <w:rFonts w:ascii="Arial" w:hAnsi="Arial"/>
      <w:i/>
      <w:sz w:val="22"/>
    </w:rPr>
  </w:style>
  <w:style w:type="paragraph" w:customStyle="1" w:styleId="Figurespace">
    <w:name w:val="Figure space"/>
    <w:basedOn w:val="Box"/>
    <w:rsid w:val="00281FC8"/>
    <w:pPr>
      <w:spacing w:before="0" w:line="120" w:lineRule="exact"/>
    </w:pPr>
  </w:style>
  <w:style w:type="paragraph" w:customStyle="1" w:styleId="FooterDraftReport">
    <w:name w:val="FooterDraftReport"/>
    <w:basedOn w:val="Footer"/>
    <w:link w:val="FooterDraftReportChar"/>
    <w:rsid w:val="00281FC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281FC8"/>
    <w:rPr>
      <w:rFonts w:ascii="Arial" w:hAnsi="Arial"/>
      <w:caps/>
      <w:spacing w:val="-4"/>
      <w:sz w:val="16"/>
    </w:rPr>
  </w:style>
  <w:style w:type="character" w:customStyle="1" w:styleId="FooterDraftReportChar">
    <w:name w:val="FooterDraftReport Char"/>
    <w:basedOn w:val="FooterChar"/>
    <w:link w:val="FooterDraftReport"/>
    <w:rsid w:val="00281FC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281FC8"/>
    <w:rPr>
      <w:rFonts w:ascii="Arial" w:hAnsi="Arial"/>
      <w:b/>
      <w:sz w:val="26"/>
      <w:szCs w:val="26"/>
      <w:lang w:eastAsia="en-US"/>
    </w:rPr>
  </w:style>
  <w:style w:type="paragraph" w:customStyle="1" w:styleId="Heading1NotTOC">
    <w:name w:val="Heading 1 Not TOC"/>
    <w:basedOn w:val="Heading1"/>
    <w:next w:val="BodyText"/>
    <w:rsid w:val="00391CC7"/>
    <w:rPr>
      <w:kern w:val="28"/>
      <w:szCs w:val="26"/>
      <w:lang w:eastAsia="en-US"/>
    </w:rPr>
  </w:style>
  <w:style w:type="character" w:customStyle="1" w:styleId="FootnoteTextChar">
    <w:name w:val="Footnote Text Char"/>
    <w:basedOn w:val="DefaultParagraphFont"/>
    <w:link w:val="FootnoteText"/>
    <w:rsid w:val="00A11584"/>
  </w:style>
  <w:style w:type="character" w:customStyle="1" w:styleId="ARitalic">
    <w:name w:val="AR italic"/>
    <w:basedOn w:val="DefaultParagraphFont"/>
    <w:rsid w:val="000F1274"/>
    <w:rPr>
      <w:rFonts w:ascii="Arial" w:hAnsi="Arial" w:cs="Arial"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2890">
      <w:bodyDiv w:val="1"/>
      <w:marLeft w:val="0"/>
      <w:marRight w:val="0"/>
      <w:marTop w:val="0"/>
      <w:marBottom w:val="0"/>
      <w:divBdr>
        <w:top w:val="none" w:sz="0" w:space="0" w:color="auto"/>
        <w:left w:val="none" w:sz="0" w:space="0" w:color="auto"/>
        <w:bottom w:val="none" w:sz="0" w:space="0" w:color="auto"/>
        <w:right w:val="none" w:sz="0" w:space="0" w:color="auto"/>
      </w:divBdr>
      <w:divsChild>
        <w:div w:id="2087340224">
          <w:marLeft w:val="0"/>
          <w:marRight w:val="0"/>
          <w:marTop w:val="0"/>
          <w:marBottom w:val="0"/>
          <w:divBdr>
            <w:top w:val="none" w:sz="0" w:space="0" w:color="auto"/>
            <w:left w:val="none" w:sz="0" w:space="0" w:color="auto"/>
            <w:bottom w:val="none" w:sz="0" w:space="0" w:color="auto"/>
            <w:right w:val="none" w:sz="0" w:space="0" w:color="auto"/>
          </w:divBdr>
          <w:divsChild>
            <w:div w:id="274555027">
              <w:marLeft w:val="0"/>
              <w:marRight w:val="0"/>
              <w:marTop w:val="0"/>
              <w:marBottom w:val="0"/>
              <w:divBdr>
                <w:top w:val="none" w:sz="0" w:space="0" w:color="auto"/>
                <w:left w:val="none" w:sz="0" w:space="0" w:color="auto"/>
                <w:bottom w:val="none" w:sz="0" w:space="0" w:color="auto"/>
                <w:right w:val="none" w:sz="0" w:space="0" w:color="auto"/>
              </w:divBdr>
              <w:divsChild>
                <w:div w:id="6865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25831">
      <w:bodyDiv w:val="1"/>
      <w:marLeft w:val="0"/>
      <w:marRight w:val="0"/>
      <w:marTop w:val="0"/>
      <w:marBottom w:val="0"/>
      <w:divBdr>
        <w:top w:val="none" w:sz="0" w:space="0" w:color="auto"/>
        <w:left w:val="none" w:sz="0" w:space="0" w:color="auto"/>
        <w:bottom w:val="none" w:sz="0" w:space="0" w:color="auto"/>
        <w:right w:val="none" w:sz="0" w:space="0" w:color="auto"/>
      </w:divBdr>
      <w:divsChild>
        <w:div w:id="2031686484">
          <w:marLeft w:val="0"/>
          <w:marRight w:val="0"/>
          <w:marTop w:val="0"/>
          <w:marBottom w:val="0"/>
          <w:divBdr>
            <w:top w:val="none" w:sz="0" w:space="0" w:color="auto"/>
            <w:left w:val="none" w:sz="0" w:space="0" w:color="auto"/>
            <w:bottom w:val="none" w:sz="0" w:space="0" w:color="auto"/>
            <w:right w:val="none" w:sz="0" w:space="0" w:color="auto"/>
          </w:divBdr>
          <w:divsChild>
            <w:div w:id="772167586">
              <w:marLeft w:val="0"/>
              <w:marRight w:val="0"/>
              <w:marTop w:val="0"/>
              <w:marBottom w:val="0"/>
              <w:divBdr>
                <w:top w:val="none" w:sz="0" w:space="0" w:color="auto"/>
                <w:left w:val="none" w:sz="0" w:space="0" w:color="auto"/>
                <w:bottom w:val="none" w:sz="0" w:space="0" w:color="auto"/>
                <w:right w:val="none" w:sz="0" w:space="0" w:color="auto"/>
              </w:divBdr>
              <w:divsChild>
                <w:div w:id="67852279">
                  <w:marLeft w:val="0"/>
                  <w:marRight w:val="0"/>
                  <w:marTop w:val="0"/>
                  <w:marBottom w:val="0"/>
                  <w:divBdr>
                    <w:top w:val="none" w:sz="0" w:space="0" w:color="auto"/>
                    <w:left w:val="none" w:sz="0" w:space="0" w:color="auto"/>
                    <w:bottom w:val="none" w:sz="0" w:space="0" w:color="auto"/>
                    <w:right w:val="none" w:sz="0" w:space="0" w:color="auto"/>
                  </w:divBdr>
                  <w:divsChild>
                    <w:div w:id="1608728831">
                      <w:marLeft w:val="0"/>
                      <w:marRight w:val="0"/>
                      <w:marTop w:val="0"/>
                      <w:marBottom w:val="0"/>
                      <w:divBdr>
                        <w:top w:val="none" w:sz="0" w:space="0" w:color="auto"/>
                        <w:left w:val="none" w:sz="0" w:space="0" w:color="auto"/>
                        <w:bottom w:val="none" w:sz="0" w:space="0" w:color="auto"/>
                        <w:right w:val="none" w:sz="0" w:space="0" w:color="auto"/>
                      </w:divBdr>
                      <w:divsChild>
                        <w:div w:id="2137483414">
                          <w:marLeft w:val="0"/>
                          <w:marRight w:val="0"/>
                          <w:marTop w:val="0"/>
                          <w:marBottom w:val="0"/>
                          <w:divBdr>
                            <w:top w:val="none" w:sz="0" w:space="0" w:color="auto"/>
                            <w:left w:val="none" w:sz="0" w:space="0" w:color="auto"/>
                            <w:bottom w:val="none" w:sz="0" w:space="0" w:color="auto"/>
                            <w:right w:val="none" w:sz="0" w:space="0" w:color="auto"/>
                          </w:divBdr>
                          <w:divsChild>
                            <w:div w:id="282613075">
                              <w:marLeft w:val="0"/>
                              <w:marRight w:val="0"/>
                              <w:marTop w:val="0"/>
                              <w:marBottom w:val="0"/>
                              <w:divBdr>
                                <w:top w:val="none" w:sz="0" w:space="0" w:color="auto"/>
                                <w:left w:val="none" w:sz="0" w:space="0" w:color="auto"/>
                                <w:bottom w:val="none" w:sz="0" w:space="0" w:color="auto"/>
                                <w:right w:val="none" w:sz="0" w:space="0" w:color="auto"/>
                              </w:divBdr>
                              <w:divsChild>
                                <w:div w:id="542865670">
                                  <w:marLeft w:val="0"/>
                                  <w:marRight w:val="0"/>
                                  <w:marTop w:val="0"/>
                                  <w:marBottom w:val="0"/>
                                  <w:divBdr>
                                    <w:top w:val="none" w:sz="0" w:space="0" w:color="auto"/>
                                    <w:left w:val="none" w:sz="0" w:space="0" w:color="auto"/>
                                    <w:bottom w:val="none" w:sz="0" w:space="0" w:color="auto"/>
                                    <w:right w:val="none" w:sz="0" w:space="0" w:color="auto"/>
                                  </w:divBdr>
                                  <w:divsChild>
                                    <w:div w:id="783769998">
                                      <w:marLeft w:val="0"/>
                                      <w:marRight w:val="0"/>
                                      <w:marTop w:val="0"/>
                                      <w:marBottom w:val="0"/>
                                      <w:divBdr>
                                        <w:top w:val="none" w:sz="0" w:space="0" w:color="auto"/>
                                        <w:left w:val="none" w:sz="0" w:space="0" w:color="auto"/>
                                        <w:bottom w:val="none" w:sz="0" w:space="0" w:color="auto"/>
                                        <w:right w:val="none" w:sz="0" w:space="0" w:color="auto"/>
                                      </w:divBdr>
                                      <w:divsChild>
                                        <w:div w:id="1743064586">
                                          <w:marLeft w:val="0"/>
                                          <w:marRight w:val="0"/>
                                          <w:marTop w:val="0"/>
                                          <w:marBottom w:val="0"/>
                                          <w:divBdr>
                                            <w:top w:val="none" w:sz="0" w:space="0" w:color="auto"/>
                                            <w:left w:val="none" w:sz="0" w:space="0" w:color="auto"/>
                                            <w:bottom w:val="none" w:sz="0" w:space="0" w:color="auto"/>
                                            <w:right w:val="none" w:sz="0" w:space="0" w:color="auto"/>
                                          </w:divBdr>
                                          <w:divsChild>
                                            <w:div w:id="6229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8047434">
      <w:bodyDiv w:val="1"/>
      <w:marLeft w:val="0"/>
      <w:marRight w:val="0"/>
      <w:marTop w:val="0"/>
      <w:marBottom w:val="0"/>
      <w:divBdr>
        <w:top w:val="none" w:sz="0" w:space="0" w:color="auto"/>
        <w:left w:val="none" w:sz="0" w:space="0" w:color="auto"/>
        <w:bottom w:val="none" w:sz="0" w:space="0" w:color="auto"/>
        <w:right w:val="none" w:sz="0" w:space="0" w:color="auto"/>
      </w:divBdr>
      <w:divsChild>
        <w:div w:id="1857116494">
          <w:marLeft w:val="0"/>
          <w:marRight w:val="0"/>
          <w:marTop w:val="0"/>
          <w:marBottom w:val="0"/>
          <w:divBdr>
            <w:top w:val="none" w:sz="0" w:space="0" w:color="auto"/>
            <w:left w:val="none" w:sz="0" w:space="0" w:color="auto"/>
            <w:bottom w:val="none" w:sz="0" w:space="0" w:color="auto"/>
            <w:right w:val="none" w:sz="0" w:space="0" w:color="auto"/>
          </w:divBdr>
          <w:divsChild>
            <w:div w:id="1005791024">
              <w:marLeft w:val="0"/>
              <w:marRight w:val="0"/>
              <w:marTop w:val="0"/>
              <w:marBottom w:val="0"/>
              <w:divBdr>
                <w:top w:val="none" w:sz="0" w:space="0" w:color="auto"/>
                <w:left w:val="none" w:sz="0" w:space="0" w:color="auto"/>
                <w:bottom w:val="none" w:sz="0" w:space="0" w:color="auto"/>
                <w:right w:val="none" w:sz="0" w:space="0" w:color="auto"/>
              </w:divBdr>
              <w:divsChild>
                <w:div w:id="5367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822737">
      <w:bodyDiv w:val="1"/>
      <w:marLeft w:val="0"/>
      <w:marRight w:val="0"/>
      <w:marTop w:val="0"/>
      <w:marBottom w:val="0"/>
      <w:divBdr>
        <w:top w:val="none" w:sz="0" w:space="0" w:color="auto"/>
        <w:left w:val="none" w:sz="0" w:space="0" w:color="auto"/>
        <w:bottom w:val="none" w:sz="0" w:space="0" w:color="auto"/>
        <w:right w:val="none" w:sz="0" w:space="0" w:color="auto"/>
      </w:divBdr>
    </w:div>
    <w:div w:id="490102270">
      <w:bodyDiv w:val="1"/>
      <w:marLeft w:val="0"/>
      <w:marRight w:val="0"/>
      <w:marTop w:val="0"/>
      <w:marBottom w:val="0"/>
      <w:divBdr>
        <w:top w:val="none" w:sz="0" w:space="0" w:color="auto"/>
        <w:left w:val="none" w:sz="0" w:space="0" w:color="auto"/>
        <w:bottom w:val="none" w:sz="0" w:space="0" w:color="auto"/>
        <w:right w:val="none" w:sz="0" w:space="0" w:color="auto"/>
      </w:divBdr>
    </w:div>
    <w:div w:id="521356022">
      <w:bodyDiv w:val="1"/>
      <w:marLeft w:val="0"/>
      <w:marRight w:val="0"/>
      <w:marTop w:val="0"/>
      <w:marBottom w:val="0"/>
      <w:divBdr>
        <w:top w:val="none" w:sz="0" w:space="0" w:color="auto"/>
        <w:left w:val="none" w:sz="0" w:space="0" w:color="auto"/>
        <w:bottom w:val="none" w:sz="0" w:space="0" w:color="auto"/>
        <w:right w:val="none" w:sz="0" w:space="0" w:color="auto"/>
      </w:divBdr>
    </w:div>
    <w:div w:id="543442032">
      <w:bodyDiv w:val="1"/>
      <w:marLeft w:val="0"/>
      <w:marRight w:val="0"/>
      <w:marTop w:val="0"/>
      <w:marBottom w:val="0"/>
      <w:divBdr>
        <w:top w:val="none" w:sz="0" w:space="0" w:color="auto"/>
        <w:left w:val="none" w:sz="0" w:space="0" w:color="auto"/>
        <w:bottom w:val="none" w:sz="0" w:space="0" w:color="auto"/>
        <w:right w:val="none" w:sz="0" w:space="0" w:color="auto"/>
      </w:divBdr>
      <w:divsChild>
        <w:div w:id="456528751">
          <w:marLeft w:val="0"/>
          <w:marRight w:val="0"/>
          <w:marTop w:val="0"/>
          <w:marBottom w:val="0"/>
          <w:divBdr>
            <w:top w:val="none" w:sz="0" w:space="0" w:color="auto"/>
            <w:left w:val="none" w:sz="0" w:space="0" w:color="auto"/>
            <w:bottom w:val="none" w:sz="0" w:space="0" w:color="auto"/>
            <w:right w:val="none" w:sz="0" w:space="0" w:color="auto"/>
          </w:divBdr>
          <w:divsChild>
            <w:div w:id="39012778">
              <w:marLeft w:val="0"/>
              <w:marRight w:val="0"/>
              <w:marTop w:val="0"/>
              <w:marBottom w:val="0"/>
              <w:divBdr>
                <w:top w:val="none" w:sz="0" w:space="0" w:color="auto"/>
                <w:left w:val="none" w:sz="0" w:space="0" w:color="auto"/>
                <w:bottom w:val="none" w:sz="0" w:space="0" w:color="auto"/>
                <w:right w:val="none" w:sz="0" w:space="0" w:color="auto"/>
              </w:divBdr>
              <w:divsChild>
                <w:div w:id="5207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1411">
      <w:bodyDiv w:val="1"/>
      <w:marLeft w:val="0"/>
      <w:marRight w:val="0"/>
      <w:marTop w:val="0"/>
      <w:marBottom w:val="0"/>
      <w:divBdr>
        <w:top w:val="none" w:sz="0" w:space="0" w:color="auto"/>
        <w:left w:val="none" w:sz="0" w:space="0" w:color="auto"/>
        <w:bottom w:val="none" w:sz="0" w:space="0" w:color="auto"/>
        <w:right w:val="none" w:sz="0" w:space="0" w:color="auto"/>
      </w:divBdr>
    </w:div>
    <w:div w:id="779303377">
      <w:bodyDiv w:val="1"/>
      <w:marLeft w:val="0"/>
      <w:marRight w:val="0"/>
      <w:marTop w:val="0"/>
      <w:marBottom w:val="0"/>
      <w:divBdr>
        <w:top w:val="none" w:sz="0" w:space="0" w:color="auto"/>
        <w:left w:val="none" w:sz="0" w:space="0" w:color="auto"/>
        <w:bottom w:val="none" w:sz="0" w:space="0" w:color="auto"/>
        <w:right w:val="none" w:sz="0" w:space="0" w:color="auto"/>
      </w:divBdr>
    </w:div>
    <w:div w:id="869412116">
      <w:bodyDiv w:val="1"/>
      <w:marLeft w:val="0"/>
      <w:marRight w:val="0"/>
      <w:marTop w:val="0"/>
      <w:marBottom w:val="0"/>
      <w:divBdr>
        <w:top w:val="none" w:sz="0" w:space="0" w:color="auto"/>
        <w:left w:val="none" w:sz="0" w:space="0" w:color="auto"/>
        <w:bottom w:val="none" w:sz="0" w:space="0" w:color="auto"/>
        <w:right w:val="none" w:sz="0" w:space="0" w:color="auto"/>
      </w:divBdr>
      <w:divsChild>
        <w:div w:id="1705131851">
          <w:marLeft w:val="0"/>
          <w:marRight w:val="0"/>
          <w:marTop w:val="0"/>
          <w:marBottom w:val="0"/>
          <w:divBdr>
            <w:top w:val="none" w:sz="0" w:space="0" w:color="auto"/>
            <w:left w:val="none" w:sz="0" w:space="0" w:color="auto"/>
            <w:bottom w:val="none" w:sz="0" w:space="0" w:color="auto"/>
            <w:right w:val="none" w:sz="0" w:space="0" w:color="auto"/>
          </w:divBdr>
          <w:divsChild>
            <w:div w:id="707031144">
              <w:marLeft w:val="0"/>
              <w:marRight w:val="0"/>
              <w:marTop w:val="0"/>
              <w:marBottom w:val="0"/>
              <w:divBdr>
                <w:top w:val="none" w:sz="0" w:space="0" w:color="auto"/>
                <w:left w:val="none" w:sz="0" w:space="0" w:color="auto"/>
                <w:bottom w:val="none" w:sz="0" w:space="0" w:color="auto"/>
                <w:right w:val="none" w:sz="0" w:space="0" w:color="auto"/>
              </w:divBdr>
              <w:divsChild>
                <w:div w:id="169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19728">
      <w:bodyDiv w:val="1"/>
      <w:marLeft w:val="0"/>
      <w:marRight w:val="0"/>
      <w:marTop w:val="0"/>
      <w:marBottom w:val="0"/>
      <w:divBdr>
        <w:top w:val="none" w:sz="0" w:space="0" w:color="auto"/>
        <w:left w:val="none" w:sz="0" w:space="0" w:color="auto"/>
        <w:bottom w:val="none" w:sz="0" w:space="0" w:color="auto"/>
        <w:right w:val="none" w:sz="0" w:space="0" w:color="auto"/>
      </w:divBdr>
    </w:div>
    <w:div w:id="999501768">
      <w:bodyDiv w:val="1"/>
      <w:marLeft w:val="0"/>
      <w:marRight w:val="0"/>
      <w:marTop w:val="0"/>
      <w:marBottom w:val="0"/>
      <w:divBdr>
        <w:top w:val="none" w:sz="0" w:space="0" w:color="auto"/>
        <w:left w:val="none" w:sz="0" w:space="0" w:color="auto"/>
        <w:bottom w:val="none" w:sz="0" w:space="0" w:color="auto"/>
        <w:right w:val="none" w:sz="0" w:space="0" w:color="auto"/>
      </w:divBdr>
    </w:div>
    <w:div w:id="1056276155">
      <w:bodyDiv w:val="1"/>
      <w:marLeft w:val="0"/>
      <w:marRight w:val="0"/>
      <w:marTop w:val="0"/>
      <w:marBottom w:val="0"/>
      <w:divBdr>
        <w:top w:val="none" w:sz="0" w:space="0" w:color="auto"/>
        <w:left w:val="none" w:sz="0" w:space="0" w:color="auto"/>
        <w:bottom w:val="none" w:sz="0" w:space="0" w:color="auto"/>
        <w:right w:val="none" w:sz="0" w:space="0" w:color="auto"/>
      </w:divBdr>
      <w:divsChild>
        <w:div w:id="71707556">
          <w:marLeft w:val="0"/>
          <w:marRight w:val="0"/>
          <w:marTop w:val="0"/>
          <w:marBottom w:val="0"/>
          <w:divBdr>
            <w:top w:val="none" w:sz="0" w:space="0" w:color="auto"/>
            <w:left w:val="none" w:sz="0" w:space="0" w:color="auto"/>
            <w:bottom w:val="none" w:sz="0" w:space="0" w:color="auto"/>
            <w:right w:val="none" w:sz="0" w:space="0" w:color="auto"/>
          </w:divBdr>
          <w:divsChild>
            <w:div w:id="1021005553">
              <w:marLeft w:val="0"/>
              <w:marRight w:val="0"/>
              <w:marTop w:val="0"/>
              <w:marBottom w:val="0"/>
              <w:divBdr>
                <w:top w:val="none" w:sz="0" w:space="0" w:color="auto"/>
                <w:left w:val="none" w:sz="0" w:space="0" w:color="auto"/>
                <w:bottom w:val="none" w:sz="0" w:space="0" w:color="auto"/>
                <w:right w:val="none" w:sz="0" w:space="0" w:color="auto"/>
              </w:divBdr>
              <w:divsChild>
                <w:div w:id="45626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958052">
      <w:bodyDiv w:val="1"/>
      <w:marLeft w:val="0"/>
      <w:marRight w:val="0"/>
      <w:marTop w:val="0"/>
      <w:marBottom w:val="0"/>
      <w:divBdr>
        <w:top w:val="none" w:sz="0" w:space="0" w:color="auto"/>
        <w:left w:val="none" w:sz="0" w:space="0" w:color="auto"/>
        <w:bottom w:val="none" w:sz="0" w:space="0" w:color="auto"/>
        <w:right w:val="none" w:sz="0" w:space="0" w:color="auto"/>
      </w:divBdr>
      <w:divsChild>
        <w:div w:id="842545294">
          <w:marLeft w:val="0"/>
          <w:marRight w:val="0"/>
          <w:marTop w:val="0"/>
          <w:marBottom w:val="0"/>
          <w:divBdr>
            <w:top w:val="none" w:sz="0" w:space="0" w:color="auto"/>
            <w:left w:val="none" w:sz="0" w:space="0" w:color="auto"/>
            <w:bottom w:val="none" w:sz="0" w:space="0" w:color="auto"/>
            <w:right w:val="none" w:sz="0" w:space="0" w:color="auto"/>
          </w:divBdr>
          <w:divsChild>
            <w:div w:id="1541163872">
              <w:marLeft w:val="0"/>
              <w:marRight w:val="0"/>
              <w:marTop w:val="0"/>
              <w:marBottom w:val="0"/>
              <w:divBdr>
                <w:top w:val="none" w:sz="0" w:space="0" w:color="auto"/>
                <w:left w:val="none" w:sz="0" w:space="0" w:color="auto"/>
                <w:bottom w:val="none" w:sz="0" w:space="0" w:color="auto"/>
                <w:right w:val="none" w:sz="0" w:space="0" w:color="auto"/>
              </w:divBdr>
              <w:divsChild>
                <w:div w:id="116662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76624">
      <w:bodyDiv w:val="1"/>
      <w:marLeft w:val="0"/>
      <w:marRight w:val="0"/>
      <w:marTop w:val="0"/>
      <w:marBottom w:val="0"/>
      <w:divBdr>
        <w:top w:val="none" w:sz="0" w:space="0" w:color="auto"/>
        <w:left w:val="none" w:sz="0" w:space="0" w:color="auto"/>
        <w:bottom w:val="none" w:sz="0" w:space="0" w:color="auto"/>
        <w:right w:val="none" w:sz="0" w:space="0" w:color="auto"/>
      </w:divBdr>
    </w:div>
    <w:div w:id="1193761252">
      <w:bodyDiv w:val="1"/>
      <w:marLeft w:val="0"/>
      <w:marRight w:val="0"/>
      <w:marTop w:val="0"/>
      <w:marBottom w:val="0"/>
      <w:divBdr>
        <w:top w:val="none" w:sz="0" w:space="0" w:color="auto"/>
        <w:left w:val="none" w:sz="0" w:space="0" w:color="auto"/>
        <w:bottom w:val="none" w:sz="0" w:space="0" w:color="auto"/>
        <w:right w:val="none" w:sz="0" w:space="0" w:color="auto"/>
      </w:divBdr>
    </w:div>
    <w:div w:id="1329287201">
      <w:bodyDiv w:val="1"/>
      <w:marLeft w:val="0"/>
      <w:marRight w:val="0"/>
      <w:marTop w:val="0"/>
      <w:marBottom w:val="0"/>
      <w:divBdr>
        <w:top w:val="none" w:sz="0" w:space="0" w:color="auto"/>
        <w:left w:val="none" w:sz="0" w:space="0" w:color="auto"/>
        <w:bottom w:val="none" w:sz="0" w:space="0" w:color="auto"/>
        <w:right w:val="none" w:sz="0" w:space="0" w:color="auto"/>
      </w:divBdr>
    </w:div>
    <w:div w:id="1364474490">
      <w:bodyDiv w:val="1"/>
      <w:marLeft w:val="0"/>
      <w:marRight w:val="0"/>
      <w:marTop w:val="0"/>
      <w:marBottom w:val="0"/>
      <w:divBdr>
        <w:top w:val="none" w:sz="0" w:space="0" w:color="auto"/>
        <w:left w:val="none" w:sz="0" w:space="0" w:color="auto"/>
        <w:bottom w:val="none" w:sz="0" w:space="0" w:color="auto"/>
        <w:right w:val="none" w:sz="0" w:space="0" w:color="auto"/>
      </w:divBdr>
      <w:divsChild>
        <w:div w:id="1427729858">
          <w:marLeft w:val="0"/>
          <w:marRight w:val="0"/>
          <w:marTop w:val="0"/>
          <w:marBottom w:val="0"/>
          <w:divBdr>
            <w:top w:val="none" w:sz="0" w:space="0" w:color="auto"/>
            <w:left w:val="none" w:sz="0" w:space="0" w:color="auto"/>
            <w:bottom w:val="none" w:sz="0" w:space="0" w:color="auto"/>
            <w:right w:val="none" w:sz="0" w:space="0" w:color="auto"/>
          </w:divBdr>
          <w:divsChild>
            <w:div w:id="1792897344">
              <w:marLeft w:val="0"/>
              <w:marRight w:val="0"/>
              <w:marTop w:val="0"/>
              <w:marBottom w:val="0"/>
              <w:divBdr>
                <w:top w:val="none" w:sz="0" w:space="0" w:color="auto"/>
                <w:left w:val="none" w:sz="0" w:space="0" w:color="auto"/>
                <w:bottom w:val="none" w:sz="0" w:space="0" w:color="auto"/>
                <w:right w:val="none" w:sz="0" w:space="0" w:color="auto"/>
              </w:divBdr>
              <w:divsChild>
                <w:div w:id="72529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899804">
      <w:bodyDiv w:val="1"/>
      <w:marLeft w:val="0"/>
      <w:marRight w:val="0"/>
      <w:marTop w:val="0"/>
      <w:marBottom w:val="0"/>
      <w:divBdr>
        <w:top w:val="none" w:sz="0" w:space="0" w:color="auto"/>
        <w:left w:val="none" w:sz="0" w:space="0" w:color="auto"/>
        <w:bottom w:val="none" w:sz="0" w:space="0" w:color="auto"/>
        <w:right w:val="none" w:sz="0" w:space="0" w:color="auto"/>
      </w:divBdr>
    </w:div>
    <w:div w:id="1538003131">
      <w:bodyDiv w:val="1"/>
      <w:marLeft w:val="0"/>
      <w:marRight w:val="0"/>
      <w:marTop w:val="0"/>
      <w:marBottom w:val="0"/>
      <w:divBdr>
        <w:top w:val="none" w:sz="0" w:space="0" w:color="auto"/>
        <w:left w:val="none" w:sz="0" w:space="0" w:color="auto"/>
        <w:bottom w:val="none" w:sz="0" w:space="0" w:color="auto"/>
        <w:right w:val="none" w:sz="0" w:space="0" w:color="auto"/>
      </w:divBdr>
      <w:divsChild>
        <w:div w:id="179973242">
          <w:marLeft w:val="0"/>
          <w:marRight w:val="0"/>
          <w:marTop w:val="0"/>
          <w:marBottom w:val="0"/>
          <w:divBdr>
            <w:top w:val="none" w:sz="0" w:space="0" w:color="auto"/>
            <w:left w:val="none" w:sz="0" w:space="0" w:color="auto"/>
            <w:bottom w:val="none" w:sz="0" w:space="0" w:color="auto"/>
            <w:right w:val="none" w:sz="0" w:space="0" w:color="auto"/>
          </w:divBdr>
          <w:divsChild>
            <w:div w:id="1760298104">
              <w:marLeft w:val="195"/>
              <w:marRight w:val="0"/>
              <w:marTop w:val="0"/>
              <w:marBottom w:val="0"/>
              <w:divBdr>
                <w:top w:val="none" w:sz="0" w:space="0" w:color="auto"/>
                <w:left w:val="none" w:sz="0" w:space="0" w:color="auto"/>
                <w:bottom w:val="none" w:sz="0" w:space="0" w:color="auto"/>
                <w:right w:val="none" w:sz="0" w:space="0" w:color="auto"/>
              </w:divBdr>
              <w:divsChild>
                <w:div w:id="772671361">
                  <w:marLeft w:val="0"/>
                  <w:marRight w:val="0"/>
                  <w:marTop w:val="0"/>
                  <w:marBottom w:val="0"/>
                  <w:divBdr>
                    <w:top w:val="none" w:sz="0" w:space="0" w:color="auto"/>
                    <w:left w:val="none" w:sz="0" w:space="0" w:color="auto"/>
                    <w:bottom w:val="none" w:sz="0" w:space="0" w:color="auto"/>
                    <w:right w:val="none" w:sz="0" w:space="0" w:color="auto"/>
                  </w:divBdr>
                  <w:divsChild>
                    <w:div w:id="182080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999967">
      <w:bodyDiv w:val="1"/>
      <w:marLeft w:val="0"/>
      <w:marRight w:val="0"/>
      <w:marTop w:val="0"/>
      <w:marBottom w:val="0"/>
      <w:divBdr>
        <w:top w:val="none" w:sz="0" w:space="0" w:color="auto"/>
        <w:left w:val="none" w:sz="0" w:space="0" w:color="auto"/>
        <w:bottom w:val="none" w:sz="0" w:space="0" w:color="auto"/>
        <w:right w:val="none" w:sz="0" w:space="0" w:color="auto"/>
      </w:divBdr>
      <w:divsChild>
        <w:div w:id="1134954622">
          <w:marLeft w:val="0"/>
          <w:marRight w:val="0"/>
          <w:marTop w:val="0"/>
          <w:marBottom w:val="0"/>
          <w:divBdr>
            <w:top w:val="none" w:sz="0" w:space="0" w:color="auto"/>
            <w:left w:val="none" w:sz="0" w:space="0" w:color="auto"/>
            <w:bottom w:val="none" w:sz="0" w:space="0" w:color="auto"/>
            <w:right w:val="none" w:sz="0" w:space="0" w:color="auto"/>
          </w:divBdr>
          <w:divsChild>
            <w:div w:id="1384062813">
              <w:marLeft w:val="0"/>
              <w:marRight w:val="0"/>
              <w:marTop w:val="0"/>
              <w:marBottom w:val="0"/>
              <w:divBdr>
                <w:top w:val="none" w:sz="0" w:space="0" w:color="auto"/>
                <w:left w:val="none" w:sz="0" w:space="0" w:color="auto"/>
                <w:bottom w:val="none" w:sz="0" w:space="0" w:color="auto"/>
                <w:right w:val="none" w:sz="0" w:space="0" w:color="auto"/>
              </w:divBdr>
              <w:divsChild>
                <w:div w:id="80985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885246">
      <w:bodyDiv w:val="1"/>
      <w:marLeft w:val="0"/>
      <w:marRight w:val="0"/>
      <w:marTop w:val="0"/>
      <w:marBottom w:val="0"/>
      <w:divBdr>
        <w:top w:val="none" w:sz="0" w:space="0" w:color="auto"/>
        <w:left w:val="none" w:sz="0" w:space="0" w:color="auto"/>
        <w:bottom w:val="none" w:sz="0" w:space="0" w:color="auto"/>
        <w:right w:val="none" w:sz="0" w:space="0" w:color="auto"/>
      </w:divBdr>
    </w:div>
    <w:div w:id="1789738068">
      <w:bodyDiv w:val="1"/>
      <w:marLeft w:val="0"/>
      <w:marRight w:val="0"/>
      <w:marTop w:val="0"/>
      <w:marBottom w:val="0"/>
      <w:divBdr>
        <w:top w:val="none" w:sz="0" w:space="0" w:color="auto"/>
        <w:left w:val="none" w:sz="0" w:space="0" w:color="auto"/>
        <w:bottom w:val="none" w:sz="0" w:space="0" w:color="auto"/>
        <w:right w:val="none" w:sz="0" w:space="0" w:color="auto"/>
      </w:divBdr>
      <w:divsChild>
        <w:div w:id="1779980464">
          <w:marLeft w:val="0"/>
          <w:marRight w:val="0"/>
          <w:marTop w:val="0"/>
          <w:marBottom w:val="0"/>
          <w:divBdr>
            <w:top w:val="none" w:sz="0" w:space="0" w:color="auto"/>
            <w:left w:val="none" w:sz="0" w:space="0" w:color="auto"/>
            <w:bottom w:val="none" w:sz="0" w:space="0" w:color="auto"/>
            <w:right w:val="none" w:sz="0" w:space="0" w:color="auto"/>
          </w:divBdr>
          <w:divsChild>
            <w:div w:id="1466585019">
              <w:marLeft w:val="0"/>
              <w:marRight w:val="0"/>
              <w:marTop w:val="0"/>
              <w:marBottom w:val="0"/>
              <w:divBdr>
                <w:top w:val="none" w:sz="0" w:space="0" w:color="auto"/>
                <w:left w:val="none" w:sz="0" w:space="0" w:color="auto"/>
                <w:bottom w:val="none" w:sz="0" w:space="0" w:color="auto"/>
                <w:right w:val="none" w:sz="0" w:space="0" w:color="auto"/>
              </w:divBdr>
              <w:divsChild>
                <w:div w:id="13048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8514">
      <w:bodyDiv w:val="1"/>
      <w:marLeft w:val="0"/>
      <w:marRight w:val="0"/>
      <w:marTop w:val="0"/>
      <w:marBottom w:val="0"/>
      <w:divBdr>
        <w:top w:val="none" w:sz="0" w:space="0" w:color="auto"/>
        <w:left w:val="none" w:sz="0" w:space="0" w:color="auto"/>
        <w:bottom w:val="none" w:sz="0" w:space="0" w:color="auto"/>
        <w:right w:val="none" w:sz="0" w:space="0" w:color="auto"/>
      </w:divBdr>
    </w:div>
    <w:div w:id="1855878722">
      <w:bodyDiv w:val="1"/>
      <w:marLeft w:val="0"/>
      <w:marRight w:val="0"/>
      <w:marTop w:val="0"/>
      <w:marBottom w:val="0"/>
      <w:divBdr>
        <w:top w:val="none" w:sz="0" w:space="0" w:color="auto"/>
        <w:left w:val="none" w:sz="0" w:space="0" w:color="auto"/>
        <w:bottom w:val="none" w:sz="0" w:space="0" w:color="auto"/>
        <w:right w:val="none" w:sz="0" w:space="0" w:color="auto"/>
      </w:divBdr>
    </w:div>
    <w:div w:id="1866744895">
      <w:bodyDiv w:val="1"/>
      <w:marLeft w:val="0"/>
      <w:marRight w:val="0"/>
      <w:marTop w:val="0"/>
      <w:marBottom w:val="0"/>
      <w:divBdr>
        <w:top w:val="none" w:sz="0" w:space="0" w:color="auto"/>
        <w:left w:val="none" w:sz="0" w:space="0" w:color="auto"/>
        <w:bottom w:val="none" w:sz="0" w:space="0" w:color="auto"/>
        <w:right w:val="none" w:sz="0" w:space="0" w:color="auto"/>
      </w:divBdr>
      <w:divsChild>
        <w:div w:id="1783722191">
          <w:marLeft w:val="0"/>
          <w:marRight w:val="0"/>
          <w:marTop w:val="0"/>
          <w:marBottom w:val="0"/>
          <w:divBdr>
            <w:top w:val="none" w:sz="0" w:space="0" w:color="auto"/>
            <w:left w:val="none" w:sz="0" w:space="0" w:color="auto"/>
            <w:bottom w:val="none" w:sz="0" w:space="0" w:color="auto"/>
            <w:right w:val="none" w:sz="0" w:space="0" w:color="auto"/>
          </w:divBdr>
          <w:divsChild>
            <w:div w:id="1613825130">
              <w:marLeft w:val="0"/>
              <w:marRight w:val="0"/>
              <w:marTop w:val="0"/>
              <w:marBottom w:val="0"/>
              <w:divBdr>
                <w:top w:val="none" w:sz="0" w:space="0" w:color="auto"/>
                <w:left w:val="none" w:sz="0" w:space="0" w:color="auto"/>
                <w:bottom w:val="none" w:sz="0" w:space="0" w:color="auto"/>
                <w:right w:val="none" w:sz="0" w:space="0" w:color="auto"/>
              </w:divBdr>
              <w:divsChild>
                <w:div w:id="139546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07280">
      <w:bodyDiv w:val="1"/>
      <w:marLeft w:val="0"/>
      <w:marRight w:val="0"/>
      <w:marTop w:val="0"/>
      <w:marBottom w:val="0"/>
      <w:divBdr>
        <w:top w:val="none" w:sz="0" w:space="0" w:color="auto"/>
        <w:left w:val="none" w:sz="0" w:space="0" w:color="auto"/>
        <w:bottom w:val="none" w:sz="0" w:space="0" w:color="auto"/>
        <w:right w:val="none" w:sz="0" w:space="0" w:color="auto"/>
      </w:divBdr>
      <w:divsChild>
        <w:div w:id="811484671">
          <w:marLeft w:val="0"/>
          <w:marRight w:val="0"/>
          <w:marTop w:val="0"/>
          <w:marBottom w:val="0"/>
          <w:divBdr>
            <w:top w:val="none" w:sz="0" w:space="0" w:color="auto"/>
            <w:left w:val="none" w:sz="0" w:space="0" w:color="auto"/>
            <w:bottom w:val="none" w:sz="0" w:space="0" w:color="auto"/>
            <w:right w:val="none" w:sz="0" w:space="0" w:color="auto"/>
          </w:divBdr>
          <w:divsChild>
            <w:div w:id="1147286276">
              <w:marLeft w:val="0"/>
              <w:marRight w:val="0"/>
              <w:marTop w:val="0"/>
              <w:marBottom w:val="0"/>
              <w:divBdr>
                <w:top w:val="none" w:sz="0" w:space="0" w:color="auto"/>
                <w:left w:val="none" w:sz="0" w:space="0" w:color="auto"/>
                <w:bottom w:val="none" w:sz="0" w:space="0" w:color="auto"/>
                <w:right w:val="none" w:sz="0" w:space="0" w:color="auto"/>
              </w:divBdr>
              <w:divsChild>
                <w:div w:id="2294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2217">
      <w:bodyDiv w:val="1"/>
      <w:marLeft w:val="0"/>
      <w:marRight w:val="0"/>
      <w:marTop w:val="0"/>
      <w:marBottom w:val="0"/>
      <w:divBdr>
        <w:top w:val="none" w:sz="0" w:space="0" w:color="auto"/>
        <w:left w:val="none" w:sz="0" w:space="0" w:color="auto"/>
        <w:bottom w:val="none" w:sz="0" w:space="0" w:color="auto"/>
        <w:right w:val="none" w:sz="0" w:space="0" w:color="auto"/>
      </w:divBdr>
    </w:div>
    <w:div w:id="2144425853">
      <w:bodyDiv w:val="1"/>
      <w:marLeft w:val="0"/>
      <w:marRight w:val="0"/>
      <w:marTop w:val="0"/>
      <w:marBottom w:val="0"/>
      <w:divBdr>
        <w:top w:val="none" w:sz="0" w:space="0" w:color="auto"/>
        <w:left w:val="none" w:sz="0" w:space="0" w:color="auto"/>
        <w:bottom w:val="none" w:sz="0" w:space="0" w:color="auto"/>
        <w:right w:val="none" w:sz="0" w:space="0" w:color="auto"/>
      </w:divBdr>
      <w:divsChild>
        <w:div w:id="522597123">
          <w:marLeft w:val="0"/>
          <w:marRight w:val="0"/>
          <w:marTop w:val="0"/>
          <w:marBottom w:val="0"/>
          <w:divBdr>
            <w:top w:val="none" w:sz="0" w:space="0" w:color="auto"/>
            <w:left w:val="none" w:sz="0" w:space="0" w:color="auto"/>
            <w:bottom w:val="none" w:sz="0" w:space="0" w:color="auto"/>
            <w:right w:val="none" w:sz="0" w:space="0" w:color="auto"/>
          </w:divBdr>
          <w:divsChild>
            <w:div w:id="929583384">
              <w:marLeft w:val="0"/>
              <w:marRight w:val="0"/>
              <w:marTop w:val="0"/>
              <w:marBottom w:val="0"/>
              <w:divBdr>
                <w:top w:val="none" w:sz="0" w:space="0" w:color="auto"/>
                <w:left w:val="none" w:sz="0" w:space="0" w:color="auto"/>
                <w:bottom w:val="none" w:sz="0" w:space="0" w:color="auto"/>
                <w:right w:val="none" w:sz="0" w:space="0" w:color="auto"/>
              </w:divBdr>
              <w:divsChild>
                <w:div w:id="183425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image" Target="media/image30.emf"/><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image" Target="media/image38.emf"/><Relationship Id="rId50" Type="http://schemas.openxmlformats.org/officeDocument/2006/relationships/image" Target="media/image41.emf"/><Relationship Id="rId55" Type="http://schemas.openxmlformats.org/officeDocument/2006/relationships/image" Target="media/image46.emf"/><Relationship Id="rId63" Type="http://schemas.openxmlformats.org/officeDocument/2006/relationships/image" Target="media/image54.emf"/><Relationship Id="rId68" Type="http://schemas.openxmlformats.org/officeDocument/2006/relationships/image" Target="media/image59.emf"/><Relationship Id="rId76" Type="http://schemas.openxmlformats.org/officeDocument/2006/relationships/image" Target="media/image67.emf"/><Relationship Id="rId84" Type="http://schemas.openxmlformats.org/officeDocument/2006/relationships/footer" Target="footer2.xml"/><Relationship Id="rId7" Type="http://schemas.openxmlformats.org/officeDocument/2006/relationships/webSettings" Target="webSettings.xml"/><Relationship Id="rId71" Type="http://schemas.openxmlformats.org/officeDocument/2006/relationships/image" Target="media/image62.emf"/><Relationship Id="rId2" Type="http://schemas.openxmlformats.org/officeDocument/2006/relationships/customXml" Target="../customXml/item2.xml"/><Relationship Id="rId16" Type="http://schemas.openxmlformats.org/officeDocument/2006/relationships/image" Target="media/image7.emf"/><Relationship Id="rId29" Type="http://schemas.openxmlformats.org/officeDocument/2006/relationships/image" Target="media/image20.emf"/><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image" Target="media/image36.emf"/><Relationship Id="rId53" Type="http://schemas.openxmlformats.org/officeDocument/2006/relationships/image" Target="media/image44.emf"/><Relationship Id="rId58" Type="http://schemas.openxmlformats.org/officeDocument/2006/relationships/image" Target="media/image49.emf"/><Relationship Id="rId66" Type="http://schemas.openxmlformats.org/officeDocument/2006/relationships/image" Target="media/image57.emf"/><Relationship Id="rId74" Type="http://schemas.openxmlformats.org/officeDocument/2006/relationships/image" Target="media/image65.emf"/><Relationship Id="rId79" Type="http://schemas.openxmlformats.org/officeDocument/2006/relationships/image" Target="media/image70.emf"/><Relationship Id="rId5" Type="http://schemas.microsoft.com/office/2007/relationships/stylesWithEffects" Target="stylesWithEffects.xml"/><Relationship Id="rId61" Type="http://schemas.openxmlformats.org/officeDocument/2006/relationships/image" Target="media/image52.emf"/><Relationship Id="rId82" Type="http://schemas.openxmlformats.org/officeDocument/2006/relationships/header" Target="header2.xml"/><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image" Target="media/image39.emf"/><Relationship Id="rId56" Type="http://schemas.openxmlformats.org/officeDocument/2006/relationships/image" Target="media/image47.emf"/><Relationship Id="rId64" Type="http://schemas.openxmlformats.org/officeDocument/2006/relationships/image" Target="media/image55.emf"/><Relationship Id="rId69" Type="http://schemas.openxmlformats.org/officeDocument/2006/relationships/image" Target="media/image60.emf"/><Relationship Id="rId77" Type="http://schemas.openxmlformats.org/officeDocument/2006/relationships/image" Target="media/image68.emf"/><Relationship Id="rId8" Type="http://schemas.openxmlformats.org/officeDocument/2006/relationships/footnotes" Target="footnotes.xml"/><Relationship Id="rId51" Type="http://schemas.openxmlformats.org/officeDocument/2006/relationships/image" Target="media/image42.emf"/><Relationship Id="rId72" Type="http://schemas.openxmlformats.org/officeDocument/2006/relationships/image" Target="media/image63.emf"/><Relationship Id="rId80" Type="http://schemas.openxmlformats.org/officeDocument/2006/relationships/image" Target="media/image71.emf"/><Relationship Id="rId85"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image" Target="media/image37.emf"/><Relationship Id="rId59" Type="http://schemas.openxmlformats.org/officeDocument/2006/relationships/image" Target="media/image50.emf"/><Relationship Id="rId67" Type="http://schemas.openxmlformats.org/officeDocument/2006/relationships/image" Target="media/image58.emf"/><Relationship Id="rId20" Type="http://schemas.openxmlformats.org/officeDocument/2006/relationships/image" Target="media/image11.emf"/><Relationship Id="rId41" Type="http://schemas.openxmlformats.org/officeDocument/2006/relationships/image" Target="media/image32.emf"/><Relationship Id="rId54" Type="http://schemas.openxmlformats.org/officeDocument/2006/relationships/image" Target="media/image45.emf"/><Relationship Id="rId62" Type="http://schemas.openxmlformats.org/officeDocument/2006/relationships/image" Target="media/image53.emf"/><Relationship Id="rId70" Type="http://schemas.openxmlformats.org/officeDocument/2006/relationships/image" Target="media/image61.emf"/><Relationship Id="rId75" Type="http://schemas.openxmlformats.org/officeDocument/2006/relationships/image" Target="media/image66.emf"/><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image" Target="media/image40.emf"/><Relationship Id="rId57" Type="http://schemas.openxmlformats.org/officeDocument/2006/relationships/image" Target="media/image48.emf"/><Relationship Id="rId10" Type="http://schemas.openxmlformats.org/officeDocument/2006/relationships/image" Target="media/image1.emf"/><Relationship Id="rId31" Type="http://schemas.openxmlformats.org/officeDocument/2006/relationships/image" Target="media/image22.emf"/><Relationship Id="rId44" Type="http://schemas.openxmlformats.org/officeDocument/2006/relationships/image" Target="media/image35.emf"/><Relationship Id="rId52" Type="http://schemas.openxmlformats.org/officeDocument/2006/relationships/image" Target="media/image43.emf"/><Relationship Id="rId60" Type="http://schemas.openxmlformats.org/officeDocument/2006/relationships/image" Target="media/image51.emf"/><Relationship Id="rId65" Type="http://schemas.openxmlformats.org/officeDocument/2006/relationships/image" Target="media/image56.emf"/><Relationship Id="rId73" Type="http://schemas.openxmlformats.org/officeDocument/2006/relationships/image" Target="media/image64.emf"/><Relationship Id="rId78" Type="http://schemas.openxmlformats.org/officeDocument/2006/relationships/image" Target="media/image69.emf"/><Relationship Id="rId81" Type="http://schemas.openxmlformats.org/officeDocument/2006/relationships/header" Target="header1.xml"/><Relationship Id="rId86"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FF784-A7C9-4C62-88E2-73334F0C9AD4}">
  <ds:schemaRefs>
    <ds:schemaRef ds:uri="http://schemas.openxmlformats.org/officeDocument/2006/bibliography"/>
  </ds:schemaRefs>
</ds:datastoreItem>
</file>

<file path=customXml/itemProps2.xml><?xml version="1.0" encoding="utf-8"?>
<ds:datastoreItem xmlns:ds="http://schemas.openxmlformats.org/officeDocument/2006/customXml" ds:itemID="{7EE3BA94-7009-48D5-A52A-A8821D9C1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1157</TotalTime>
  <Pages>110</Pages>
  <Words>34157</Words>
  <Characters>194996</Characters>
  <Application>Microsoft Office Word</Application>
  <DocSecurity>0</DocSecurity>
  <Lines>4171</Lines>
  <Paragraphs>1429</Paragraphs>
  <ScaleCrop>false</ScaleCrop>
  <HeadingPairs>
    <vt:vector size="2" baseType="variant">
      <vt:variant>
        <vt:lpstr>Title</vt:lpstr>
      </vt:variant>
      <vt:variant>
        <vt:i4>1</vt:i4>
      </vt:variant>
    </vt:vector>
  </HeadingPairs>
  <TitlesOfParts>
    <vt:vector size="1" baseType="lpstr">
      <vt:lpstr>Chapter 14 Services for people with disability - Report on Government Services 2015</vt:lpstr>
    </vt:vector>
  </TitlesOfParts>
  <Company>Productivity Commission</Company>
  <LinksUpToDate>false</LinksUpToDate>
  <CharactersWithSpaces>228574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Services for people with disability - Report on Government Services 2015</dc:title>
  <dc:creator>Steering Committee for the Review of Government Service Provision</dc:creator>
  <cp:lastModifiedBy>Productivity Commission</cp:lastModifiedBy>
  <cp:revision>14</cp:revision>
  <cp:lastPrinted>2015-01-22T03:58:00Z</cp:lastPrinted>
  <dcterms:created xsi:type="dcterms:W3CDTF">2014-12-01T23:21:00Z</dcterms:created>
  <dcterms:modified xsi:type="dcterms:W3CDTF">2015-01-29T01:55:00Z</dcterms:modified>
</cp:coreProperties>
</file>