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6B9" w:rsidRPr="00F844C0" w:rsidRDefault="00FE26B9" w:rsidP="00CA444C">
      <w:pPr>
        <w:pStyle w:val="Heading2"/>
        <w:shd w:val="clear" w:color="auto" w:fill="FFFFFF" w:themeFill="background1"/>
      </w:pPr>
      <w:bookmarkStart w:id="0" w:name="_Toc280015402"/>
      <w:bookmarkStart w:id="1" w:name="_Toc280015491"/>
      <w:bookmarkStart w:id="2" w:name="_Toc280016081"/>
      <w:bookmarkStart w:id="3" w:name="_Toc280016442"/>
      <w:bookmarkStart w:id="4" w:name="_Toc280709305"/>
      <w:bookmarkStart w:id="5" w:name="_Toc282015333"/>
      <w:bookmarkStart w:id="6" w:name="_Toc282072061"/>
      <w:bookmarkStart w:id="7" w:name="_Toc288473422"/>
      <w:bookmarkStart w:id="8" w:name="_Toc297018216"/>
      <w:bookmarkStart w:id="9" w:name="_Toc370459712"/>
      <w:bookmarkStart w:id="10" w:name="_Toc372799446"/>
      <w:bookmarkStart w:id="11" w:name="_Toc394667182"/>
      <w:bookmarkStart w:id="12" w:name="_Toc404867664"/>
      <w:bookmarkStart w:id="13" w:name="ChapterNumber"/>
      <w:bookmarkStart w:id="14" w:name="_Toc278287349"/>
      <w:bookmarkStart w:id="15" w:name="_GoBack"/>
      <w:bookmarkEnd w:id="15"/>
      <w:r w:rsidRPr="00F844C0">
        <w:t xml:space="preserve">Data quality information — </w:t>
      </w:r>
      <w:bookmarkEnd w:id="0"/>
      <w:bookmarkEnd w:id="1"/>
      <w:bookmarkEnd w:id="2"/>
      <w:bookmarkEnd w:id="3"/>
      <w:bookmarkEnd w:id="4"/>
      <w:bookmarkEnd w:id="5"/>
      <w:bookmarkEnd w:id="6"/>
      <w:bookmarkEnd w:id="7"/>
      <w:bookmarkEnd w:id="8"/>
      <w:bookmarkEnd w:id="9"/>
      <w:bookmarkEnd w:id="10"/>
      <w:r w:rsidR="003076E3" w:rsidRPr="00F844C0">
        <w:t>Community services sector overview F</w:t>
      </w:r>
      <w:bookmarkEnd w:id="11"/>
      <w:bookmarkEnd w:id="12"/>
    </w:p>
    <w:p w:rsidR="003B7AD8" w:rsidRDefault="003B7A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7AD8" w:rsidTr="006F6D61">
        <w:tc>
          <w:tcPr>
            <w:tcW w:w="8771" w:type="dxa"/>
            <w:tcBorders>
              <w:top w:val="single" w:sz="6" w:space="0" w:color="78A22F"/>
              <w:left w:val="nil"/>
              <w:bottom w:val="nil"/>
              <w:right w:val="nil"/>
            </w:tcBorders>
            <w:shd w:val="clear" w:color="auto" w:fill="F2F2F2"/>
          </w:tcPr>
          <w:p w:rsidR="003B7AD8" w:rsidRDefault="003B7AD8">
            <w:pPr>
              <w:pStyle w:val="BoxTitle"/>
            </w:pPr>
            <w:r w:rsidRPr="003B7AD8">
              <w:t>Data Quality Information</w:t>
            </w:r>
          </w:p>
        </w:tc>
      </w:tr>
      <w:tr w:rsidR="003B7AD8" w:rsidTr="006F6D61">
        <w:trPr>
          <w:cantSplit/>
        </w:trPr>
        <w:tc>
          <w:tcPr>
            <w:tcW w:w="8771" w:type="dxa"/>
            <w:tcBorders>
              <w:top w:val="nil"/>
              <w:left w:val="nil"/>
              <w:bottom w:val="nil"/>
              <w:right w:val="nil"/>
            </w:tcBorders>
            <w:shd w:val="clear" w:color="auto" w:fill="F2F2F2"/>
          </w:tcPr>
          <w:p w:rsidR="003B7AD8" w:rsidRDefault="003B7AD8" w:rsidP="003B7AD8">
            <w:pPr>
              <w:pStyle w:val="Box"/>
            </w:pPr>
            <w:r>
              <w:t>Data quality information (DQI) for the Community services sector overview was prepared for the first time for the 2015 Report on Government Services. DQI provides information against the seven Australian Bureau of Statistics (ABS) data quality framework dimensions, for sector</w:t>
            </w:r>
            <w:r w:rsidR="002A0059">
              <w:noBreakHyphen/>
            </w:r>
            <w:r>
              <w:t xml:space="preserve">wide performance indicators in the Community services sector overview. </w:t>
            </w:r>
          </w:p>
          <w:p w:rsidR="003B7AD8" w:rsidRDefault="003B7AD8" w:rsidP="003B7AD8">
            <w:pPr>
              <w:pStyle w:val="Box"/>
            </w:pPr>
            <w:r>
              <w:t>Technical DQI has been supplied or agreed by relevant data providers. Additional Steering Committee commentary does not necessarily reflect the views of data providers.</w:t>
            </w:r>
          </w:p>
        </w:tc>
      </w:tr>
      <w:tr w:rsidR="003B7AD8" w:rsidTr="006F6D61">
        <w:trPr>
          <w:cantSplit/>
        </w:trPr>
        <w:tc>
          <w:tcPr>
            <w:tcW w:w="8771" w:type="dxa"/>
            <w:tcBorders>
              <w:top w:val="nil"/>
              <w:left w:val="nil"/>
              <w:bottom w:val="single" w:sz="6" w:space="0" w:color="78A22F"/>
              <w:right w:val="nil"/>
            </w:tcBorders>
            <w:shd w:val="clear" w:color="auto" w:fill="F2F2F2"/>
          </w:tcPr>
          <w:p w:rsidR="003B7AD8" w:rsidRDefault="003B7AD8">
            <w:pPr>
              <w:pStyle w:val="Box"/>
              <w:spacing w:before="0" w:line="120" w:lineRule="exact"/>
            </w:pPr>
          </w:p>
        </w:tc>
      </w:tr>
      <w:tr w:rsidR="003B7AD8" w:rsidRPr="000863A5" w:rsidTr="006F6D61">
        <w:tc>
          <w:tcPr>
            <w:tcW w:w="8771" w:type="dxa"/>
            <w:tcBorders>
              <w:top w:val="single" w:sz="6" w:space="0" w:color="78A22F"/>
              <w:left w:val="nil"/>
              <w:bottom w:val="nil"/>
              <w:right w:val="nil"/>
            </w:tcBorders>
          </w:tcPr>
          <w:p w:rsidR="003B7AD8" w:rsidRPr="00626D32" w:rsidRDefault="003B7AD8" w:rsidP="006F6D61">
            <w:pPr>
              <w:pStyle w:val="BoxSpaceBelow"/>
            </w:pPr>
          </w:p>
        </w:tc>
      </w:tr>
    </w:tbl>
    <w:p w:rsidR="008B4FA4" w:rsidRDefault="00FE26B9" w:rsidP="00CA444C">
      <w:pPr>
        <w:pStyle w:val="TOC2"/>
        <w:shd w:val="clear" w:color="auto" w:fill="FFFFFF" w:themeFill="background1"/>
        <w:ind w:left="567" w:hanging="425"/>
        <w:rPr>
          <w:noProof/>
        </w:rPr>
      </w:pPr>
      <w:bookmarkStart w:id="16" w:name="begin"/>
      <w:bookmarkEnd w:id="13"/>
      <w:bookmarkEnd w:id="14"/>
      <w:bookmarkEnd w:id="16"/>
      <w:r w:rsidRPr="00F844C0">
        <w:t>DQI are available for the following performance indicators:</w:t>
      </w:r>
      <w:bookmarkStart w:id="17" w:name="_Toc297018217"/>
      <w:bookmarkStart w:id="18" w:name="_Toc278287351"/>
      <w:bookmarkStart w:id="19" w:name="_Toc282015335"/>
    </w:p>
    <w:p w:rsidR="008B4FA4" w:rsidRPr="00AF2103" w:rsidRDefault="008B4FA4" w:rsidP="00CA444C">
      <w:pPr>
        <w:pStyle w:val="TOC2"/>
        <w:shd w:val="clear" w:color="auto" w:fill="FFFFFF" w:themeFill="background1"/>
        <w:rPr>
          <w:rFonts w:asciiTheme="minorHAnsi" w:eastAsiaTheme="minorEastAsia" w:hAnsiTheme="minorHAnsi" w:cstheme="minorBidi"/>
          <w:noProof/>
          <w:sz w:val="22"/>
          <w:szCs w:val="22"/>
          <w:lang w:eastAsia="en-AU"/>
        </w:rPr>
      </w:pPr>
      <w:r w:rsidRPr="00B12091">
        <w:rPr>
          <w:noProof/>
        </w:rPr>
        <w:t>Wellbeing of older people</w:t>
      </w:r>
      <w:r w:rsidRPr="00AF2103">
        <w:rPr>
          <w:noProof/>
          <w:webHidden/>
        </w:rPr>
        <w:tab/>
      </w:r>
      <w:r w:rsidR="00312E73">
        <w:rPr>
          <w:noProof/>
          <w:webHidden/>
        </w:rPr>
        <w:t>2</w:t>
      </w:r>
    </w:p>
    <w:p w:rsidR="008B4FA4" w:rsidRPr="00AF2103" w:rsidRDefault="008B4FA4" w:rsidP="00CA444C">
      <w:pPr>
        <w:pStyle w:val="TOC2"/>
        <w:shd w:val="clear" w:color="auto" w:fill="FFFFFF" w:themeFill="background1"/>
        <w:rPr>
          <w:rFonts w:asciiTheme="minorHAnsi" w:eastAsiaTheme="minorEastAsia" w:hAnsiTheme="minorHAnsi" w:cstheme="minorBidi"/>
          <w:noProof/>
          <w:sz w:val="22"/>
          <w:szCs w:val="22"/>
          <w:lang w:eastAsia="en-AU"/>
        </w:rPr>
      </w:pPr>
      <w:r w:rsidRPr="00B12091">
        <w:rPr>
          <w:noProof/>
        </w:rPr>
        <w:t>Independence of older people</w:t>
      </w:r>
      <w:r w:rsidRPr="00AF2103">
        <w:rPr>
          <w:noProof/>
          <w:webHidden/>
        </w:rPr>
        <w:tab/>
      </w:r>
      <w:r w:rsidR="000F317C">
        <w:rPr>
          <w:noProof/>
          <w:webHidden/>
        </w:rPr>
        <w:t>5</w:t>
      </w:r>
    </w:p>
    <w:p w:rsidR="008B4FA4" w:rsidRPr="00AF2103" w:rsidRDefault="008B4FA4" w:rsidP="00CA444C">
      <w:pPr>
        <w:pStyle w:val="TOC2"/>
        <w:shd w:val="clear" w:color="auto" w:fill="FFFFFF" w:themeFill="background1"/>
        <w:rPr>
          <w:rFonts w:asciiTheme="minorHAnsi" w:eastAsiaTheme="minorEastAsia" w:hAnsiTheme="minorHAnsi" w:cstheme="minorBidi"/>
          <w:noProof/>
          <w:sz w:val="22"/>
          <w:szCs w:val="22"/>
          <w:lang w:eastAsia="en-AU"/>
        </w:rPr>
      </w:pPr>
      <w:r w:rsidRPr="00B12091">
        <w:rPr>
          <w:noProof/>
        </w:rPr>
        <w:t xml:space="preserve">Quality of life of </w:t>
      </w:r>
      <w:r w:rsidRPr="00B12091">
        <w:rPr>
          <w:noProof/>
          <w:shd w:val="clear" w:color="auto" w:fill="FFFFFF" w:themeFill="background1"/>
        </w:rPr>
        <w:t>people with disability</w:t>
      </w:r>
      <w:r w:rsidRPr="00AF2103">
        <w:rPr>
          <w:noProof/>
          <w:webHidden/>
        </w:rPr>
        <w:tab/>
      </w:r>
      <w:r w:rsidR="000F317C">
        <w:rPr>
          <w:noProof/>
          <w:webHidden/>
        </w:rPr>
        <w:t>8</w:t>
      </w:r>
    </w:p>
    <w:p w:rsidR="008B4FA4" w:rsidRPr="00AF2103" w:rsidRDefault="008B4FA4" w:rsidP="00CA444C">
      <w:pPr>
        <w:pStyle w:val="TOC2"/>
        <w:shd w:val="clear" w:color="auto" w:fill="FFFFFF" w:themeFill="background1"/>
        <w:rPr>
          <w:rFonts w:asciiTheme="minorHAnsi" w:eastAsiaTheme="minorEastAsia" w:hAnsiTheme="minorHAnsi" w:cstheme="minorBidi"/>
          <w:noProof/>
          <w:sz w:val="22"/>
          <w:szCs w:val="22"/>
          <w:lang w:eastAsia="en-AU"/>
        </w:rPr>
      </w:pPr>
      <w:r w:rsidRPr="00B12091">
        <w:rPr>
          <w:noProof/>
        </w:rPr>
        <w:t>Participation of people with disability and their primary carers in the community</w:t>
      </w:r>
      <w:r w:rsidRPr="00AF2103">
        <w:rPr>
          <w:noProof/>
          <w:webHidden/>
        </w:rPr>
        <w:tab/>
      </w:r>
      <w:r w:rsidR="00312E73">
        <w:rPr>
          <w:noProof/>
          <w:webHidden/>
        </w:rPr>
        <w:t>1</w:t>
      </w:r>
      <w:r w:rsidR="000F317C">
        <w:rPr>
          <w:noProof/>
          <w:webHidden/>
        </w:rPr>
        <w:t>1</w:t>
      </w:r>
    </w:p>
    <w:p w:rsidR="008B4FA4" w:rsidRPr="00AF2103" w:rsidRDefault="008B4FA4" w:rsidP="00CA444C">
      <w:pPr>
        <w:pStyle w:val="TOC2"/>
        <w:shd w:val="clear" w:color="auto" w:fill="FFFFFF" w:themeFill="background1"/>
        <w:rPr>
          <w:rFonts w:asciiTheme="minorHAnsi" w:eastAsiaTheme="minorEastAsia" w:hAnsiTheme="minorHAnsi" w:cstheme="minorBidi"/>
          <w:noProof/>
          <w:sz w:val="22"/>
          <w:szCs w:val="22"/>
          <w:lang w:eastAsia="en-AU"/>
        </w:rPr>
      </w:pPr>
      <w:r w:rsidRPr="00B12091">
        <w:rPr>
          <w:noProof/>
        </w:rPr>
        <w:t>Jobless families</w:t>
      </w:r>
      <w:r w:rsidRPr="00AF2103">
        <w:rPr>
          <w:noProof/>
          <w:webHidden/>
        </w:rPr>
        <w:tab/>
      </w:r>
      <w:r w:rsidR="00312E73">
        <w:rPr>
          <w:noProof/>
          <w:webHidden/>
        </w:rPr>
        <w:t>1</w:t>
      </w:r>
      <w:r w:rsidR="000F317C">
        <w:rPr>
          <w:noProof/>
          <w:webHidden/>
        </w:rPr>
        <w:t>5</w:t>
      </w:r>
    </w:p>
    <w:p w:rsidR="008B4FA4" w:rsidRDefault="008B4FA4" w:rsidP="00CA444C">
      <w:pPr>
        <w:pStyle w:val="TOC2"/>
        <w:shd w:val="clear" w:color="auto" w:fill="FFFFFF" w:themeFill="background1"/>
        <w:rPr>
          <w:rFonts w:asciiTheme="minorHAnsi" w:eastAsiaTheme="minorEastAsia" w:hAnsiTheme="minorHAnsi" w:cstheme="minorBidi"/>
          <w:noProof/>
          <w:sz w:val="22"/>
          <w:szCs w:val="22"/>
          <w:lang w:eastAsia="en-AU"/>
        </w:rPr>
      </w:pPr>
      <w:r w:rsidRPr="00B12091">
        <w:rPr>
          <w:noProof/>
        </w:rPr>
        <w:t>Improving child development</w:t>
      </w:r>
      <w:r w:rsidRPr="00AF2103">
        <w:rPr>
          <w:noProof/>
          <w:webHidden/>
        </w:rPr>
        <w:tab/>
      </w:r>
      <w:r w:rsidR="00312E73">
        <w:rPr>
          <w:noProof/>
          <w:webHidden/>
        </w:rPr>
        <w:t>1</w:t>
      </w:r>
      <w:r w:rsidR="000F317C">
        <w:rPr>
          <w:noProof/>
          <w:webHidden/>
        </w:rPr>
        <w:t>8</w:t>
      </w:r>
    </w:p>
    <w:p w:rsidR="00BD54FE" w:rsidRPr="00F844C0" w:rsidRDefault="00077A44" w:rsidP="00CA444C">
      <w:pPr>
        <w:pStyle w:val="Heading2nosectionno"/>
        <w:shd w:val="clear" w:color="auto" w:fill="FFFFFF" w:themeFill="background1"/>
      </w:pPr>
      <w:r w:rsidRPr="00F844C0">
        <w:br w:type="page"/>
      </w:r>
      <w:bookmarkStart w:id="20" w:name="_Toc404867665"/>
      <w:bookmarkStart w:id="21" w:name="_Toc297018218"/>
      <w:bookmarkEnd w:id="17"/>
      <w:r w:rsidR="003076E3" w:rsidRPr="00F844C0">
        <w:lastRenderedPageBreak/>
        <w:t>Wellbeing of older people</w:t>
      </w:r>
      <w:bookmarkEnd w:id="20"/>
    </w:p>
    <w:p w:rsidR="00BD54FE" w:rsidRPr="00F844C0" w:rsidRDefault="00BD54FE"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8A24AB">
        <w:rPr>
          <w:rFonts w:ascii="Arial" w:hAnsi="Arial" w:cs="Arial"/>
          <w:sz w:val="22"/>
          <w:szCs w:val="22"/>
        </w:rPr>
        <w:t>the Report’s</w:t>
      </w:r>
      <w:r w:rsidR="003076E3" w:rsidRPr="00F844C0">
        <w:rPr>
          <w:rFonts w:ascii="Arial" w:hAnsi="Arial" w:cs="Arial"/>
          <w:sz w:val="22"/>
          <w:szCs w:val="22"/>
        </w:rPr>
        <w:t xml:space="preserve"> community service working groups. </w:t>
      </w:r>
    </w:p>
    <w:tbl>
      <w:tblPr>
        <w:tblW w:w="5000" w:type="pct"/>
        <w:tblCellMar>
          <w:left w:w="0" w:type="dxa"/>
          <w:right w:w="0" w:type="dxa"/>
        </w:tblCellMar>
        <w:tblLook w:val="0000" w:firstRow="0" w:lastRow="0" w:firstColumn="0" w:lastColumn="0" w:noHBand="0" w:noVBand="0"/>
      </w:tblPr>
      <w:tblGrid>
        <w:gridCol w:w="8789"/>
      </w:tblGrid>
      <w:tr w:rsidR="00BD54FE" w:rsidRPr="00F844C0" w:rsidTr="00121824">
        <w:tc>
          <w:tcPr>
            <w:tcW w:w="5000" w:type="pct"/>
          </w:tcPr>
          <w:p w:rsidR="00BD54FE" w:rsidRPr="00F844C0" w:rsidRDefault="00BD54FE" w:rsidP="00CA444C">
            <w:pPr>
              <w:pStyle w:val="TableBodyText"/>
              <w:keepNext w:val="0"/>
              <w:keepLines w:val="0"/>
              <w:widowControl w:val="0"/>
              <w:shd w:val="clear" w:color="auto" w:fill="FFFFFF" w:themeFill="background1"/>
              <w:jc w:val="both"/>
              <w:rPr>
                <w:b/>
                <w:u w:val="single"/>
              </w:rPr>
            </w:pPr>
          </w:p>
          <w:p w:rsidR="00BD54FE" w:rsidRPr="00F844C0" w:rsidRDefault="00BD54FE" w:rsidP="00CA444C">
            <w:pPr>
              <w:pStyle w:val="TableBodyText"/>
              <w:keepNext w:val="0"/>
              <w:keepLines w:val="0"/>
              <w:widowControl w:val="0"/>
              <w:shd w:val="clear" w:color="auto" w:fill="FFFFFF" w:themeFill="background1"/>
              <w:jc w:val="both"/>
            </w:pPr>
            <w:r w:rsidRPr="00F844C0">
              <w:rPr>
                <w:b/>
                <w:u w:val="single"/>
              </w:rPr>
              <w:t>Indicator definition and description</w:t>
            </w:r>
            <w:r w:rsidRPr="00F844C0">
              <w:rPr>
                <w:rFonts w:cs="Arial"/>
                <w:b/>
                <w:sz w:val="22"/>
                <w:szCs w:val="22"/>
                <w:u w:val="single"/>
              </w:rPr>
              <w:t xml:space="preserve"> </w:t>
            </w:r>
          </w:p>
        </w:tc>
      </w:tr>
    </w:tbl>
    <w:p w:rsidR="00BD54FE" w:rsidRPr="00F844C0" w:rsidRDefault="00BD54FE" w:rsidP="00CA444C">
      <w:pPr>
        <w:widowControl w:val="0"/>
        <w:shd w:val="clear" w:color="auto" w:fill="FFFFFF" w:themeFill="background1"/>
      </w:pPr>
    </w:p>
    <w:tbl>
      <w:tblPr>
        <w:tblW w:w="8789" w:type="dxa"/>
        <w:tblInd w:w="108" w:type="dxa"/>
        <w:tblLayout w:type="fixed"/>
        <w:tblLook w:val="01E0" w:firstRow="1" w:lastRow="1" w:firstColumn="1" w:lastColumn="1" w:noHBand="0" w:noVBand="0"/>
      </w:tblPr>
      <w:tblGrid>
        <w:gridCol w:w="1701"/>
        <w:gridCol w:w="7088"/>
      </w:tblGrid>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Element</w:t>
            </w:r>
          </w:p>
        </w:tc>
        <w:tc>
          <w:tcPr>
            <w:tcW w:w="7088" w:type="dxa"/>
            <w:tcBorders>
              <w:top w:val="nil"/>
              <w:left w:val="nil"/>
              <w:bottom w:val="nil"/>
              <w:right w:val="nil"/>
            </w:tcBorders>
            <w:shd w:val="clear" w:color="auto" w:fill="auto"/>
          </w:tcPr>
          <w:p w:rsidR="00BD54FE" w:rsidRPr="00F844C0" w:rsidRDefault="00EA1BC3" w:rsidP="00CA444C">
            <w:pPr>
              <w:pStyle w:val="TableBodyText"/>
              <w:keepNext w:val="0"/>
              <w:keepLines w:val="0"/>
              <w:widowControl w:val="0"/>
              <w:shd w:val="clear" w:color="auto" w:fill="FFFFFF" w:themeFill="background1"/>
              <w:jc w:val="both"/>
              <w:rPr>
                <w:rFonts w:cs="Arial"/>
              </w:rPr>
            </w:pPr>
            <w:r w:rsidRPr="00F844C0">
              <w:rPr>
                <w:rFonts w:cs="Arial"/>
              </w:rPr>
              <w:t>Sector</w:t>
            </w:r>
            <w:r w:rsidR="002A0059">
              <w:rPr>
                <w:rFonts w:cs="Arial"/>
              </w:rPr>
              <w:noBreakHyphen/>
            </w:r>
            <w:r w:rsidRPr="00F844C0">
              <w:rPr>
                <w:rFonts w:cs="Arial"/>
              </w:rPr>
              <w:t>wide indicator</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Indicator </w:t>
            </w:r>
          </w:p>
        </w:tc>
        <w:tc>
          <w:tcPr>
            <w:tcW w:w="7088" w:type="dxa"/>
            <w:tcBorders>
              <w:top w:val="nil"/>
              <w:left w:val="nil"/>
              <w:bottom w:val="nil"/>
              <w:right w:val="nil"/>
            </w:tcBorders>
            <w:shd w:val="clear" w:color="auto" w:fill="auto"/>
          </w:tcPr>
          <w:p w:rsidR="00BD54FE" w:rsidRPr="00F844C0" w:rsidRDefault="00EA1BC3" w:rsidP="00CA444C">
            <w:pPr>
              <w:pStyle w:val="TableBodyText"/>
              <w:keepNext w:val="0"/>
              <w:keepLines w:val="0"/>
              <w:widowControl w:val="0"/>
              <w:shd w:val="clear" w:color="auto" w:fill="FFFFFF" w:themeFill="background1"/>
              <w:jc w:val="both"/>
              <w:rPr>
                <w:szCs w:val="18"/>
              </w:rPr>
            </w:pPr>
            <w:r w:rsidRPr="00F844C0">
              <w:rPr>
                <w:rFonts w:cs="Arial"/>
                <w:szCs w:val="18"/>
              </w:rPr>
              <w:t>Wellbeing of older people.</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Measure (computation)</w:t>
            </w:r>
          </w:p>
        </w:tc>
        <w:tc>
          <w:tcPr>
            <w:tcW w:w="7088"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Definition:</w:t>
            </w:r>
          </w:p>
          <w:p w:rsidR="00EA1BC3" w:rsidRPr="00F844C0" w:rsidRDefault="00EA1BC3" w:rsidP="00CA444C">
            <w:pPr>
              <w:pStyle w:val="TableBodyText"/>
              <w:keepNext w:val="0"/>
              <w:keepLines w:val="0"/>
              <w:widowControl w:val="0"/>
              <w:shd w:val="clear" w:color="auto" w:fill="FFFFFF" w:themeFill="background1"/>
              <w:spacing w:after="60"/>
              <w:jc w:val="both"/>
              <w:rPr>
                <w:rFonts w:cs="Arial"/>
                <w:szCs w:val="18"/>
              </w:rPr>
            </w:pPr>
            <w:r w:rsidRPr="00F844C0">
              <w:rPr>
                <w:rFonts w:cs="Arial"/>
                <w:szCs w:val="18"/>
              </w:rPr>
              <w:t xml:space="preserve">Wellbeing of older people is defined as the overall life satisfaction of older people, measured as the proportion of people aged 65 years or over who were </w:t>
            </w:r>
            <w:r w:rsidR="008A5EFE" w:rsidRPr="00F844C0">
              <w:rPr>
                <w:rFonts w:cs="Arial"/>
                <w:szCs w:val="18"/>
              </w:rPr>
              <w:t xml:space="preserve">at least </w:t>
            </w:r>
            <w:r w:rsidRPr="00F844C0">
              <w:rPr>
                <w:rFonts w:cs="Arial"/>
                <w:szCs w:val="18"/>
              </w:rPr>
              <w:t>mostly satisfied with their lives.</w:t>
            </w:r>
          </w:p>
          <w:p w:rsidR="00BD54FE" w:rsidRPr="00F844C0" w:rsidRDefault="00BD54FE"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u w:val="single"/>
              </w:rPr>
              <w:t>Numerators</w:t>
            </w:r>
            <w:r w:rsidRPr="00F844C0">
              <w:rPr>
                <w:rFonts w:ascii="Arial" w:hAnsi="Arial" w:cs="Arial"/>
                <w:sz w:val="18"/>
                <w:szCs w:val="18"/>
              </w:rPr>
              <w:t xml:space="preserve">: </w:t>
            </w:r>
          </w:p>
          <w:p w:rsidR="00EA1BC3" w:rsidRPr="00F844C0" w:rsidRDefault="00EA1BC3"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The number of people aged 65 years or over who felt delighted, pleased or mostly satisfied with their lives.</w:t>
            </w:r>
          </w:p>
          <w:p w:rsidR="00BD54FE" w:rsidRPr="00F844C0" w:rsidRDefault="00BD54FE"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EA1BC3" w:rsidRPr="00F844C0" w:rsidRDefault="00EA1BC3"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All people who provided a response to overall life satisfaction (i.e., the denominator excludes respondents who did not provide a response or who did not know how they felt).</w:t>
            </w:r>
          </w:p>
          <w:p w:rsidR="00BD54FE" w:rsidRPr="00F844C0" w:rsidRDefault="00BD54FE"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Computation:</w:t>
            </w:r>
          </w:p>
          <w:p w:rsidR="00BD54FE" w:rsidRPr="00F844C0" w:rsidRDefault="00BD54FE"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Expressed as a percentage. Calculation is: (Numerator </w:t>
            </w:r>
            <w:r w:rsidRPr="00F844C0">
              <w:rPr>
                <w:rFonts w:cs="Arial"/>
                <w:szCs w:val="18"/>
              </w:rPr>
              <w:sym w:font="Symbol" w:char="F0B8"/>
            </w:r>
            <w:r w:rsidRPr="00F844C0">
              <w:rPr>
                <w:rFonts w:cs="Arial"/>
                <w:szCs w:val="18"/>
              </w:rPr>
              <w:t xml:space="preserve"> Denominator) x 100.</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Data source/s</w:t>
            </w:r>
          </w:p>
        </w:tc>
        <w:tc>
          <w:tcPr>
            <w:tcW w:w="7088"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 xml:space="preserve">Numerators: </w:t>
            </w:r>
          </w:p>
          <w:p w:rsidR="00BD54FE" w:rsidRPr="00F844C0" w:rsidRDefault="00BD54FE"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w:t>
            </w:r>
            <w:r w:rsidR="003076E3" w:rsidRPr="00F844C0">
              <w:rPr>
                <w:rFonts w:cs="Arial"/>
                <w:szCs w:val="18"/>
              </w:rPr>
              <w:t>Bureau of Statistics</w:t>
            </w:r>
            <w:r w:rsidRPr="00F844C0">
              <w:rPr>
                <w:rFonts w:cs="Arial"/>
                <w:szCs w:val="18"/>
              </w:rPr>
              <w:t xml:space="preserve">, </w:t>
            </w:r>
            <w:r w:rsidR="00EA1BC3" w:rsidRPr="00F844C0">
              <w:rPr>
                <w:rFonts w:cs="Arial"/>
                <w:i/>
                <w:szCs w:val="18"/>
              </w:rPr>
              <w:t>General Social Survey 2010</w:t>
            </w:r>
            <w:r w:rsidR="00EA1BC3" w:rsidRPr="00F844C0">
              <w:rPr>
                <w:rFonts w:cs="Arial"/>
                <w:szCs w:val="18"/>
              </w:rPr>
              <w:t>, cat. no. 4159.0</w:t>
            </w:r>
            <w:r w:rsidR="00AF275D" w:rsidRPr="00F844C0">
              <w:rPr>
                <w:rFonts w:cs="Arial"/>
                <w:szCs w:val="18"/>
              </w:rPr>
              <w:t>, Canberra.</w:t>
            </w:r>
          </w:p>
          <w:p w:rsidR="00BD54FE" w:rsidRPr="00F844C0" w:rsidRDefault="00BD54FE"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BD54FE" w:rsidRPr="00F844C0" w:rsidRDefault="00EA1BC3"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Pr="00F844C0">
              <w:rPr>
                <w:rFonts w:cs="Arial"/>
                <w:i/>
                <w:szCs w:val="18"/>
              </w:rPr>
              <w:t>General Social Survey 2010</w:t>
            </w:r>
            <w:r w:rsidRPr="00F844C0">
              <w:rPr>
                <w:rFonts w:cs="Arial"/>
                <w:szCs w:val="18"/>
              </w:rPr>
              <w:t>, cat. no. 4159.0</w:t>
            </w:r>
            <w:r w:rsidR="00AF275D" w:rsidRPr="00F844C0">
              <w:rPr>
                <w:rFonts w:cs="Arial"/>
                <w:szCs w:val="18"/>
              </w:rPr>
              <w:t>, Canberra.</w:t>
            </w:r>
          </w:p>
        </w:tc>
      </w:tr>
      <w:tr w:rsidR="00BD54FE" w:rsidRPr="00F844C0" w:rsidTr="00BD4765">
        <w:tc>
          <w:tcPr>
            <w:tcW w:w="8789" w:type="dxa"/>
            <w:gridSpan w:val="2"/>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jc w:val="both"/>
              <w:rPr>
                <w:rFonts w:cs="Arial"/>
                <w:b/>
                <w:u w:val="single"/>
              </w:rPr>
            </w:pPr>
            <w:r w:rsidRPr="00F844C0">
              <w:rPr>
                <w:b/>
                <w:u w:val="single"/>
              </w:rPr>
              <w:t>Data Quality Framework Dimensions</w:t>
            </w:r>
            <w:r w:rsidRPr="00F844C0">
              <w:rPr>
                <w:rFonts w:cs="Arial"/>
                <w:b/>
                <w:u w:val="single"/>
              </w:rPr>
              <w:t xml:space="preserve"> </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Institutional environment </w:t>
            </w:r>
          </w:p>
        </w:tc>
        <w:tc>
          <w:tcPr>
            <w:tcW w:w="7088" w:type="dxa"/>
            <w:tcBorders>
              <w:top w:val="nil"/>
              <w:left w:val="nil"/>
              <w:bottom w:val="nil"/>
              <w:right w:val="nil"/>
            </w:tcBorders>
            <w:shd w:val="clear" w:color="auto" w:fill="auto"/>
          </w:tcPr>
          <w:p w:rsidR="00BD54FE" w:rsidRPr="00F844C0" w:rsidRDefault="00491D18" w:rsidP="00CA444C">
            <w:pPr>
              <w:pStyle w:val="TableBodyText"/>
              <w:keepNext w:val="0"/>
              <w:keepLines w:val="0"/>
              <w:widowControl w:val="0"/>
              <w:shd w:val="clear" w:color="auto" w:fill="FFFFFF" w:themeFill="background1"/>
              <w:jc w:val="both"/>
              <w:rPr>
                <w:rFonts w:cs="Arial"/>
              </w:rPr>
            </w:pPr>
            <w:r w:rsidRPr="00F844C0">
              <w:rPr>
                <w:rFonts w:cs="Arial"/>
              </w:rPr>
              <w:t xml:space="preserve">The General Social Survey (GSS) is collected, processed, and published by the Australian Bureau of Statistics (ABS). The ABS operates within the framework of the </w:t>
            </w:r>
            <w:r w:rsidRPr="008B4FA4">
              <w:rPr>
                <w:rFonts w:cs="Arial"/>
                <w:i/>
              </w:rPr>
              <w:t>Census and Statistics Act 1905</w:t>
            </w:r>
            <w:r w:rsidRPr="00F844C0">
              <w:rPr>
                <w:rFonts w:cs="Arial"/>
              </w:rPr>
              <w:t xml:space="preserve"> and the </w:t>
            </w:r>
            <w:r w:rsidRPr="008B4FA4">
              <w:rPr>
                <w:rFonts w:cs="Arial"/>
                <w:i/>
              </w:rPr>
              <w:t>Australian Bureau of Statistics Act 1975</w:t>
            </w:r>
            <w:r w:rsidRPr="00F844C0">
              <w:rPr>
                <w:rFonts w:cs="Arial"/>
              </w:rPr>
              <w:t xml:space="preserve">. These ensure the independence and impartiality of the ABS, and the confidentiality of respondents. </w:t>
            </w:r>
            <w:r w:rsidR="00AF275D" w:rsidRPr="00F844C0">
              <w:t>For information on the institutional environment of the ABS, including the legislative obligations of the ABS, which cover this collection, please see ABS Institutional Environment (</w:t>
            </w:r>
            <w:r w:rsidR="00E2548C" w:rsidRPr="008A24AB">
              <w:t>www.abs.gov.au/Ausstats/abs@.nsf/ Latestproducts/4402.0Quality%20Declaration0June%202011?opendocument&amp;tabname=Notes&amp;prodno=4402.0&amp;issue=June%202011&amp;num=&amp;view</w:t>
            </w:r>
            <w:r w:rsidR="00AF275D" w:rsidRPr="00F844C0">
              <w:t>=)</w:t>
            </w:r>
            <w:r w:rsidR="00DD62D7">
              <w:t xml:space="preserve">. </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Relevance </w:t>
            </w:r>
          </w:p>
        </w:tc>
        <w:tc>
          <w:tcPr>
            <w:tcW w:w="7088" w:type="dxa"/>
            <w:tcBorders>
              <w:top w:val="nil"/>
              <w:left w:val="nil"/>
              <w:bottom w:val="nil"/>
              <w:right w:val="nil"/>
            </w:tcBorders>
            <w:shd w:val="clear" w:color="auto" w:fill="auto"/>
          </w:tcPr>
          <w:p w:rsidR="00BD54FE" w:rsidRPr="00F844C0" w:rsidRDefault="008A5EFE" w:rsidP="00CA444C">
            <w:pPr>
              <w:pStyle w:val="TableBodyText"/>
              <w:keepNext w:val="0"/>
              <w:keepLines w:val="0"/>
              <w:widowControl w:val="0"/>
              <w:shd w:val="clear" w:color="auto" w:fill="FFFFFF" w:themeFill="background1"/>
              <w:jc w:val="both"/>
              <w:rPr>
                <w:rFonts w:cs="Arial"/>
              </w:rPr>
            </w:pPr>
            <w:r w:rsidRPr="00F844C0">
              <w:rPr>
                <w:rFonts w:cs="Arial"/>
              </w:rPr>
              <w:t>Wellbeing of older people</w:t>
            </w:r>
            <w:r w:rsidR="00AF275D" w:rsidRPr="00F844C0">
              <w:rPr>
                <w:rFonts w:cs="Arial"/>
              </w:rPr>
              <w:t xml:space="preserve"> is an indicator of governments’ objective to promote the wellbeing and independence of older people.</w:t>
            </w:r>
          </w:p>
          <w:p w:rsidR="00491D18" w:rsidRPr="00F844C0" w:rsidRDefault="00491D18" w:rsidP="008A24AB">
            <w:pPr>
              <w:pStyle w:val="TableBodyText"/>
              <w:widowControl w:val="0"/>
              <w:shd w:val="clear" w:color="auto" w:fill="FFFFFF" w:themeFill="background1"/>
              <w:jc w:val="both"/>
              <w:rPr>
                <w:rFonts w:cs="Arial"/>
              </w:rPr>
            </w:pPr>
            <w:r w:rsidRPr="00F844C0">
              <w:rPr>
                <w:rFonts w:cs="Arial"/>
              </w:rPr>
              <w:t>Overall life satisfaction is a summary measure of subjective wellbeing against a scale ranging from delighted to terrible. It measures a person</w:t>
            </w:r>
            <w:r w:rsidR="002A0059">
              <w:rPr>
                <w:rFonts w:cs="Arial"/>
              </w:rPr>
              <w:t>’</w:t>
            </w:r>
            <w:r w:rsidRPr="00F844C0">
              <w:rPr>
                <w:rFonts w:cs="Arial"/>
              </w:rPr>
              <w:t xml:space="preserve">s perceived level of life satisfaction in general and doesn't take into account specific illnesses or problems the person may have. For the purpose of this indicator, people who were at least mostly satisfied with their lives are defined as those who said they were </w:t>
            </w:r>
            <w:r w:rsidR="00E2548C">
              <w:rPr>
                <w:rFonts w:cs="Arial"/>
              </w:rPr>
              <w:t>d</w:t>
            </w:r>
            <w:r w:rsidRPr="00F844C0">
              <w:rPr>
                <w:rFonts w:cs="Arial"/>
              </w:rPr>
              <w:t xml:space="preserve">elighted, </w:t>
            </w:r>
            <w:r w:rsidR="00E2548C">
              <w:rPr>
                <w:rFonts w:cs="Arial"/>
              </w:rPr>
              <w:t>p</w:t>
            </w:r>
            <w:r w:rsidRPr="00F844C0">
              <w:rPr>
                <w:rFonts w:cs="Arial"/>
              </w:rPr>
              <w:t xml:space="preserve">leased or </w:t>
            </w:r>
            <w:r w:rsidR="00E2548C">
              <w:rPr>
                <w:rFonts w:cs="Arial"/>
              </w:rPr>
              <w:t>m</w:t>
            </w:r>
            <w:r w:rsidRPr="00F844C0">
              <w:rPr>
                <w:rFonts w:cs="Arial"/>
              </w:rPr>
              <w:t xml:space="preserve">ostly </w:t>
            </w:r>
            <w:r w:rsidR="00E2548C">
              <w:rPr>
                <w:rFonts w:cs="Arial"/>
              </w:rPr>
              <w:t>s</w:t>
            </w:r>
            <w:r w:rsidR="008A24AB">
              <w:rPr>
                <w:rFonts w:cs="Arial"/>
              </w:rPr>
              <w:t xml:space="preserve">atisfied. </w:t>
            </w:r>
            <w:r w:rsidRPr="00F844C0">
              <w:rPr>
                <w:rFonts w:cs="Arial"/>
              </w:rPr>
              <w:t>Respondents who did not provide a response or who did not know how they felt have been excluded from the denominator. This group accounts for 0.3</w:t>
            </w:r>
            <w:r w:rsidR="00C932C4" w:rsidRPr="00F844C0">
              <w:rPr>
                <w:rFonts w:cs="Arial"/>
              </w:rPr>
              <w:t xml:space="preserve"> per cent</w:t>
            </w:r>
            <w:r w:rsidRPr="00F844C0">
              <w:rPr>
                <w:rFonts w:cs="Arial"/>
              </w:rPr>
              <w:t xml:space="preserve"> of the older people population.</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Timeliness</w:t>
            </w:r>
            <w:r w:rsidRPr="00F844C0">
              <w:rPr>
                <w:rFonts w:cs="Arial"/>
                <w:lang w:val="en-US" w:eastAsia="en-US"/>
              </w:rPr>
              <w:t xml:space="preserve"> </w:t>
            </w:r>
          </w:p>
        </w:tc>
        <w:tc>
          <w:tcPr>
            <w:tcW w:w="7088" w:type="dxa"/>
            <w:tcBorders>
              <w:top w:val="nil"/>
              <w:left w:val="nil"/>
              <w:bottom w:val="nil"/>
              <w:right w:val="nil"/>
            </w:tcBorders>
            <w:shd w:val="clear" w:color="auto" w:fill="auto"/>
          </w:tcPr>
          <w:p w:rsidR="00BD54FE" w:rsidRPr="00F844C0" w:rsidRDefault="00AF275D" w:rsidP="00E2548C">
            <w:pPr>
              <w:pStyle w:val="TableBodyText"/>
              <w:keepNext w:val="0"/>
              <w:keepLines w:val="0"/>
              <w:widowControl w:val="0"/>
              <w:shd w:val="clear" w:color="auto" w:fill="FFFFFF" w:themeFill="background1"/>
              <w:jc w:val="both"/>
              <w:rPr>
                <w:rFonts w:cs="Arial"/>
              </w:rPr>
            </w:pPr>
            <w:r w:rsidRPr="00F844C0">
              <w:rPr>
                <w:rFonts w:cs="Arial"/>
              </w:rPr>
              <w:t xml:space="preserve">The indicator is enumerated by data from the </w:t>
            </w:r>
            <w:r w:rsidR="00E2548C">
              <w:rPr>
                <w:rFonts w:cs="Arial"/>
              </w:rPr>
              <w:t>GSS</w:t>
            </w:r>
            <w:r w:rsidRPr="00F844C0">
              <w:rPr>
                <w:rFonts w:cs="Arial"/>
              </w:rPr>
              <w:t xml:space="preserve">. </w:t>
            </w:r>
            <w:r w:rsidR="00E8758D" w:rsidRPr="00F844C0">
              <w:rPr>
                <w:rFonts w:cs="Arial"/>
              </w:rPr>
              <w:t xml:space="preserve">The most recently available GSS data are from 2010. </w:t>
            </w:r>
            <w:r w:rsidR="0074119D" w:rsidRPr="00F844C0">
              <w:rPr>
                <w:rFonts w:cs="Arial"/>
              </w:rPr>
              <w:t xml:space="preserve">The 2010 GSS is the third in the series, with the first GSS conducted in 2002, and again in 2006. </w:t>
            </w:r>
            <w:r w:rsidR="009A4597" w:rsidRPr="00F844C0">
              <w:rPr>
                <w:rFonts w:cs="Arial"/>
              </w:rPr>
              <w:t xml:space="preserve">The ABS 2010 GSS collected information for the first time about how people aged 18 years and over felt about their life as a whole using a scale of </w:t>
            </w:r>
            <w:r w:rsidR="00E2548C">
              <w:rPr>
                <w:rFonts w:cs="Arial"/>
              </w:rPr>
              <w:t>d</w:t>
            </w:r>
            <w:r w:rsidR="009A4597" w:rsidRPr="00F844C0">
              <w:rPr>
                <w:rFonts w:cs="Arial"/>
              </w:rPr>
              <w:t xml:space="preserve">elighted, </w:t>
            </w:r>
            <w:r w:rsidR="00E2548C">
              <w:rPr>
                <w:rFonts w:cs="Arial"/>
              </w:rPr>
              <w:t>p</w:t>
            </w:r>
            <w:r w:rsidR="009A4597" w:rsidRPr="00F844C0">
              <w:rPr>
                <w:rFonts w:cs="Arial"/>
              </w:rPr>
              <w:t xml:space="preserve">leased, </w:t>
            </w:r>
            <w:r w:rsidR="00E2548C">
              <w:rPr>
                <w:rFonts w:cs="Arial"/>
              </w:rPr>
              <w:t>m</w:t>
            </w:r>
            <w:r w:rsidR="009A4597" w:rsidRPr="00F844C0">
              <w:rPr>
                <w:rFonts w:cs="Arial"/>
              </w:rPr>
              <w:t xml:space="preserve">ostly </w:t>
            </w:r>
            <w:r w:rsidR="00E2548C">
              <w:rPr>
                <w:rFonts w:cs="Arial"/>
              </w:rPr>
              <w:t>s</w:t>
            </w:r>
            <w:r w:rsidR="009A4597" w:rsidRPr="00F844C0">
              <w:rPr>
                <w:rFonts w:cs="Arial"/>
              </w:rPr>
              <w:t xml:space="preserve">atisfied, </w:t>
            </w:r>
            <w:r w:rsidR="00E2548C">
              <w:rPr>
                <w:rFonts w:cs="Arial"/>
              </w:rPr>
              <w:t>m</w:t>
            </w:r>
            <w:r w:rsidR="009A4597" w:rsidRPr="00F844C0">
              <w:rPr>
                <w:rFonts w:cs="Arial"/>
              </w:rPr>
              <w:t xml:space="preserve">ixed, </w:t>
            </w:r>
            <w:r w:rsidR="00E2548C">
              <w:rPr>
                <w:rFonts w:cs="Arial"/>
              </w:rPr>
              <w:t>m</w:t>
            </w:r>
            <w:r w:rsidR="009A4597" w:rsidRPr="00F844C0">
              <w:rPr>
                <w:rFonts w:cs="Arial"/>
              </w:rPr>
              <w:t xml:space="preserve">ostly </w:t>
            </w:r>
            <w:r w:rsidR="00E2548C">
              <w:rPr>
                <w:rFonts w:cs="Arial"/>
              </w:rPr>
              <w:t>d</w:t>
            </w:r>
            <w:r w:rsidR="009A4597" w:rsidRPr="00F844C0">
              <w:rPr>
                <w:rFonts w:cs="Arial"/>
              </w:rPr>
              <w:t xml:space="preserve">issatisfied, </w:t>
            </w:r>
            <w:r w:rsidR="00E2548C">
              <w:rPr>
                <w:rFonts w:cs="Arial"/>
              </w:rPr>
              <w:t>u</w:t>
            </w:r>
            <w:r w:rsidR="009A4597" w:rsidRPr="00F844C0">
              <w:rPr>
                <w:rFonts w:cs="Arial"/>
              </w:rPr>
              <w:t xml:space="preserve">nhappy and </w:t>
            </w:r>
            <w:r w:rsidR="00E2548C">
              <w:rPr>
                <w:rFonts w:cs="Arial"/>
              </w:rPr>
              <w:t>t</w:t>
            </w:r>
            <w:r w:rsidR="009A4597" w:rsidRPr="00F844C0">
              <w:rPr>
                <w:rFonts w:cs="Arial"/>
              </w:rPr>
              <w:t xml:space="preserve">errible. </w:t>
            </w:r>
            <w:r w:rsidR="0074119D" w:rsidRPr="00F844C0">
              <w:rPr>
                <w:rFonts w:cs="Arial"/>
              </w:rPr>
              <w:t xml:space="preserve">It is planned to repeat the survey at regular </w:t>
            </w:r>
            <w:r w:rsidR="0074119D" w:rsidRPr="00F844C0">
              <w:rPr>
                <w:rFonts w:cs="Arial"/>
              </w:rPr>
              <w:lastRenderedPageBreak/>
              <w:t>intervals (currently four</w:t>
            </w:r>
            <w:r w:rsidR="002A0059">
              <w:rPr>
                <w:rFonts w:cs="Arial"/>
              </w:rPr>
              <w:noBreakHyphen/>
            </w:r>
            <w:r w:rsidR="0074119D" w:rsidRPr="00F844C0">
              <w:rPr>
                <w:rFonts w:cs="Arial"/>
              </w:rPr>
              <w:t>yearly). Each cycle of the GSS collects comparable information to allow for analysis of changes over time. A cyclical component is also included to collect additional information on emerging or important topics of social concern. The cyclical component of the 2010 GSS included new topics relating to social inclusion, such as experience of homelessness and financial resilience and exclusion.</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lastRenderedPageBreak/>
              <w:t xml:space="preserve">Accuracy </w:t>
            </w:r>
          </w:p>
        </w:tc>
        <w:tc>
          <w:tcPr>
            <w:tcW w:w="7088" w:type="dxa"/>
            <w:tcBorders>
              <w:top w:val="nil"/>
              <w:left w:val="nil"/>
              <w:bottom w:val="nil"/>
              <w:right w:val="nil"/>
            </w:tcBorders>
            <w:shd w:val="clear" w:color="auto" w:fill="auto"/>
          </w:tcPr>
          <w:p w:rsidR="009A4597" w:rsidRPr="00F844C0" w:rsidRDefault="009A4597" w:rsidP="00CA444C">
            <w:pPr>
              <w:pStyle w:val="TableBodyText"/>
              <w:widowControl w:val="0"/>
              <w:shd w:val="clear" w:color="auto" w:fill="FFFFFF" w:themeFill="background1"/>
              <w:jc w:val="both"/>
              <w:rPr>
                <w:rFonts w:cs="Arial"/>
              </w:rPr>
            </w:pPr>
            <w:r w:rsidRPr="00F844C0">
              <w:rPr>
                <w:rFonts w:cs="Arial"/>
              </w:rPr>
              <w:t xml:space="preserve">Sample and </w:t>
            </w:r>
            <w:r w:rsidR="00E2548C">
              <w:rPr>
                <w:rFonts w:cs="Arial"/>
              </w:rPr>
              <w:t>r</w:t>
            </w:r>
            <w:r w:rsidRPr="00F844C0">
              <w:rPr>
                <w:rFonts w:cs="Arial"/>
              </w:rPr>
              <w:t xml:space="preserve">esponse </w:t>
            </w:r>
            <w:r w:rsidR="00E2548C">
              <w:rPr>
                <w:rFonts w:cs="Arial"/>
              </w:rPr>
              <w:t>r</w:t>
            </w:r>
            <w:r w:rsidRPr="00F844C0">
              <w:rPr>
                <w:rFonts w:cs="Arial"/>
              </w:rPr>
              <w:t>ate: The GSS was designed to provide reliable estimates at t</w:t>
            </w:r>
            <w:r w:rsidR="00C932C4" w:rsidRPr="00F844C0">
              <w:rPr>
                <w:rFonts w:cs="Arial"/>
              </w:rPr>
              <w:t xml:space="preserve">he national level and for each </w:t>
            </w:r>
            <w:r w:rsidR="00E2548C">
              <w:rPr>
                <w:rFonts w:cs="Arial"/>
              </w:rPr>
              <w:t>S</w:t>
            </w:r>
            <w:r w:rsidRPr="00F844C0">
              <w:rPr>
                <w:rFonts w:cs="Arial"/>
              </w:rPr>
              <w:t xml:space="preserve">tate and </w:t>
            </w:r>
            <w:r w:rsidR="00E2548C">
              <w:rPr>
                <w:rFonts w:cs="Arial"/>
              </w:rPr>
              <w:t>T</w:t>
            </w:r>
            <w:r w:rsidRPr="00F844C0">
              <w:rPr>
                <w:rFonts w:cs="Arial"/>
              </w:rPr>
              <w:t>erritory. For the 2010 cycle, the standard sampling methodology was adapted in order to provide better estimates of people experiencing disadvantage. The initial sample for the surve</w:t>
            </w:r>
            <w:r w:rsidR="00E2548C">
              <w:rPr>
                <w:rFonts w:cs="Arial"/>
              </w:rPr>
              <w:t>y consisted of approximately 19 </w:t>
            </w:r>
            <w:r w:rsidRPr="00F844C0">
              <w:rPr>
                <w:rFonts w:cs="Arial"/>
              </w:rPr>
              <w:t xml:space="preserve">576 private dwellings. This number </w:t>
            </w:r>
            <w:r w:rsidR="00E2548C">
              <w:rPr>
                <w:rFonts w:cs="Arial"/>
              </w:rPr>
              <w:t>was reduced to approximately 17 </w:t>
            </w:r>
            <w:r w:rsidRPr="00F844C0">
              <w:rPr>
                <w:rFonts w:cs="Arial"/>
              </w:rPr>
              <w:t>158 dwellings due to the loss of households which had no residents in scope for the survey and where dwellings proved to be vacant, under construction or derelict. Of the eligible dwellings, 87.6</w:t>
            </w:r>
            <w:r w:rsidR="00C932C4" w:rsidRPr="00F844C0">
              <w:rPr>
                <w:rFonts w:cs="Arial"/>
              </w:rPr>
              <w:t xml:space="preserve"> per cent</w:t>
            </w:r>
            <w:r w:rsidRPr="00F844C0">
              <w:rPr>
                <w:rFonts w:cs="Arial"/>
              </w:rPr>
              <w:t xml:space="preserve"> responded fully (or adequately) which yielded a total sample from the survey of 15</w:t>
            </w:r>
            <w:r w:rsidR="00C932C4" w:rsidRPr="00F844C0">
              <w:rPr>
                <w:rFonts w:cs="Arial"/>
              </w:rPr>
              <w:t> </w:t>
            </w:r>
            <w:r w:rsidRPr="00F844C0">
              <w:rPr>
                <w:rFonts w:cs="Arial"/>
              </w:rPr>
              <w:t xml:space="preserve">028 dwellings. </w:t>
            </w:r>
          </w:p>
          <w:p w:rsidR="009A4597" w:rsidRPr="00F844C0" w:rsidRDefault="009A4597" w:rsidP="00CA444C">
            <w:pPr>
              <w:pStyle w:val="TableBodyText"/>
              <w:widowControl w:val="0"/>
              <w:shd w:val="clear" w:color="auto" w:fill="FFFFFF" w:themeFill="background1"/>
              <w:jc w:val="both"/>
              <w:rPr>
                <w:rFonts w:cs="Arial"/>
              </w:rPr>
            </w:pPr>
            <w:r w:rsidRPr="00F844C0">
              <w:rPr>
                <w:rFonts w:cs="Arial"/>
              </w:rPr>
              <w:t xml:space="preserve">Scope and coverage: Information on the scope and coverage for GSS is available in </w:t>
            </w:r>
            <w:r w:rsidRPr="00E2548C">
              <w:rPr>
                <w:rFonts w:cs="Arial"/>
                <w:i/>
              </w:rPr>
              <w:t>General Social Survey: User Guide, Australia, 2010</w:t>
            </w:r>
            <w:r w:rsidR="00E2548C">
              <w:rPr>
                <w:rFonts w:cs="Arial"/>
              </w:rPr>
              <w:t xml:space="preserve"> (cat. no. 4159.0.55.002). </w:t>
            </w:r>
            <w:r w:rsidRPr="00F844C0">
              <w:rPr>
                <w:rFonts w:cs="Arial"/>
              </w:rPr>
              <w:t xml:space="preserve">Only people who were usual residents of private dwellings in Australia were covered by the </w:t>
            </w:r>
            <w:r w:rsidR="00E2548C">
              <w:rPr>
                <w:rFonts w:cs="Arial"/>
              </w:rPr>
              <w:t>GSS</w:t>
            </w:r>
            <w:r w:rsidRPr="00F844C0">
              <w:rPr>
                <w:rFonts w:cs="Arial"/>
              </w:rPr>
              <w:t>.</w:t>
            </w:r>
            <w:r w:rsidR="00E2548C">
              <w:rPr>
                <w:rFonts w:cs="Arial"/>
              </w:rPr>
              <w:t xml:space="preserve"> </w:t>
            </w:r>
            <w:r w:rsidRPr="00F844C0">
              <w:rPr>
                <w:rFonts w:cs="Arial"/>
              </w:rPr>
              <w:t>The GSS was conducted in both urban and rural areas in all states and territories, except for very remote parts of Australia. This exclusion is unlikely to impact on national estimates, and will only have a minor impact on any aggregate estimates that are produced for individual states and territories, except the N</w:t>
            </w:r>
            <w:r w:rsidR="00E2548C">
              <w:rPr>
                <w:rFonts w:cs="Arial"/>
              </w:rPr>
              <w:t>T</w:t>
            </w:r>
            <w:r w:rsidRPr="00F844C0">
              <w:rPr>
                <w:rFonts w:cs="Arial"/>
              </w:rPr>
              <w:t xml:space="preserve"> where the excluded </w:t>
            </w:r>
            <w:r w:rsidR="00C932C4" w:rsidRPr="00F844C0">
              <w:rPr>
                <w:rFonts w:cs="Arial"/>
              </w:rPr>
              <w:t>population accounts for over 20 per cent</w:t>
            </w:r>
            <w:r w:rsidRPr="00F844C0">
              <w:rPr>
                <w:rFonts w:cs="Arial"/>
              </w:rPr>
              <w:t xml:space="preserve"> of pe</w:t>
            </w:r>
            <w:r w:rsidR="00E2548C">
              <w:rPr>
                <w:rFonts w:cs="Arial"/>
              </w:rPr>
              <w:t>ople</w:t>
            </w:r>
            <w:r w:rsidRPr="00F844C0">
              <w:rPr>
                <w:rFonts w:cs="Arial"/>
              </w:rPr>
              <w:t xml:space="preserve">. </w:t>
            </w:r>
          </w:p>
          <w:p w:rsidR="00E8758D" w:rsidRPr="00F844C0" w:rsidRDefault="009A4597" w:rsidP="00E2548C">
            <w:pPr>
              <w:pStyle w:val="TableBodyText"/>
              <w:widowControl w:val="0"/>
              <w:shd w:val="clear" w:color="auto" w:fill="FFFFFF" w:themeFill="background1"/>
              <w:jc w:val="both"/>
              <w:rPr>
                <w:rFonts w:cs="Arial"/>
              </w:rPr>
            </w:pPr>
            <w:r w:rsidRPr="00F844C0">
              <w:rPr>
                <w:rFonts w:cs="Arial"/>
              </w:rPr>
              <w:t xml:space="preserve">Reliability of </w:t>
            </w:r>
            <w:r w:rsidR="00E2548C">
              <w:rPr>
                <w:rFonts w:cs="Arial"/>
              </w:rPr>
              <w:t>e</w:t>
            </w:r>
            <w:r w:rsidRPr="00F844C0">
              <w:rPr>
                <w:rFonts w:cs="Arial"/>
              </w:rPr>
              <w:t>stimates: All sample surveys are subject to sampling and non</w:t>
            </w:r>
            <w:r w:rsidRPr="00F844C0">
              <w:rPr>
                <w:rFonts w:cs="Arial"/>
              </w:rPr>
              <w:noBreakHyphen/>
              <w:t xml:space="preserve">sampling error. For more information relating to the </w:t>
            </w:r>
            <w:r w:rsidR="00C932C4" w:rsidRPr="00F844C0">
              <w:rPr>
                <w:rFonts w:cs="Arial"/>
              </w:rPr>
              <w:t>GSS</w:t>
            </w:r>
            <w:r w:rsidRPr="00F844C0">
              <w:rPr>
                <w:rFonts w:cs="Arial"/>
              </w:rPr>
              <w:t xml:space="preserve">, refer to the publication </w:t>
            </w:r>
            <w:r w:rsidRPr="00E2548C">
              <w:rPr>
                <w:rFonts w:cs="Arial"/>
                <w:i/>
              </w:rPr>
              <w:t>General Social Survey: Summary Results, Australia, 2010</w:t>
            </w:r>
            <w:r w:rsidRPr="00F844C0">
              <w:rPr>
                <w:rFonts w:cs="Arial"/>
              </w:rPr>
              <w:t>. The R</w:t>
            </w:r>
            <w:r w:rsidR="00E2548C">
              <w:rPr>
                <w:rFonts w:cs="Arial"/>
              </w:rPr>
              <w:t>eport</w:t>
            </w:r>
            <w:r w:rsidRPr="00F844C0">
              <w:rPr>
                <w:rFonts w:cs="Arial"/>
              </w:rPr>
              <w:t xml:space="preserve"> includes information on the </w:t>
            </w:r>
            <w:r w:rsidR="00E2548C">
              <w:rPr>
                <w:rFonts w:cs="Arial"/>
              </w:rPr>
              <w:t>r</w:t>
            </w:r>
            <w:r w:rsidRPr="00F844C0">
              <w:rPr>
                <w:rFonts w:cs="Arial"/>
              </w:rPr>
              <w:t xml:space="preserve">elative </w:t>
            </w:r>
            <w:r w:rsidR="00E2548C">
              <w:rPr>
                <w:rFonts w:cs="Arial"/>
              </w:rPr>
              <w:t>s</w:t>
            </w:r>
            <w:r w:rsidRPr="00F844C0">
              <w:rPr>
                <w:rFonts w:cs="Arial"/>
              </w:rPr>
              <w:t xml:space="preserve">tandard </w:t>
            </w:r>
            <w:r w:rsidR="00E2548C">
              <w:rPr>
                <w:rFonts w:cs="Arial"/>
              </w:rPr>
              <w:t>e</w:t>
            </w:r>
            <w:r w:rsidRPr="00F844C0">
              <w:rPr>
                <w:rFonts w:cs="Arial"/>
              </w:rPr>
              <w:t>rrors (RSEs) of estimates published from the GSS. RSEs indicate the reliability of an estimate. RSEs show the size of the error relative to the estimate. The higher the RSE, the less confidence there is that the estimate from the sample is close to the true value of the population mean. Where an estimate or proportion has a RSE between 25 per cent and 50 per cent, the estimate or proportion is annotated to indicate that it is subject to a high RSE and should be used with caution. Where an estimate o</w:t>
            </w:r>
            <w:r w:rsidR="00E2548C">
              <w:rPr>
                <w:rFonts w:cs="Arial"/>
              </w:rPr>
              <w:t>r proportion has a RSE above 50 </w:t>
            </w:r>
            <w:r w:rsidRPr="00F844C0">
              <w:rPr>
                <w:rFonts w:cs="Arial"/>
              </w:rPr>
              <w:t>per cent, the estimate or proportion is annotated to indicate that it is not reliable for general use, and the RSE is not published.</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Coherence </w:t>
            </w:r>
          </w:p>
        </w:tc>
        <w:tc>
          <w:tcPr>
            <w:tcW w:w="7088" w:type="dxa"/>
            <w:tcBorders>
              <w:top w:val="nil"/>
              <w:left w:val="nil"/>
              <w:bottom w:val="nil"/>
              <w:right w:val="nil"/>
            </w:tcBorders>
            <w:shd w:val="clear" w:color="auto" w:fill="auto"/>
          </w:tcPr>
          <w:p w:rsidR="00BD54FE" w:rsidRPr="008B4FA4" w:rsidRDefault="007846A9" w:rsidP="00CA444C">
            <w:pPr>
              <w:pStyle w:val="TableBodyText"/>
              <w:shd w:val="clear" w:color="auto" w:fill="FFFFFF" w:themeFill="background1"/>
              <w:jc w:val="left"/>
            </w:pPr>
            <w:r w:rsidRPr="008B4FA4">
              <w:t>The numerator and denominator are sourced from the same collection</w:t>
            </w:r>
            <w:r w:rsidR="00A11B27" w:rsidRPr="008B4FA4">
              <w:t>, with the numerator being a subset of the denominator population</w:t>
            </w:r>
            <w:r w:rsidRPr="008B4FA4">
              <w:t>.</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Accessibility </w:t>
            </w:r>
          </w:p>
        </w:tc>
        <w:tc>
          <w:tcPr>
            <w:tcW w:w="7088" w:type="dxa"/>
            <w:tcBorders>
              <w:top w:val="nil"/>
              <w:left w:val="nil"/>
              <w:bottom w:val="nil"/>
              <w:right w:val="nil"/>
            </w:tcBorders>
            <w:shd w:val="clear" w:color="auto" w:fill="auto"/>
          </w:tcPr>
          <w:p w:rsidR="009A4597" w:rsidRPr="00F844C0" w:rsidRDefault="0074119D" w:rsidP="008A24AB">
            <w:pPr>
              <w:pStyle w:val="TableBodyText"/>
              <w:keepNext w:val="0"/>
              <w:keepLines w:val="0"/>
              <w:widowControl w:val="0"/>
              <w:shd w:val="clear" w:color="auto" w:fill="FFFFFF" w:themeFill="background1"/>
              <w:jc w:val="both"/>
              <w:rPr>
                <w:rFonts w:cs="Arial"/>
              </w:rPr>
            </w:pPr>
            <w:r w:rsidRPr="00F844C0">
              <w:rPr>
                <w:rFonts w:cs="Arial"/>
              </w:rPr>
              <w:t xml:space="preserve">A range of data drawn from the </w:t>
            </w:r>
            <w:r w:rsidR="00C932C4" w:rsidRPr="00F844C0">
              <w:rPr>
                <w:rFonts w:cs="Arial"/>
              </w:rPr>
              <w:t>GSS</w:t>
            </w:r>
            <w:r w:rsidRPr="00F844C0">
              <w:rPr>
                <w:rFonts w:cs="Arial"/>
              </w:rPr>
              <w:t xml:space="preserve"> are available on the ABS website</w:t>
            </w:r>
            <w:r w:rsidR="00AF275D" w:rsidRPr="00F844C0">
              <w:rPr>
                <w:rFonts w:cs="Arial"/>
              </w:rPr>
              <w:t>. Additional data can be accessed from the ABS. Costs are associated with additional data and vary de</w:t>
            </w:r>
            <w:r w:rsidR="008A24AB">
              <w:rPr>
                <w:rFonts w:cs="Arial"/>
              </w:rPr>
              <w:t xml:space="preserve">pending on the type of request. </w:t>
            </w:r>
            <w:r w:rsidR="009A4597" w:rsidRPr="00F844C0">
              <w:rPr>
                <w:rFonts w:cs="Arial"/>
                <w:szCs w:val="18"/>
              </w:rPr>
              <w:t xml:space="preserve">See </w:t>
            </w:r>
            <w:r w:rsidR="009A4597" w:rsidRPr="008A24AB">
              <w:rPr>
                <w:rFonts w:cs="Arial"/>
                <w:i/>
                <w:szCs w:val="18"/>
              </w:rPr>
              <w:t>General Social Survey: Summary Results, Australia, 2010</w:t>
            </w:r>
            <w:r w:rsidR="009A4597" w:rsidRPr="00F844C0">
              <w:rPr>
                <w:rFonts w:cs="Arial"/>
                <w:color w:val="4200FF"/>
                <w:szCs w:val="18"/>
              </w:rPr>
              <w:t xml:space="preserve"> </w:t>
            </w:r>
            <w:r w:rsidR="009A4597" w:rsidRPr="00F844C0">
              <w:rPr>
                <w:rFonts w:cs="Arial"/>
                <w:szCs w:val="18"/>
              </w:rPr>
              <w:t>for an overview of results from the GSS. Results from the 2010</w:t>
            </w:r>
            <w:r w:rsidR="009A4597" w:rsidRPr="00F844C0">
              <w:rPr>
                <w:rFonts w:cs="Arial"/>
              </w:rPr>
              <w:t xml:space="preserve"> GSS is also available in the form of: </w:t>
            </w:r>
          </w:p>
          <w:p w:rsidR="009A4597" w:rsidRPr="00F844C0" w:rsidRDefault="009A4597" w:rsidP="00CA444C">
            <w:pPr>
              <w:pStyle w:val="TableBullet"/>
              <w:shd w:val="clear" w:color="auto" w:fill="FFFFFF" w:themeFill="background1"/>
            </w:pPr>
            <w:r w:rsidRPr="00F844C0">
              <w:t>a sub</w:t>
            </w:r>
            <w:r w:rsidR="002A0059">
              <w:noBreakHyphen/>
            </w:r>
            <w:r w:rsidRPr="00F844C0">
              <w:t xml:space="preserve">set of tables in a spreadsheet format for each </w:t>
            </w:r>
            <w:r w:rsidR="008A24AB">
              <w:t>S</w:t>
            </w:r>
            <w:r w:rsidRPr="00F844C0">
              <w:t xml:space="preserve">tate and </w:t>
            </w:r>
            <w:r w:rsidR="008A24AB">
              <w:t>T</w:t>
            </w:r>
            <w:r w:rsidRPr="00F844C0">
              <w:t>erritory (subject to standard error and confidentiality constraints and excluding time series tables)</w:t>
            </w:r>
          </w:p>
          <w:p w:rsidR="009A4597" w:rsidRPr="00F844C0" w:rsidRDefault="009A4597" w:rsidP="00CA444C">
            <w:pPr>
              <w:pStyle w:val="TableBullet"/>
              <w:shd w:val="clear" w:color="auto" w:fill="FFFFFF" w:themeFill="background1"/>
            </w:pPr>
            <w:r w:rsidRPr="00F844C0">
              <w:t>a number of supplementary themed publications</w:t>
            </w:r>
          </w:p>
          <w:p w:rsidR="009A4597" w:rsidRPr="00F844C0" w:rsidRDefault="009A4597" w:rsidP="00CA444C">
            <w:pPr>
              <w:pStyle w:val="TableBullet"/>
              <w:shd w:val="clear" w:color="auto" w:fill="FFFFFF" w:themeFill="background1"/>
            </w:pPr>
            <w:r w:rsidRPr="00F844C0">
              <w:t>a Confidentialised Unit Reco</w:t>
            </w:r>
            <w:r w:rsidR="008B4FA4">
              <w:t>rd File (CURF).</w:t>
            </w:r>
          </w:p>
          <w:p w:rsidR="009A4597" w:rsidRPr="00F844C0" w:rsidRDefault="009A4597" w:rsidP="00CA444C">
            <w:pPr>
              <w:pStyle w:val="TableBodyText"/>
              <w:keepNext w:val="0"/>
              <w:keepLines w:val="0"/>
              <w:widowControl w:val="0"/>
              <w:shd w:val="clear" w:color="auto" w:fill="FFFFFF" w:themeFill="background1"/>
              <w:jc w:val="both"/>
              <w:rPr>
                <w:rFonts w:cs="Arial"/>
              </w:rPr>
            </w:pPr>
            <w:r w:rsidRPr="00F844C0">
              <w:rPr>
                <w:rFonts w:cs="Arial"/>
              </w:rPr>
              <w:t>Other information from the survey is available on request, subject to confidentiality and sampling variability constraints.</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Interpretability </w:t>
            </w:r>
          </w:p>
        </w:tc>
        <w:tc>
          <w:tcPr>
            <w:tcW w:w="7088" w:type="dxa"/>
            <w:tcBorders>
              <w:top w:val="nil"/>
              <w:left w:val="nil"/>
              <w:bottom w:val="nil"/>
              <w:right w:val="nil"/>
            </w:tcBorders>
            <w:shd w:val="clear" w:color="auto" w:fill="auto"/>
          </w:tcPr>
          <w:p w:rsidR="00A04DA1" w:rsidRPr="00F844C0" w:rsidRDefault="00BD54FE" w:rsidP="00CA444C">
            <w:pPr>
              <w:pStyle w:val="TableBodyText"/>
              <w:keepNext w:val="0"/>
              <w:keepLines w:val="0"/>
              <w:widowControl w:val="0"/>
              <w:shd w:val="clear" w:color="auto" w:fill="FFFFFF" w:themeFill="background1"/>
              <w:jc w:val="both"/>
              <w:rPr>
                <w:rStyle w:val="Hyperlink"/>
                <w:rFonts w:cs="Arial"/>
              </w:rPr>
            </w:pPr>
            <w:r w:rsidRPr="00F844C0">
              <w:rPr>
                <w:rFonts w:cs="Arial"/>
              </w:rPr>
              <w:t xml:space="preserve">Further technical details are available </w:t>
            </w:r>
            <w:r w:rsidR="00AF275D" w:rsidRPr="00F844C0">
              <w:rPr>
                <w:rFonts w:cs="Arial"/>
              </w:rPr>
              <w:t xml:space="preserve">on the ABS website: </w:t>
            </w:r>
            <w:r w:rsidR="00E2548C" w:rsidRPr="00B12091">
              <w:rPr>
                <w:rFonts w:cs="Arial"/>
              </w:rPr>
              <w:t>www.abs.gov.au/AUSSTATS/abs@.nsf/Lookup/4159.0Explanatory%20Notes12010?OpenDocument</w:t>
            </w:r>
            <w:r w:rsidR="00A04DA1" w:rsidRPr="00F844C0">
              <w:rPr>
                <w:rStyle w:val="Hyperlink"/>
                <w:rFonts w:cs="Arial"/>
              </w:rPr>
              <w:t xml:space="preserve">. </w:t>
            </w:r>
          </w:p>
          <w:p w:rsidR="00BD54FE" w:rsidRPr="00F844C0" w:rsidRDefault="00A04DA1" w:rsidP="008A24AB">
            <w:pPr>
              <w:pStyle w:val="TableBodyText"/>
              <w:shd w:val="clear" w:color="auto" w:fill="FFFFFF" w:themeFill="background1"/>
              <w:jc w:val="both"/>
            </w:pPr>
            <w:r w:rsidRPr="00F844C0">
              <w:t xml:space="preserve">Information is available to aid interpretation of GSS data in the </w:t>
            </w:r>
            <w:r w:rsidRPr="00F844C0">
              <w:rPr>
                <w:szCs w:val="18"/>
              </w:rPr>
              <w:t xml:space="preserve">publication, </w:t>
            </w:r>
            <w:r w:rsidRPr="008A24AB">
              <w:rPr>
                <w:rFonts w:cs="Arial"/>
                <w:i/>
                <w:szCs w:val="18"/>
              </w:rPr>
              <w:t>General Social Survey: User Guide, Australia, 2010</w:t>
            </w:r>
            <w:r w:rsidRPr="00F844C0">
              <w:rPr>
                <w:szCs w:val="18"/>
              </w:rPr>
              <w:t xml:space="preserve"> on the ABS website. Detailed </w:t>
            </w:r>
            <w:r w:rsidR="008A24AB">
              <w:rPr>
                <w:szCs w:val="18"/>
              </w:rPr>
              <w:t>e</w:t>
            </w:r>
            <w:r w:rsidRPr="00F844C0">
              <w:rPr>
                <w:szCs w:val="18"/>
              </w:rPr>
              <w:t xml:space="preserve">xplanatory </w:t>
            </w:r>
            <w:r w:rsidR="008A24AB">
              <w:rPr>
                <w:szCs w:val="18"/>
              </w:rPr>
              <w:t>n</w:t>
            </w:r>
            <w:r w:rsidRPr="00F844C0">
              <w:rPr>
                <w:szCs w:val="18"/>
              </w:rPr>
              <w:t xml:space="preserve">otes and a </w:t>
            </w:r>
            <w:r w:rsidR="008A24AB">
              <w:rPr>
                <w:szCs w:val="18"/>
              </w:rPr>
              <w:t xml:space="preserve">glossary are also included in </w:t>
            </w:r>
            <w:r w:rsidRPr="008A24AB">
              <w:rPr>
                <w:rFonts w:cs="Arial"/>
                <w:i/>
                <w:szCs w:val="18"/>
              </w:rPr>
              <w:t>General Social Survey: Summary Results, Australia, 2010</w:t>
            </w:r>
            <w:r w:rsidR="008A24AB" w:rsidRPr="008A24AB">
              <w:rPr>
                <w:color w:val="0000FF"/>
                <w:szCs w:val="18"/>
              </w:rPr>
              <w:t xml:space="preserve"> </w:t>
            </w:r>
            <w:r w:rsidRPr="00F844C0">
              <w:rPr>
                <w:szCs w:val="18"/>
              </w:rPr>
              <w:t>to provide information on the</w:t>
            </w:r>
            <w:r w:rsidRPr="00F844C0">
              <w:t xml:space="preserve"> terminology, classifications and other technical aspects associated with these statistics.</w:t>
            </w:r>
            <w:r w:rsidR="0074119D" w:rsidRPr="00F844C0">
              <w:t xml:space="preserve"> </w:t>
            </w:r>
          </w:p>
        </w:tc>
      </w:tr>
      <w:tr w:rsidR="00BD54FE" w:rsidRPr="00F844C0" w:rsidTr="00BD4765">
        <w:tc>
          <w:tcPr>
            <w:tcW w:w="8789" w:type="dxa"/>
            <w:gridSpan w:val="2"/>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jc w:val="both"/>
              <w:rPr>
                <w:b/>
              </w:rPr>
            </w:pPr>
            <w:r w:rsidRPr="00F844C0">
              <w:rPr>
                <w:b/>
                <w:u w:val="single"/>
              </w:rPr>
              <w:t>Data Gaps/Issues Analysis</w:t>
            </w:r>
          </w:p>
        </w:tc>
      </w:tr>
      <w:tr w:rsidR="00BD54FE" w:rsidRPr="00F844C0" w:rsidTr="00416BA2">
        <w:tc>
          <w:tcPr>
            <w:tcW w:w="1701"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spacing w:before="120"/>
              <w:ind w:left="0"/>
              <w:jc w:val="left"/>
              <w:rPr>
                <w:rFonts w:cs="Arial"/>
                <w:b/>
                <w:szCs w:val="22"/>
              </w:rPr>
            </w:pPr>
            <w:r w:rsidRPr="00F844C0">
              <w:rPr>
                <w:rFonts w:cs="Arial"/>
                <w:b/>
                <w:szCs w:val="22"/>
              </w:rPr>
              <w:t>Key data gaps/issues</w:t>
            </w:r>
          </w:p>
        </w:tc>
        <w:tc>
          <w:tcPr>
            <w:tcW w:w="7088" w:type="dxa"/>
            <w:tcBorders>
              <w:top w:val="nil"/>
              <w:left w:val="nil"/>
              <w:bottom w:val="nil"/>
              <w:right w:val="nil"/>
            </w:tcBorders>
            <w:shd w:val="clear" w:color="auto" w:fill="auto"/>
          </w:tcPr>
          <w:p w:rsidR="00BD54FE" w:rsidRPr="00F844C0" w:rsidRDefault="00BD54FE" w:rsidP="00CA444C">
            <w:pPr>
              <w:pStyle w:val="TableBodyText"/>
              <w:keepNext w:val="0"/>
              <w:keepLines w:val="0"/>
              <w:widowControl w:val="0"/>
              <w:shd w:val="clear" w:color="auto" w:fill="FFFFFF" w:themeFill="background1"/>
              <w:spacing w:after="60"/>
              <w:jc w:val="both"/>
              <w:rPr>
                <w:rFonts w:cs="Arial"/>
              </w:rPr>
            </w:pPr>
            <w:r w:rsidRPr="00F844C0">
              <w:rPr>
                <w:rFonts w:cs="Arial"/>
              </w:rPr>
              <w:t>The Steering Committee notes the following issues:</w:t>
            </w:r>
          </w:p>
          <w:p w:rsidR="00BD54FE" w:rsidRPr="00F844C0" w:rsidRDefault="00932ECA" w:rsidP="00CA444C">
            <w:pPr>
              <w:pStyle w:val="TableBullet"/>
              <w:shd w:val="clear" w:color="auto" w:fill="FFFFFF" w:themeFill="background1"/>
            </w:pPr>
            <w:r w:rsidRPr="00F844C0">
              <w:t>data reported for this indicator are considered comparable (subject to caveats</w:t>
            </w:r>
            <w:r w:rsidR="00C932C4" w:rsidRPr="00F844C0">
              <w:t>) across jurisdictions for 2010</w:t>
            </w:r>
          </w:p>
          <w:p w:rsidR="00932ECA" w:rsidRPr="00F844C0" w:rsidRDefault="00932ECA" w:rsidP="008A24AB">
            <w:pPr>
              <w:pStyle w:val="TableBullet"/>
              <w:shd w:val="clear" w:color="auto" w:fill="FFFFFF" w:themeFill="background1"/>
            </w:pPr>
            <w:r w:rsidRPr="00F844C0">
              <w:t xml:space="preserve">GSS 2014 (currently in enumeration) asks respondents to rate their overall life </w:t>
            </w:r>
            <w:r w:rsidRPr="00F844C0">
              <w:lastRenderedPageBreak/>
              <w:t>satisfaction on a scale from 0</w:t>
            </w:r>
            <w:r w:rsidR="008A24AB">
              <w:t>–</w:t>
            </w:r>
            <w:r w:rsidRPr="00F844C0">
              <w:t>10 which will affect comparability with 2010 data.</w:t>
            </w:r>
          </w:p>
        </w:tc>
      </w:tr>
      <w:bookmarkEnd w:id="18"/>
      <w:bookmarkEnd w:id="19"/>
      <w:bookmarkEnd w:id="21"/>
    </w:tbl>
    <w:p w:rsidR="00F844C0" w:rsidRPr="00F844C0" w:rsidRDefault="00F844C0" w:rsidP="00CA444C">
      <w:pPr>
        <w:pStyle w:val="BodyText"/>
        <w:shd w:val="clear" w:color="auto" w:fill="FFFFFF" w:themeFill="background1"/>
        <w:rPr>
          <w:rFonts w:ascii="Arial" w:hAnsi="Arial"/>
          <w:sz w:val="26"/>
        </w:rPr>
      </w:pPr>
      <w:r w:rsidRPr="00F844C0">
        <w:lastRenderedPageBreak/>
        <w:br w:type="page"/>
      </w:r>
    </w:p>
    <w:p w:rsidR="00A420D4" w:rsidRPr="00F844C0" w:rsidRDefault="00370A5F" w:rsidP="00CA444C">
      <w:pPr>
        <w:pStyle w:val="Heading2nosectionno"/>
        <w:shd w:val="clear" w:color="auto" w:fill="FFFFFF" w:themeFill="background1"/>
        <w:rPr>
          <w:szCs w:val="24"/>
        </w:rPr>
      </w:pPr>
      <w:bookmarkStart w:id="22" w:name="_Toc404867666"/>
      <w:r w:rsidRPr="00F844C0">
        <w:rPr>
          <w:szCs w:val="24"/>
        </w:rPr>
        <w:lastRenderedPageBreak/>
        <w:t>Independence of older people</w:t>
      </w:r>
      <w:bookmarkEnd w:id="22"/>
    </w:p>
    <w:p w:rsidR="00A420D4" w:rsidRPr="00F844C0" w:rsidRDefault="00A420D4"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FE77C0">
        <w:rPr>
          <w:rFonts w:ascii="Arial" w:hAnsi="Arial" w:cs="Arial"/>
          <w:sz w:val="22"/>
          <w:szCs w:val="22"/>
        </w:rPr>
        <w:t>the Report’s</w:t>
      </w:r>
      <w:r w:rsidR="00FE77C0" w:rsidRPr="00F844C0">
        <w:rPr>
          <w:rFonts w:ascii="Arial" w:hAnsi="Arial" w:cs="Arial"/>
          <w:sz w:val="22"/>
          <w:szCs w:val="22"/>
        </w:rPr>
        <w:t xml:space="preserve"> </w:t>
      </w:r>
      <w:r w:rsidRPr="00F844C0">
        <w:rPr>
          <w:rFonts w:ascii="Arial" w:hAnsi="Arial" w:cs="Arial"/>
          <w:sz w:val="22"/>
          <w:szCs w:val="22"/>
        </w:rPr>
        <w:t xml:space="preserve">community service working groups. </w:t>
      </w:r>
    </w:p>
    <w:tbl>
      <w:tblPr>
        <w:tblW w:w="5000" w:type="pct"/>
        <w:tblLayout w:type="fixed"/>
        <w:tblCellMar>
          <w:left w:w="0" w:type="dxa"/>
          <w:right w:w="0" w:type="dxa"/>
        </w:tblCellMar>
        <w:tblLook w:val="0000" w:firstRow="0" w:lastRow="0" w:firstColumn="0" w:lastColumn="0" w:noHBand="0" w:noVBand="0"/>
      </w:tblPr>
      <w:tblGrid>
        <w:gridCol w:w="1749"/>
        <w:gridCol w:w="47"/>
        <w:gridCol w:w="46"/>
        <w:gridCol w:w="6947"/>
      </w:tblGrid>
      <w:tr w:rsidR="00A420D4" w:rsidRPr="00F844C0" w:rsidTr="00BD4765">
        <w:tc>
          <w:tcPr>
            <w:tcW w:w="5000" w:type="pct"/>
            <w:gridSpan w:val="4"/>
          </w:tcPr>
          <w:p w:rsidR="00A420D4" w:rsidRPr="00F844C0" w:rsidRDefault="00A420D4" w:rsidP="00CA444C">
            <w:pPr>
              <w:pStyle w:val="TableBodyText"/>
              <w:keepNext w:val="0"/>
              <w:keepLines w:val="0"/>
              <w:widowControl w:val="0"/>
              <w:shd w:val="clear" w:color="auto" w:fill="FFFFFF" w:themeFill="background1"/>
              <w:jc w:val="both"/>
              <w:rPr>
                <w:b/>
                <w:u w:val="single"/>
              </w:rPr>
            </w:pPr>
          </w:p>
          <w:p w:rsidR="00A420D4" w:rsidRPr="00F844C0" w:rsidRDefault="00A420D4" w:rsidP="00CA444C">
            <w:pPr>
              <w:pStyle w:val="TableBodyText"/>
              <w:keepNext w:val="0"/>
              <w:keepLines w:val="0"/>
              <w:widowControl w:val="0"/>
              <w:shd w:val="clear" w:color="auto" w:fill="FFFFFF" w:themeFill="background1"/>
              <w:jc w:val="both"/>
            </w:pPr>
            <w:r w:rsidRPr="00F844C0">
              <w:rPr>
                <w:b/>
                <w:u w:val="single"/>
              </w:rPr>
              <w:t>Indicator definition and description</w:t>
            </w:r>
            <w:r w:rsidRPr="00F844C0">
              <w:rPr>
                <w:rFonts w:cs="Arial"/>
                <w:b/>
                <w:sz w:val="22"/>
                <w:szCs w:val="22"/>
                <w:u w:val="single"/>
              </w:rPr>
              <w:t xml:space="preserve"> </w:t>
            </w:r>
          </w:p>
        </w:tc>
      </w:tr>
      <w:tr w:rsidR="00A420D4" w:rsidRPr="00F844C0" w:rsidTr="00BD4765">
        <w:tblPrEx>
          <w:tblCellMar>
            <w:left w:w="108" w:type="dxa"/>
            <w:right w:w="108" w:type="dxa"/>
          </w:tblCellMar>
          <w:tblLook w:val="01E0" w:firstRow="1" w:lastRow="1" w:firstColumn="1" w:lastColumn="1" w:noHBand="0" w:noVBand="0"/>
        </w:tblPrEx>
        <w:tc>
          <w:tcPr>
            <w:tcW w:w="995"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Element</w:t>
            </w:r>
          </w:p>
        </w:tc>
        <w:tc>
          <w:tcPr>
            <w:tcW w:w="4005" w:type="pct"/>
            <w:gridSpan w:val="3"/>
            <w:tcBorders>
              <w:top w:val="nil"/>
              <w:left w:val="nil"/>
              <w:bottom w:val="nil"/>
              <w:right w:val="nil"/>
            </w:tcBorders>
            <w:shd w:val="clear" w:color="auto" w:fill="auto"/>
          </w:tcPr>
          <w:p w:rsidR="00A420D4" w:rsidRPr="00F844C0" w:rsidRDefault="00BA41CB" w:rsidP="00CA444C">
            <w:pPr>
              <w:pStyle w:val="TableBodyText"/>
              <w:keepNext w:val="0"/>
              <w:keepLines w:val="0"/>
              <w:widowControl w:val="0"/>
              <w:shd w:val="clear" w:color="auto" w:fill="FFFFFF" w:themeFill="background1"/>
              <w:jc w:val="both"/>
              <w:rPr>
                <w:rFonts w:cs="Arial"/>
              </w:rPr>
            </w:pPr>
            <w:r w:rsidRPr="00F844C0">
              <w:rPr>
                <w:rFonts w:cs="Arial"/>
              </w:rPr>
              <w:t>Sector</w:t>
            </w:r>
            <w:r w:rsidR="002A0059">
              <w:rPr>
                <w:rFonts w:cs="Arial"/>
              </w:rPr>
              <w:noBreakHyphen/>
            </w:r>
            <w:r w:rsidRPr="00F844C0">
              <w:rPr>
                <w:rFonts w:cs="Arial"/>
              </w:rPr>
              <w:t>wide indicator</w:t>
            </w:r>
          </w:p>
        </w:tc>
      </w:tr>
      <w:tr w:rsidR="00A420D4" w:rsidRPr="00F844C0" w:rsidTr="00BD4765">
        <w:tblPrEx>
          <w:tblCellMar>
            <w:left w:w="108" w:type="dxa"/>
            <w:right w:w="108" w:type="dxa"/>
          </w:tblCellMar>
          <w:tblLook w:val="01E0" w:firstRow="1" w:lastRow="1" w:firstColumn="1" w:lastColumn="1" w:noHBand="0" w:noVBand="0"/>
        </w:tblPrEx>
        <w:tc>
          <w:tcPr>
            <w:tcW w:w="995"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Indicator </w:t>
            </w:r>
          </w:p>
        </w:tc>
        <w:tc>
          <w:tcPr>
            <w:tcW w:w="4005" w:type="pct"/>
            <w:gridSpan w:val="3"/>
            <w:tcBorders>
              <w:top w:val="nil"/>
              <w:left w:val="nil"/>
              <w:bottom w:val="nil"/>
              <w:right w:val="nil"/>
            </w:tcBorders>
            <w:shd w:val="clear" w:color="auto" w:fill="auto"/>
          </w:tcPr>
          <w:p w:rsidR="00A420D4" w:rsidRPr="00F844C0" w:rsidRDefault="00BA41CB" w:rsidP="00CA444C">
            <w:pPr>
              <w:pStyle w:val="TableBodyText"/>
              <w:keepNext w:val="0"/>
              <w:keepLines w:val="0"/>
              <w:widowControl w:val="0"/>
              <w:shd w:val="clear" w:color="auto" w:fill="FFFFFF" w:themeFill="background1"/>
              <w:jc w:val="both"/>
              <w:rPr>
                <w:szCs w:val="18"/>
              </w:rPr>
            </w:pPr>
            <w:r w:rsidRPr="00F844C0">
              <w:rPr>
                <w:rFonts w:cs="Arial"/>
                <w:szCs w:val="18"/>
              </w:rPr>
              <w:t>Independence of older people and their carers.</w:t>
            </w:r>
          </w:p>
        </w:tc>
      </w:tr>
      <w:tr w:rsidR="00A420D4" w:rsidRPr="00F844C0" w:rsidTr="00BD4765">
        <w:tblPrEx>
          <w:tblCellMar>
            <w:left w:w="108" w:type="dxa"/>
            <w:right w:w="108" w:type="dxa"/>
          </w:tblCellMar>
          <w:tblLook w:val="01E0" w:firstRow="1" w:lastRow="1" w:firstColumn="1" w:lastColumn="1" w:noHBand="0" w:noVBand="0"/>
        </w:tblPrEx>
        <w:tc>
          <w:tcPr>
            <w:tcW w:w="995"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Measure (computation)</w:t>
            </w:r>
          </w:p>
        </w:tc>
        <w:tc>
          <w:tcPr>
            <w:tcW w:w="4005" w:type="pct"/>
            <w:gridSpan w:val="3"/>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Definition:</w:t>
            </w:r>
          </w:p>
          <w:p w:rsidR="00BA41CB" w:rsidRPr="00F844C0" w:rsidRDefault="00BA41CB" w:rsidP="00CA444C">
            <w:pPr>
              <w:pStyle w:val="TableBodyText"/>
              <w:keepNext w:val="0"/>
              <w:keepLines w:val="0"/>
              <w:widowControl w:val="0"/>
              <w:shd w:val="clear" w:color="auto" w:fill="FFFFFF" w:themeFill="background1"/>
              <w:spacing w:after="60"/>
              <w:jc w:val="both"/>
              <w:rPr>
                <w:rFonts w:cs="Arial"/>
                <w:szCs w:val="18"/>
              </w:rPr>
            </w:pPr>
            <w:r w:rsidRPr="00F844C0">
              <w:rPr>
                <w:rFonts w:cs="Arial"/>
                <w:szCs w:val="18"/>
              </w:rPr>
              <w:t>Independence of older people is defined as the proportion of people living in households aged 65 years or over who participated in social or community activities away from home in the past three months.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u w:val="single"/>
              </w:rPr>
              <w:t>Numerators</w:t>
            </w:r>
            <w:r w:rsidRPr="00F844C0">
              <w:rPr>
                <w:rFonts w:ascii="Arial" w:hAnsi="Arial" w:cs="Arial"/>
                <w:sz w:val="18"/>
                <w:szCs w:val="18"/>
              </w:rPr>
              <w:t xml:space="preserve">: </w:t>
            </w:r>
          </w:p>
          <w:p w:rsidR="00BA41CB" w:rsidRPr="00F844C0" w:rsidRDefault="00BA41CB"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The number of people living in households aged 65 years or over who participated in social or community activities away from home in the past three months.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BA41CB" w:rsidRPr="00F844C0" w:rsidRDefault="007846A9"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The number of people aged 65 years or over living in households.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Computation:</w:t>
            </w:r>
          </w:p>
          <w:p w:rsidR="00A420D4" w:rsidRPr="00F844C0" w:rsidRDefault="00A420D4"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Expressed as a percentage. Calculation is: (Numerator </w:t>
            </w:r>
            <w:r w:rsidRPr="00F844C0">
              <w:rPr>
                <w:rFonts w:cs="Arial"/>
                <w:szCs w:val="18"/>
              </w:rPr>
              <w:sym w:font="Symbol" w:char="F0B8"/>
            </w:r>
            <w:r w:rsidRPr="00F844C0">
              <w:rPr>
                <w:rFonts w:cs="Arial"/>
                <w:szCs w:val="18"/>
              </w:rPr>
              <w:t xml:space="preserve"> Denominator) x 100.</w:t>
            </w:r>
          </w:p>
        </w:tc>
      </w:tr>
      <w:tr w:rsidR="00A420D4" w:rsidRPr="00F844C0" w:rsidTr="00BD4765">
        <w:tblPrEx>
          <w:tblCellMar>
            <w:left w:w="108" w:type="dxa"/>
            <w:right w:w="108" w:type="dxa"/>
          </w:tblCellMar>
          <w:tblLook w:val="01E0" w:firstRow="1" w:lastRow="1" w:firstColumn="1" w:lastColumn="1" w:noHBand="0" w:noVBand="0"/>
        </w:tblPrEx>
        <w:tc>
          <w:tcPr>
            <w:tcW w:w="995"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Data source/s</w:t>
            </w:r>
          </w:p>
        </w:tc>
        <w:tc>
          <w:tcPr>
            <w:tcW w:w="4005" w:type="pct"/>
            <w:gridSpan w:val="3"/>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 xml:space="preserve">Numerators: </w:t>
            </w:r>
          </w:p>
          <w:p w:rsidR="00A420D4" w:rsidRPr="00F844C0" w:rsidRDefault="00A420D4"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007846A9" w:rsidRPr="00F844C0">
              <w:rPr>
                <w:rFonts w:cs="Arial"/>
                <w:i/>
                <w:szCs w:val="18"/>
              </w:rPr>
              <w:t xml:space="preserve">Survey of Disability, Ageing and Carers 2012, </w:t>
            </w:r>
            <w:r w:rsidR="007846A9" w:rsidRPr="00F844C0">
              <w:rPr>
                <w:rFonts w:cs="Arial"/>
                <w:szCs w:val="18"/>
              </w:rPr>
              <w:t xml:space="preserve">cat. no. </w:t>
            </w:r>
            <w:r w:rsidR="00C70C96" w:rsidRPr="00F844C0">
              <w:rPr>
                <w:rFonts w:cs="Arial"/>
                <w:szCs w:val="18"/>
              </w:rPr>
              <w:t>4430</w:t>
            </w:r>
            <w:r w:rsidR="007846A9" w:rsidRPr="00F844C0">
              <w:rPr>
                <w:rFonts w:cs="Arial"/>
                <w:szCs w:val="18"/>
              </w:rPr>
              <w:t>.0, Canberra</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A420D4" w:rsidRPr="00F844C0" w:rsidRDefault="007846A9"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Pr="00F844C0">
              <w:rPr>
                <w:rFonts w:cs="Arial"/>
                <w:i/>
                <w:szCs w:val="18"/>
              </w:rPr>
              <w:t xml:space="preserve">Survey of Disability, Ageing and Carers 2012, </w:t>
            </w:r>
            <w:r w:rsidRPr="00F844C0">
              <w:rPr>
                <w:rFonts w:cs="Arial"/>
                <w:szCs w:val="18"/>
              </w:rPr>
              <w:t xml:space="preserve">cat. no. </w:t>
            </w:r>
            <w:r w:rsidR="00C70C96" w:rsidRPr="00F844C0">
              <w:rPr>
                <w:rFonts w:cs="Arial"/>
                <w:szCs w:val="18"/>
              </w:rPr>
              <w:t>4430</w:t>
            </w:r>
            <w:r w:rsidRPr="00F844C0">
              <w:rPr>
                <w:rFonts w:cs="Arial"/>
                <w:szCs w:val="18"/>
              </w:rPr>
              <w:t>.0, Canberra</w:t>
            </w:r>
          </w:p>
        </w:tc>
      </w:tr>
      <w:tr w:rsidR="00A420D4" w:rsidRPr="00F844C0" w:rsidTr="00BD4765">
        <w:tblPrEx>
          <w:tblCellMar>
            <w:left w:w="108" w:type="dxa"/>
            <w:right w:w="108" w:type="dxa"/>
          </w:tblCellMar>
          <w:tblLook w:val="01E0" w:firstRow="1" w:lastRow="1" w:firstColumn="1" w:lastColumn="1" w:noHBand="0" w:noVBand="0"/>
        </w:tblPrEx>
        <w:tc>
          <w:tcPr>
            <w:tcW w:w="5000" w:type="pct"/>
            <w:gridSpan w:val="4"/>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jc w:val="both"/>
              <w:rPr>
                <w:rFonts w:cs="Arial"/>
                <w:b/>
                <w:u w:val="single"/>
              </w:rPr>
            </w:pPr>
            <w:r w:rsidRPr="00F844C0">
              <w:rPr>
                <w:b/>
                <w:u w:val="single"/>
              </w:rPr>
              <w:t>Data Quality Framework Dimensions</w:t>
            </w:r>
            <w:r w:rsidRPr="00F844C0">
              <w:rPr>
                <w:rFonts w:cs="Arial"/>
                <w:b/>
                <w:u w:val="single"/>
              </w:rPr>
              <w:t xml:space="preserve"> </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Institutional environment </w:t>
            </w:r>
          </w:p>
        </w:tc>
        <w:tc>
          <w:tcPr>
            <w:tcW w:w="3978" w:type="pct"/>
            <w:gridSpan w:val="2"/>
            <w:tcBorders>
              <w:top w:val="nil"/>
              <w:left w:val="nil"/>
              <w:bottom w:val="nil"/>
              <w:right w:val="nil"/>
            </w:tcBorders>
            <w:shd w:val="clear" w:color="auto" w:fill="auto"/>
          </w:tcPr>
          <w:p w:rsidR="007846A9" w:rsidRPr="00F844C0" w:rsidRDefault="00CA3712" w:rsidP="000441C0">
            <w:pPr>
              <w:pStyle w:val="TableBodyText"/>
              <w:keepNext w:val="0"/>
              <w:keepLines w:val="0"/>
              <w:widowControl w:val="0"/>
              <w:shd w:val="clear" w:color="auto" w:fill="FFFFFF" w:themeFill="background1"/>
              <w:jc w:val="both"/>
              <w:rPr>
                <w:rFonts w:cs="Arial"/>
              </w:rPr>
            </w:pPr>
            <w:r w:rsidRPr="00F844C0">
              <w:rPr>
                <w:rFonts w:cs="Arial"/>
              </w:rPr>
              <w:t xml:space="preserve">The </w:t>
            </w:r>
            <w:r w:rsidR="000441C0" w:rsidRPr="000441C0">
              <w:rPr>
                <w:rFonts w:cs="Arial"/>
                <w:szCs w:val="18"/>
              </w:rPr>
              <w:t>Survey of Disability, Ageing and Carers (</w:t>
            </w:r>
            <w:r w:rsidRPr="000441C0">
              <w:rPr>
                <w:rFonts w:cs="Arial"/>
              </w:rPr>
              <w:t>SDAC</w:t>
            </w:r>
            <w:r w:rsidR="000441C0" w:rsidRPr="000441C0">
              <w:rPr>
                <w:rFonts w:cs="Arial"/>
              </w:rPr>
              <w:t>)</w:t>
            </w:r>
            <w:r w:rsidRPr="000441C0">
              <w:rPr>
                <w:rFonts w:cs="Arial"/>
              </w:rPr>
              <w:t xml:space="preserve"> is</w:t>
            </w:r>
            <w:r w:rsidRPr="00F844C0">
              <w:rPr>
                <w:rFonts w:cs="Arial"/>
              </w:rPr>
              <w:t xml:space="preserve"> collected, processed, and published by the Australian Bureau of Statistics (ABS). The ABS operates within the framework of the </w:t>
            </w:r>
            <w:r w:rsidRPr="008B4FA4">
              <w:rPr>
                <w:rFonts w:cs="Arial"/>
                <w:i/>
              </w:rPr>
              <w:t>Census and Statistics Act 1905</w:t>
            </w:r>
            <w:r w:rsidRPr="00F844C0">
              <w:rPr>
                <w:rFonts w:cs="Arial"/>
              </w:rPr>
              <w:t xml:space="preserve"> and the </w:t>
            </w:r>
            <w:r w:rsidRPr="008B4FA4">
              <w:rPr>
                <w:rFonts w:cs="Arial"/>
                <w:i/>
              </w:rPr>
              <w:t>Australian Bureau of Statistics Act 1975</w:t>
            </w:r>
            <w:r w:rsidRPr="00F844C0">
              <w:rPr>
                <w:rFonts w:cs="Arial"/>
              </w:rPr>
              <w:t xml:space="preserve">. These ensure the independence and impartiality of the ABS, and the confidentiality of respondents. </w:t>
            </w:r>
            <w:r w:rsidR="007846A9" w:rsidRPr="00F844C0">
              <w:t>For information on the institutional environment of the ABS, including the legislative obligations of the ABS, which cover this collection, please see ABS Institutional Environment (</w:t>
            </w:r>
            <w:r w:rsidR="000441C0" w:rsidRPr="000441C0">
              <w:t>www.</w:t>
            </w:r>
            <w:r w:rsidR="00DD62D7" w:rsidRPr="000441C0">
              <w:t>abs.gov.au/Ausstats/abs@.nsf/Latestproducts/4402.0Quality%20Declaration0June%202011?opendocument&amp;tabname=Notes&amp;prodno=4402.0&amp;issue=June%202011&amp;num=&amp;view</w:t>
            </w:r>
            <w:r w:rsidR="00DD62D7">
              <w:t xml:space="preserve">=). </w:t>
            </w:r>
          </w:p>
        </w:tc>
      </w:tr>
      <w:tr w:rsidR="00A420D4"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Relevance </w:t>
            </w:r>
          </w:p>
        </w:tc>
        <w:tc>
          <w:tcPr>
            <w:tcW w:w="3978" w:type="pct"/>
            <w:gridSpan w:val="2"/>
            <w:tcBorders>
              <w:top w:val="nil"/>
              <w:left w:val="nil"/>
              <w:bottom w:val="nil"/>
              <w:right w:val="nil"/>
            </w:tcBorders>
            <w:shd w:val="clear" w:color="auto" w:fill="auto"/>
          </w:tcPr>
          <w:p w:rsidR="00A420D4" w:rsidRPr="00F844C0" w:rsidRDefault="007846A9" w:rsidP="00CA444C">
            <w:pPr>
              <w:pStyle w:val="TableBodyText"/>
              <w:keepNext w:val="0"/>
              <w:keepLines w:val="0"/>
              <w:widowControl w:val="0"/>
              <w:shd w:val="clear" w:color="auto" w:fill="FFFFFF" w:themeFill="background1"/>
              <w:jc w:val="both"/>
              <w:rPr>
                <w:rFonts w:cs="Arial"/>
              </w:rPr>
            </w:pPr>
            <w:r w:rsidRPr="00F844C0">
              <w:rPr>
                <w:rFonts w:cs="Arial"/>
              </w:rPr>
              <w:t>Independence o</w:t>
            </w:r>
            <w:r w:rsidR="00C70C96" w:rsidRPr="00F844C0">
              <w:rPr>
                <w:rFonts w:cs="Arial"/>
              </w:rPr>
              <w:t xml:space="preserve">f older people </w:t>
            </w:r>
            <w:r w:rsidRPr="00F844C0">
              <w:rPr>
                <w:rFonts w:cs="Arial"/>
              </w:rPr>
              <w:t>is an indicator of governments’ objective to promote the wellbeing and independence of older people</w:t>
            </w:r>
            <w:r w:rsidR="00C70C96" w:rsidRPr="00F844C0">
              <w:rPr>
                <w:rFonts w:cs="Arial"/>
              </w:rPr>
              <w:t>.</w:t>
            </w:r>
          </w:p>
          <w:p w:rsidR="00CA3712" w:rsidRPr="00F844C0" w:rsidRDefault="00CA3712" w:rsidP="00CA444C">
            <w:pPr>
              <w:pStyle w:val="TableBodyText"/>
              <w:widowControl w:val="0"/>
              <w:shd w:val="clear" w:color="auto" w:fill="FFFFFF" w:themeFill="background1"/>
              <w:jc w:val="both"/>
              <w:rPr>
                <w:rFonts w:cs="Arial"/>
              </w:rPr>
            </w:pPr>
            <w:r w:rsidRPr="00F844C0">
              <w:rPr>
                <w:rFonts w:cs="Arial"/>
              </w:rPr>
              <w:t xml:space="preserve">The SDAC collected information from three target populations: </w:t>
            </w:r>
          </w:p>
          <w:p w:rsidR="00CA3712" w:rsidRPr="00F844C0" w:rsidRDefault="00CA3712" w:rsidP="00CA444C">
            <w:pPr>
              <w:pStyle w:val="TableBullet"/>
              <w:shd w:val="clear" w:color="auto" w:fill="FFFFFF" w:themeFill="background1"/>
            </w:pPr>
            <w:r w:rsidRPr="00F844C0">
              <w:t>people with disability</w:t>
            </w:r>
          </w:p>
          <w:p w:rsidR="00CA3712" w:rsidRPr="00F844C0" w:rsidRDefault="00CA3712" w:rsidP="00CA444C">
            <w:pPr>
              <w:pStyle w:val="TableBullet"/>
              <w:shd w:val="clear" w:color="auto" w:fill="FFFFFF" w:themeFill="background1"/>
            </w:pPr>
            <w:r w:rsidRPr="00F844C0">
              <w:t xml:space="preserve">older people (i.e. those aged 65 years and over) </w:t>
            </w:r>
          </w:p>
          <w:p w:rsidR="00CA3712" w:rsidRPr="00F844C0" w:rsidRDefault="00CA3712" w:rsidP="00CA444C">
            <w:pPr>
              <w:pStyle w:val="TableBullet"/>
              <w:shd w:val="clear" w:color="auto" w:fill="FFFFFF" w:themeFill="background1"/>
            </w:pPr>
            <w:r w:rsidRPr="00F844C0">
              <w:t>people who care for persons with disability, long</w:t>
            </w:r>
            <w:r w:rsidR="002A0059">
              <w:noBreakHyphen/>
            </w:r>
            <w:r w:rsidRPr="00F844C0">
              <w:t xml:space="preserve">term health conditions or older </w:t>
            </w:r>
            <w:r w:rsidR="00DD62D7">
              <w:t>people.</w:t>
            </w:r>
          </w:p>
          <w:p w:rsidR="00CA3712" w:rsidRPr="00F844C0" w:rsidRDefault="00CA3712" w:rsidP="00CA444C">
            <w:pPr>
              <w:pStyle w:val="TableBodyText"/>
              <w:widowControl w:val="0"/>
              <w:shd w:val="clear" w:color="auto" w:fill="FFFFFF" w:themeFill="background1"/>
              <w:jc w:val="both"/>
              <w:rPr>
                <w:rFonts w:cs="Arial"/>
              </w:rPr>
            </w:pPr>
            <w:r w:rsidRPr="00F844C0">
              <w:rPr>
                <w:rFonts w:cs="Arial"/>
              </w:rPr>
              <w:t>In 2012, the definition of an older person changed to 65 years and over, from 60 years and over in the 2009 survey. The increase of age for older persons was driven by social factors such as increases in life expectancy and changes to aged care policy and the retirement age.</w:t>
            </w:r>
          </w:p>
          <w:p w:rsidR="00CA3712" w:rsidRPr="00F844C0" w:rsidRDefault="00CA3712" w:rsidP="00CA444C">
            <w:pPr>
              <w:pStyle w:val="TableBodyText"/>
              <w:widowControl w:val="0"/>
              <w:shd w:val="clear" w:color="auto" w:fill="FFFFFF" w:themeFill="background1"/>
              <w:jc w:val="both"/>
              <w:rPr>
                <w:rFonts w:cs="Arial"/>
              </w:rPr>
            </w:pPr>
            <w:r w:rsidRPr="00F844C0">
              <w:rPr>
                <w:rFonts w:cs="Arial"/>
              </w:rPr>
              <w:t xml:space="preserve">Older people’s social and community activities participated in away from home in the past three months include: </w:t>
            </w:r>
          </w:p>
          <w:p w:rsidR="00CA3712" w:rsidRPr="00F844C0" w:rsidRDefault="00CA3712" w:rsidP="00CA444C">
            <w:pPr>
              <w:pStyle w:val="TableBullet"/>
              <w:shd w:val="clear" w:color="auto" w:fill="FFFFFF" w:themeFill="background1"/>
            </w:pPr>
            <w:r w:rsidRPr="00F844C0">
              <w:t xml:space="preserve">Visited relatives or friends </w:t>
            </w:r>
          </w:p>
          <w:p w:rsidR="00CA3712" w:rsidRPr="00F844C0" w:rsidRDefault="00CA3712" w:rsidP="00CA444C">
            <w:pPr>
              <w:pStyle w:val="TableBullet"/>
              <w:shd w:val="clear" w:color="auto" w:fill="FFFFFF" w:themeFill="background1"/>
            </w:pPr>
            <w:r w:rsidRPr="00F844C0">
              <w:t xml:space="preserve">Went to restaurant or club </w:t>
            </w:r>
          </w:p>
          <w:p w:rsidR="00CA3712" w:rsidRPr="00F844C0" w:rsidRDefault="00CA3712" w:rsidP="00CA444C">
            <w:pPr>
              <w:pStyle w:val="TableBullet"/>
              <w:shd w:val="clear" w:color="auto" w:fill="FFFFFF" w:themeFill="background1"/>
            </w:pPr>
            <w:r w:rsidRPr="00F844C0">
              <w:t xml:space="preserve">Church activities </w:t>
            </w:r>
          </w:p>
          <w:p w:rsidR="00CA3712" w:rsidRPr="00F844C0" w:rsidRDefault="00CA3712" w:rsidP="00CA444C">
            <w:pPr>
              <w:pStyle w:val="TableBullet"/>
              <w:shd w:val="clear" w:color="auto" w:fill="FFFFFF" w:themeFill="background1"/>
            </w:pPr>
            <w:r w:rsidRPr="00F844C0">
              <w:t xml:space="preserve">Voluntary activities </w:t>
            </w:r>
          </w:p>
          <w:p w:rsidR="00CA3712" w:rsidRPr="00F844C0" w:rsidRDefault="00CA3712" w:rsidP="00CA444C">
            <w:pPr>
              <w:pStyle w:val="TableBullet"/>
              <w:shd w:val="clear" w:color="auto" w:fill="FFFFFF" w:themeFill="background1"/>
            </w:pPr>
            <w:r w:rsidRPr="00F844C0">
              <w:t xml:space="preserve">Performing Arts group activity </w:t>
            </w:r>
          </w:p>
          <w:p w:rsidR="00CA3712" w:rsidRPr="00F844C0" w:rsidRDefault="00CA3712" w:rsidP="00CA444C">
            <w:pPr>
              <w:pStyle w:val="TableBullet"/>
              <w:shd w:val="clear" w:color="auto" w:fill="FFFFFF" w:themeFill="background1"/>
            </w:pPr>
            <w:r w:rsidRPr="00F844C0">
              <w:lastRenderedPageBreak/>
              <w:t xml:space="preserve">Art or craft group activity </w:t>
            </w:r>
          </w:p>
          <w:p w:rsidR="00CA3712" w:rsidRPr="00F844C0" w:rsidRDefault="00CA3712" w:rsidP="00CA444C">
            <w:pPr>
              <w:pStyle w:val="TableBullet"/>
              <w:shd w:val="clear" w:color="auto" w:fill="FFFFFF" w:themeFill="background1"/>
            </w:pPr>
            <w:r w:rsidRPr="00F844C0">
              <w:t xml:space="preserve">Other special interest group activities </w:t>
            </w:r>
          </w:p>
          <w:p w:rsidR="00CA3712" w:rsidRPr="00F844C0" w:rsidRDefault="00CA3712" w:rsidP="00CA444C">
            <w:pPr>
              <w:pStyle w:val="TableBullet"/>
              <w:shd w:val="clear" w:color="auto" w:fill="FFFFFF" w:themeFill="background1"/>
            </w:pPr>
            <w:r w:rsidRPr="00F844C0">
              <w:t>Other activity not specified elsewhere.</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lastRenderedPageBreak/>
              <w:t>Timeliness</w:t>
            </w:r>
            <w:r w:rsidRPr="00F844C0">
              <w:rPr>
                <w:rFonts w:cs="Arial"/>
                <w:lang w:val="en-US" w:eastAsia="en-US"/>
              </w:rPr>
              <w:t xml:space="preserve"> </w:t>
            </w:r>
          </w:p>
        </w:tc>
        <w:tc>
          <w:tcPr>
            <w:tcW w:w="3978" w:type="pct"/>
            <w:gridSpan w:val="2"/>
            <w:tcBorders>
              <w:top w:val="nil"/>
              <w:left w:val="nil"/>
              <w:bottom w:val="nil"/>
              <w:right w:val="nil"/>
            </w:tcBorders>
            <w:shd w:val="clear" w:color="auto" w:fill="auto"/>
          </w:tcPr>
          <w:p w:rsidR="007846A9" w:rsidRPr="00F844C0" w:rsidRDefault="00EB562D" w:rsidP="000441C0">
            <w:pPr>
              <w:pStyle w:val="TableBodyText"/>
              <w:keepNext w:val="0"/>
              <w:keepLines w:val="0"/>
              <w:widowControl w:val="0"/>
              <w:shd w:val="clear" w:color="auto" w:fill="FFFFFF" w:themeFill="background1"/>
              <w:jc w:val="both"/>
              <w:rPr>
                <w:rFonts w:cs="Arial"/>
              </w:rPr>
            </w:pPr>
            <w:r w:rsidRPr="00F844C0">
              <w:rPr>
                <w:rFonts w:cs="Arial"/>
              </w:rPr>
              <w:t>The ABS conducts the SDAC every three years. The most recent SDAC was conducted from August 2012 to March 2013. Results from the 2012 survey were released in November 2013.</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Accuracy </w:t>
            </w:r>
          </w:p>
        </w:tc>
        <w:tc>
          <w:tcPr>
            <w:tcW w:w="3978" w:type="pct"/>
            <w:gridSpan w:val="2"/>
            <w:tcBorders>
              <w:top w:val="nil"/>
              <w:left w:val="nil"/>
              <w:bottom w:val="nil"/>
              <w:right w:val="nil"/>
            </w:tcBorders>
            <w:shd w:val="clear" w:color="auto" w:fill="auto"/>
          </w:tcPr>
          <w:p w:rsidR="00EB562D" w:rsidRPr="00F844C0" w:rsidRDefault="00C932C4" w:rsidP="00CA444C">
            <w:pPr>
              <w:pStyle w:val="TableBodyText"/>
              <w:shd w:val="clear" w:color="auto" w:fill="FFFFFF" w:themeFill="background1"/>
              <w:jc w:val="both"/>
            </w:pPr>
            <w:r w:rsidRPr="00F844C0">
              <w:t>Sample and r</w:t>
            </w:r>
            <w:r w:rsidR="00EB562D" w:rsidRPr="00F844C0">
              <w:t xml:space="preserve">esponse </w:t>
            </w:r>
            <w:r w:rsidRPr="00F844C0">
              <w:t>r</w:t>
            </w:r>
            <w:r w:rsidR="00EB562D" w:rsidRPr="00F844C0">
              <w:t xml:space="preserve">ate: The SDAC is conducted in all </w:t>
            </w:r>
            <w:r w:rsidRPr="00F844C0">
              <w:t>s</w:t>
            </w:r>
            <w:r w:rsidR="00EB562D" w:rsidRPr="00F844C0">
              <w:t xml:space="preserve">tates and </w:t>
            </w:r>
            <w:r w:rsidRPr="00F844C0">
              <w:t>t</w:t>
            </w:r>
            <w:r w:rsidR="00EB562D" w:rsidRPr="00F844C0">
              <w:t>erritories, excluding very remote areas, and includes people in both private and non</w:t>
            </w:r>
            <w:r w:rsidR="002A0059">
              <w:noBreakHyphen/>
            </w:r>
            <w:r w:rsidR="00EB562D" w:rsidRPr="00F844C0">
              <w:t>private dwellings (including cared</w:t>
            </w:r>
            <w:r w:rsidR="002A0059">
              <w:noBreakHyphen/>
            </w:r>
            <w:r w:rsidR="00EB562D" w:rsidRPr="00F844C0">
              <w:t xml:space="preserve">accommodation establishments). Dwellings in each </w:t>
            </w:r>
            <w:r w:rsidR="000441C0">
              <w:t>S</w:t>
            </w:r>
            <w:r w:rsidR="00EB562D" w:rsidRPr="00F844C0">
              <w:t xml:space="preserve">tate and </w:t>
            </w:r>
            <w:r w:rsidR="000441C0">
              <w:t>T</w:t>
            </w:r>
            <w:r w:rsidR="00EB562D" w:rsidRPr="00F844C0">
              <w:t>erritory were selected at random using a multi</w:t>
            </w:r>
            <w:r w:rsidR="002A0059">
              <w:noBreakHyphen/>
            </w:r>
            <w:r w:rsidR="00EB562D" w:rsidRPr="00F844C0">
              <w:t>stage area sample. After sample loss, the 2012 SDAC sample included approximat</w:t>
            </w:r>
            <w:r w:rsidR="006C19B2" w:rsidRPr="00F844C0">
              <w:t>ely 27</w:t>
            </w:r>
            <w:r w:rsidRPr="00F844C0">
              <w:t> </w:t>
            </w:r>
            <w:r w:rsidR="006C19B2" w:rsidRPr="00F844C0">
              <w:t>400 private dwellings, 1 </w:t>
            </w:r>
            <w:r w:rsidR="00EB562D" w:rsidRPr="00F844C0">
              <w:t>000 health establishments and 500 other non</w:t>
            </w:r>
            <w:r w:rsidR="002A0059">
              <w:noBreakHyphen/>
            </w:r>
            <w:r w:rsidR="00EB562D" w:rsidRPr="00F844C0">
              <w:t>private dwellings. The 2012 SDAC response rate for private dwellings was 89.8</w:t>
            </w:r>
            <w:r w:rsidR="000441C0">
              <w:t> </w:t>
            </w:r>
            <w:r w:rsidRPr="00F844C0">
              <w:t>per</w:t>
            </w:r>
            <w:r w:rsidR="000441C0">
              <w:t> </w:t>
            </w:r>
            <w:r w:rsidRPr="00F844C0">
              <w:t>cent</w:t>
            </w:r>
            <w:r w:rsidR="00EB562D" w:rsidRPr="00F844C0">
              <w:t>, and for establishments was 87.5</w:t>
            </w:r>
            <w:r w:rsidR="000441C0">
              <w:t> </w:t>
            </w:r>
            <w:r w:rsidR="006C19B2" w:rsidRPr="00F844C0">
              <w:t>per</w:t>
            </w:r>
            <w:r w:rsidR="000441C0">
              <w:t> </w:t>
            </w:r>
            <w:r w:rsidR="006C19B2" w:rsidRPr="00F844C0">
              <w:t>cent</w:t>
            </w:r>
            <w:r w:rsidR="00EB562D" w:rsidRPr="00F844C0">
              <w:t>. SDAC data are weighted to account for non</w:t>
            </w:r>
            <w:r w:rsidRPr="00F844C0">
              <w:noBreakHyphen/>
            </w:r>
            <w:r w:rsidR="00EB562D" w:rsidRPr="00F844C0">
              <w:t xml:space="preserve">response. </w:t>
            </w:r>
          </w:p>
          <w:p w:rsidR="00EB562D" w:rsidRPr="00F844C0" w:rsidRDefault="00EB562D" w:rsidP="00CA444C">
            <w:pPr>
              <w:pStyle w:val="TableBodyText"/>
              <w:shd w:val="clear" w:color="auto" w:fill="FFFFFF" w:themeFill="background1"/>
              <w:jc w:val="both"/>
              <w:rPr>
                <w:szCs w:val="18"/>
              </w:rPr>
            </w:pPr>
            <w:r w:rsidRPr="00F844C0">
              <w:t xml:space="preserve">Scope and </w:t>
            </w:r>
            <w:r w:rsidRPr="00F844C0">
              <w:rPr>
                <w:szCs w:val="18"/>
              </w:rPr>
              <w:t xml:space="preserve">coverage: Information on the scope and coverage for SDAC is available in the publication </w:t>
            </w:r>
            <w:r w:rsidRPr="00B12091">
              <w:rPr>
                <w:rFonts w:cs="Arial"/>
                <w:szCs w:val="18"/>
              </w:rPr>
              <w:t>Explanatory Notes</w:t>
            </w:r>
            <w:r w:rsidRPr="00F844C0">
              <w:rPr>
                <w:szCs w:val="18"/>
              </w:rPr>
              <w:t> (paragraphs 7 and</w:t>
            </w:r>
            <w:r w:rsidR="00FE77C0">
              <w:rPr>
                <w:szCs w:val="18"/>
              </w:rPr>
              <w:t xml:space="preserve"> 8</w:t>
            </w:r>
            <w:r w:rsidRPr="00F844C0">
              <w:rPr>
                <w:szCs w:val="18"/>
              </w:rPr>
              <w:t xml:space="preserve">) for the </w:t>
            </w:r>
            <w:r w:rsidRPr="00B12091">
              <w:rPr>
                <w:rFonts w:cs="Arial"/>
                <w:szCs w:val="18"/>
              </w:rPr>
              <w:t>Disability, Ageing and Carers, Australia: Summary of Findings, 2012</w:t>
            </w:r>
            <w:r w:rsidRPr="00F844C0">
              <w:rPr>
                <w:szCs w:val="18"/>
              </w:rPr>
              <w:t xml:space="preserve">. The SDAC excludes very remote areas and discrete Aboriginal and Torres Strait Islander communities from its estimates. This exclusion has minimal impact on Australia level estimates if making inferences about the population at large. However, the </w:t>
            </w:r>
            <w:r w:rsidR="000441C0">
              <w:rPr>
                <w:szCs w:val="18"/>
              </w:rPr>
              <w:t>NT</w:t>
            </w:r>
            <w:r w:rsidRPr="00F844C0">
              <w:rPr>
                <w:szCs w:val="18"/>
              </w:rPr>
              <w:t xml:space="preserve"> has a significant proportion of the population in very remote areas and/or Indigenous </w:t>
            </w:r>
            <w:r w:rsidR="00C932C4" w:rsidRPr="00F844C0">
              <w:rPr>
                <w:szCs w:val="18"/>
              </w:rPr>
              <w:t>c</w:t>
            </w:r>
            <w:r w:rsidRPr="00F844C0">
              <w:rPr>
                <w:szCs w:val="18"/>
              </w:rPr>
              <w:t>ommunities. As such</w:t>
            </w:r>
            <w:r w:rsidR="00C932C4" w:rsidRPr="00F844C0">
              <w:rPr>
                <w:szCs w:val="18"/>
              </w:rPr>
              <w:t>,</w:t>
            </w:r>
            <w:r w:rsidRPr="00F844C0">
              <w:rPr>
                <w:szCs w:val="18"/>
              </w:rPr>
              <w:t xml:space="preserve"> it is important to interpret </w:t>
            </w:r>
            <w:r w:rsidR="000441C0">
              <w:rPr>
                <w:szCs w:val="18"/>
              </w:rPr>
              <w:t>NT</w:t>
            </w:r>
            <w:r w:rsidRPr="00F844C0">
              <w:rPr>
                <w:szCs w:val="18"/>
              </w:rPr>
              <w:t xml:space="preserve"> estimates in light of these areas being excluded from scope. </w:t>
            </w:r>
          </w:p>
          <w:p w:rsidR="00EB562D" w:rsidRPr="00F844C0" w:rsidRDefault="00EB562D" w:rsidP="00CA444C">
            <w:pPr>
              <w:pStyle w:val="TableBodyText"/>
              <w:shd w:val="clear" w:color="auto" w:fill="FFFFFF" w:themeFill="background1"/>
              <w:jc w:val="both"/>
              <w:rPr>
                <w:szCs w:val="18"/>
              </w:rPr>
            </w:pPr>
            <w:r w:rsidRPr="00F844C0">
              <w:rPr>
                <w:szCs w:val="18"/>
              </w:rPr>
              <w:t>For the first time in 2012, SDAC has excluded a small number of private dwellings that are in Collection Districts where the population contribution of an Indigenous Community exceeds 75</w:t>
            </w:r>
            <w:r w:rsidR="000441C0">
              <w:rPr>
                <w:szCs w:val="18"/>
              </w:rPr>
              <w:t> </w:t>
            </w:r>
            <w:r w:rsidR="006C19B2" w:rsidRPr="00F844C0">
              <w:rPr>
                <w:szCs w:val="18"/>
              </w:rPr>
              <w:t>per</w:t>
            </w:r>
            <w:r w:rsidR="000441C0">
              <w:rPr>
                <w:szCs w:val="18"/>
              </w:rPr>
              <w:t> </w:t>
            </w:r>
            <w:r w:rsidR="006C19B2" w:rsidRPr="00F844C0">
              <w:rPr>
                <w:szCs w:val="18"/>
              </w:rPr>
              <w:t>cent</w:t>
            </w:r>
            <w:r w:rsidRPr="00F844C0">
              <w:rPr>
                <w:szCs w:val="18"/>
              </w:rPr>
              <w:t xml:space="preserve"> within the CD, but the private dwellings themselves are outside the community. This exclusion has minimal impact on Australia level estimates. However, it could have an impact on </w:t>
            </w:r>
            <w:r w:rsidR="000441C0">
              <w:rPr>
                <w:szCs w:val="18"/>
              </w:rPr>
              <w:t>NT</w:t>
            </w:r>
            <w:r w:rsidRPr="00F844C0">
              <w:rPr>
                <w:szCs w:val="18"/>
              </w:rPr>
              <w:t xml:space="preserve"> estimates, as around 10</w:t>
            </w:r>
            <w:r w:rsidR="006C19B2" w:rsidRPr="00F844C0">
              <w:rPr>
                <w:szCs w:val="18"/>
              </w:rPr>
              <w:t xml:space="preserve"> per cent</w:t>
            </w:r>
            <w:r w:rsidRPr="00F844C0">
              <w:rPr>
                <w:szCs w:val="18"/>
              </w:rPr>
              <w:t xml:space="preserve"> of </w:t>
            </w:r>
            <w:r w:rsidR="000441C0">
              <w:rPr>
                <w:szCs w:val="18"/>
              </w:rPr>
              <w:t>NT</w:t>
            </w:r>
            <w:r w:rsidRPr="00F844C0">
              <w:rPr>
                <w:szCs w:val="18"/>
              </w:rPr>
              <w:t xml:space="preserve"> households that were previously included are now excluded. As such, estimates in the 2012 publication are not comparable to the 2009 survey. Estimates displayed as proportions are comparable with previous surveys. The SDAC also excludes people in gaols and correctional institutions. </w:t>
            </w:r>
          </w:p>
          <w:p w:rsidR="00E261D6" w:rsidRPr="00F844C0" w:rsidRDefault="00EB562D" w:rsidP="00FE77C0">
            <w:pPr>
              <w:pStyle w:val="TableBodyText"/>
              <w:shd w:val="clear" w:color="auto" w:fill="FFFFFF" w:themeFill="background1"/>
              <w:jc w:val="both"/>
            </w:pPr>
            <w:r w:rsidRPr="00F844C0">
              <w:rPr>
                <w:szCs w:val="18"/>
              </w:rPr>
              <w:t xml:space="preserve">Reliability of Estimates: All sample surveys are subject to sampling and </w:t>
            </w:r>
            <w:r w:rsidR="000441C0">
              <w:rPr>
                <w:szCs w:val="18"/>
              </w:rPr>
              <w:br/>
            </w:r>
            <w:r w:rsidRPr="00F844C0">
              <w:rPr>
                <w:szCs w:val="18"/>
              </w:rPr>
              <w:t>non</w:t>
            </w:r>
            <w:r w:rsidR="002A0059">
              <w:rPr>
                <w:szCs w:val="18"/>
              </w:rPr>
              <w:noBreakHyphen/>
            </w:r>
            <w:r w:rsidRPr="00F844C0">
              <w:rPr>
                <w:szCs w:val="18"/>
              </w:rPr>
              <w:t xml:space="preserve">sampling error. For more information relating to the </w:t>
            </w:r>
            <w:r w:rsidR="00C932C4" w:rsidRPr="00F844C0">
              <w:rPr>
                <w:szCs w:val="18"/>
              </w:rPr>
              <w:t>SDAC</w:t>
            </w:r>
            <w:r w:rsidRPr="00F844C0">
              <w:rPr>
                <w:szCs w:val="18"/>
              </w:rPr>
              <w:t xml:space="preserve">, refer to the publication </w:t>
            </w:r>
            <w:r w:rsidRPr="00B12091">
              <w:rPr>
                <w:rFonts w:cs="Arial"/>
                <w:szCs w:val="18"/>
              </w:rPr>
              <w:t>Disability, Ageing and Carers, Australia: Summary of Findings, 2012</w:t>
            </w:r>
            <w:r w:rsidRPr="00F844C0">
              <w:rPr>
                <w:color w:val="FF0000"/>
                <w:szCs w:val="18"/>
              </w:rPr>
              <w:t xml:space="preserve">. </w:t>
            </w:r>
            <w:r w:rsidRPr="00F844C0">
              <w:rPr>
                <w:rFonts w:cs="Arial"/>
              </w:rPr>
              <w:t xml:space="preserve">The </w:t>
            </w:r>
            <w:r w:rsidR="000441C0">
              <w:rPr>
                <w:rFonts w:cs="Arial"/>
              </w:rPr>
              <w:t>Report</w:t>
            </w:r>
            <w:r w:rsidRPr="00F844C0">
              <w:rPr>
                <w:rFonts w:cs="Arial"/>
              </w:rPr>
              <w:t xml:space="preserve"> includes information on the Relative Standard Errors (RSEs) of estimates published from the SDAC. RSEs indicate the reliability of an estimate. RSEs show the size of the error relative to the estimate. The higher the RSE, the less confidence there is that the estimate from the sample is close to the true value of the population mean. </w:t>
            </w:r>
            <w:r w:rsidRPr="00F844C0">
              <w:rPr>
                <w:szCs w:val="18"/>
              </w:rPr>
              <w:t>Where an estimate or proportion has a RSE between 25</w:t>
            </w:r>
            <w:r w:rsidR="00FE77C0">
              <w:rPr>
                <w:szCs w:val="18"/>
              </w:rPr>
              <w:t> </w:t>
            </w:r>
            <w:r w:rsidRPr="00F844C0">
              <w:rPr>
                <w:szCs w:val="18"/>
              </w:rPr>
              <w:t>per cent and 50 per cent, the</w:t>
            </w:r>
            <w:r w:rsidRPr="00F844C0">
              <w:t xml:space="preserve"> estimate or proportion is annotated to indicate that it is subject to a high RSE and should be used with caution. Where an estimate or proportion has an RSE above 50 per cent, the estimate or proportion is annotated to indicate that it is not reliable for general use, and the RSE is not published.</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Coherence </w:t>
            </w:r>
          </w:p>
        </w:tc>
        <w:tc>
          <w:tcPr>
            <w:tcW w:w="3978"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jc w:val="both"/>
              <w:rPr>
                <w:rFonts w:cs="Arial"/>
              </w:rPr>
            </w:pPr>
            <w:r w:rsidRPr="00F844C0">
              <w:rPr>
                <w:rFonts w:cs="Arial"/>
              </w:rPr>
              <w:t>The numerator and denominator are sourced from the same collection</w:t>
            </w:r>
            <w:r w:rsidR="006C19B2" w:rsidRPr="00F844C0">
              <w:rPr>
                <w:rFonts w:cs="Arial"/>
              </w:rPr>
              <w:t>, with the numerator being a subset of the denominator population</w:t>
            </w:r>
            <w:r w:rsidRPr="00F844C0">
              <w:rPr>
                <w:rFonts w:cs="Arial"/>
              </w:rPr>
              <w:t>.</w:t>
            </w:r>
          </w:p>
        </w:tc>
      </w:tr>
      <w:tr w:rsidR="00C70C96"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C70C96" w:rsidRPr="00F844C0" w:rsidRDefault="00C70C96"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Accessibility </w:t>
            </w:r>
          </w:p>
        </w:tc>
        <w:tc>
          <w:tcPr>
            <w:tcW w:w="3978" w:type="pct"/>
            <w:gridSpan w:val="2"/>
            <w:tcBorders>
              <w:top w:val="nil"/>
              <w:left w:val="nil"/>
              <w:bottom w:val="nil"/>
              <w:right w:val="nil"/>
            </w:tcBorders>
            <w:shd w:val="clear" w:color="auto" w:fill="auto"/>
          </w:tcPr>
          <w:p w:rsidR="00C70C96" w:rsidRPr="00F844C0" w:rsidRDefault="00C70C96" w:rsidP="00CA444C">
            <w:pPr>
              <w:pStyle w:val="TableBodyText"/>
              <w:keepNext w:val="0"/>
              <w:keepLines w:val="0"/>
              <w:widowControl w:val="0"/>
              <w:shd w:val="clear" w:color="auto" w:fill="FFFFFF" w:themeFill="background1"/>
              <w:jc w:val="both"/>
              <w:rPr>
                <w:rFonts w:cs="Arial"/>
              </w:rPr>
            </w:pPr>
            <w:r w:rsidRPr="00F844C0">
              <w:rPr>
                <w:rFonts w:cs="Arial"/>
              </w:rPr>
              <w:t>A range of data drawn from th</w:t>
            </w:r>
            <w:r w:rsidR="00FE77C0">
              <w:rPr>
                <w:rFonts w:cs="Arial"/>
              </w:rPr>
              <w:t xml:space="preserve">e SDAC are available on the ABS. </w:t>
            </w:r>
            <w:r w:rsidRPr="00F844C0">
              <w:rPr>
                <w:rFonts w:cs="Arial"/>
              </w:rPr>
              <w:t>Additional data can be accessed from the ABS. Costs are associated with additional data and vary depending on the type of request.</w:t>
            </w:r>
          </w:p>
          <w:p w:rsidR="006C19B2" w:rsidRPr="00F844C0" w:rsidRDefault="006C19B2" w:rsidP="00CA444C">
            <w:pPr>
              <w:pStyle w:val="TableBodyText"/>
              <w:shd w:val="clear" w:color="auto" w:fill="FFFFFF" w:themeFill="background1"/>
              <w:jc w:val="both"/>
              <w:rPr>
                <w:szCs w:val="18"/>
              </w:rPr>
            </w:pPr>
            <w:r w:rsidRPr="00F844C0">
              <w:rPr>
                <w:szCs w:val="18"/>
              </w:rPr>
              <w:t xml:space="preserve">See </w:t>
            </w:r>
            <w:r w:rsidRPr="00B12091">
              <w:rPr>
                <w:rFonts w:cs="Arial"/>
                <w:szCs w:val="18"/>
              </w:rPr>
              <w:t>Disability, Ageing and Carers, Australia: Summary of Findings, 2012</w:t>
            </w:r>
            <w:r w:rsidRPr="00F844C0">
              <w:rPr>
                <w:szCs w:val="18"/>
              </w:rPr>
              <w:t xml:space="preserve"> for an overview of results from the SDAC. Results from the 2012 SDAC are also available in the form of: </w:t>
            </w:r>
          </w:p>
          <w:p w:rsidR="006C19B2" w:rsidRPr="00F844C0" w:rsidRDefault="006C19B2" w:rsidP="00CA444C">
            <w:pPr>
              <w:pStyle w:val="TableBullet"/>
              <w:shd w:val="clear" w:color="auto" w:fill="FFFFFF" w:themeFill="background1"/>
            </w:pPr>
            <w:r w:rsidRPr="00F844C0">
              <w:t>a sub</w:t>
            </w:r>
            <w:r w:rsidR="002A0059">
              <w:noBreakHyphen/>
            </w:r>
            <w:r w:rsidRPr="00F844C0">
              <w:t xml:space="preserve">set of tables in a spreadsheet format for each </w:t>
            </w:r>
            <w:r w:rsidR="000441C0">
              <w:t>S</w:t>
            </w:r>
            <w:r w:rsidRPr="00F844C0">
              <w:t xml:space="preserve">tate and </w:t>
            </w:r>
            <w:r w:rsidR="000441C0">
              <w:t>T</w:t>
            </w:r>
            <w:r w:rsidRPr="00F844C0">
              <w:t>erritory (subject to standard error and confidentiality constraints and excluding time series tables)</w:t>
            </w:r>
          </w:p>
          <w:p w:rsidR="006C19B2" w:rsidRPr="00F844C0" w:rsidRDefault="006C19B2" w:rsidP="00CA444C">
            <w:pPr>
              <w:pStyle w:val="TableBullet"/>
              <w:shd w:val="clear" w:color="auto" w:fill="FFFFFF" w:themeFill="background1"/>
            </w:pPr>
            <w:r w:rsidRPr="00F844C0">
              <w:t xml:space="preserve">a number of supplementary themed publications </w:t>
            </w:r>
          </w:p>
          <w:p w:rsidR="006C19B2" w:rsidRPr="00F844C0" w:rsidRDefault="006C19B2" w:rsidP="00CA444C">
            <w:pPr>
              <w:pStyle w:val="TableBullet"/>
              <w:shd w:val="clear" w:color="auto" w:fill="FFFFFF" w:themeFill="background1"/>
            </w:pPr>
            <w:r w:rsidRPr="00F844C0">
              <w:t xml:space="preserve">a Confidentialised Unit Record File (CURF) </w:t>
            </w:r>
          </w:p>
          <w:p w:rsidR="006C19B2" w:rsidRPr="00F844C0" w:rsidRDefault="006C19B2" w:rsidP="00CA444C">
            <w:pPr>
              <w:pStyle w:val="TableBullet"/>
              <w:shd w:val="clear" w:color="auto" w:fill="FFFFFF" w:themeFill="background1"/>
            </w:pPr>
            <w:r w:rsidRPr="00F844C0">
              <w:t>a TableBuilder product.</w:t>
            </w:r>
          </w:p>
          <w:p w:rsidR="006C19B2" w:rsidRPr="00F844C0" w:rsidRDefault="006C19B2" w:rsidP="00CA444C">
            <w:pPr>
              <w:pStyle w:val="TableBodyText"/>
              <w:shd w:val="clear" w:color="auto" w:fill="FFFFFF" w:themeFill="background1"/>
              <w:jc w:val="both"/>
            </w:pPr>
            <w:r w:rsidRPr="00F844C0">
              <w:rPr>
                <w:szCs w:val="18"/>
              </w:rPr>
              <w:t xml:space="preserve">Other information from the survey is available on request – see further information in the </w:t>
            </w:r>
            <w:r w:rsidRPr="00B12091">
              <w:rPr>
                <w:rFonts w:cs="Arial"/>
                <w:szCs w:val="18"/>
              </w:rPr>
              <w:t>Quality Declarations - Summary</w:t>
            </w:r>
            <w:r w:rsidRPr="00F844C0">
              <w:rPr>
                <w:szCs w:val="18"/>
              </w:rPr>
              <w:t>.</w:t>
            </w:r>
          </w:p>
        </w:tc>
      </w:tr>
      <w:tr w:rsidR="007846A9" w:rsidRPr="00F844C0" w:rsidTr="00BD4765">
        <w:tblPrEx>
          <w:tblCellMar>
            <w:left w:w="108" w:type="dxa"/>
            <w:right w:w="108" w:type="dxa"/>
          </w:tblCellMar>
          <w:tblLook w:val="01E0" w:firstRow="1" w:lastRow="1" w:firstColumn="1" w:lastColumn="1" w:noHBand="0" w:noVBand="0"/>
        </w:tblPrEx>
        <w:tc>
          <w:tcPr>
            <w:tcW w:w="1022" w:type="pct"/>
            <w:gridSpan w:val="2"/>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Interpretability </w:t>
            </w:r>
          </w:p>
        </w:tc>
        <w:tc>
          <w:tcPr>
            <w:tcW w:w="3978" w:type="pct"/>
            <w:gridSpan w:val="2"/>
            <w:tcBorders>
              <w:top w:val="nil"/>
              <w:left w:val="nil"/>
              <w:bottom w:val="nil"/>
              <w:right w:val="nil"/>
            </w:tcBorders>
            <w:shd w:val="clear" w:color="auto" w:fill="auto"/>
          </w:tcPr>
          <w:p w:rsidR="00DE7B36" w:rsidRPr="00F844C0" w:rsidRDefault="00DE7B36" w:rsidP="00CA444C">
            <w:pPr>
              <w:pStyle w:val="TableBodyText"/>
              <w:shd w:val="clear" w:color="auto" w:fill="FFFFFF" w:themeFill="background1"/>
              <w:jc w:val="both"/>
            </w:pPr>
            <w:r w:rsidRPr="00F844C0">
              <w:t xml:space="preserve">Confidentiality: To minimise the risk of identifying individuals in aggregate statistics, </w:t>
            </w:r>
            <w:r w:rsidRPr="00F844C0">
              <w:lastRenderedPageBreak/>
              <w:t xml:space="preserve">in the 2012 SDAC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 </w:t>
            </w:r>
          </w:p>
          <w:p w:rsidR="00DE7B36" w:rsidRPr="00F844C0" w:rsidRDefault="00DE7B36" w:rsidP="00CA444C">
            <w:pPr>
              <w:pStyle w:val="TableBodyText"/>
              <w:shd w:val="clear" w:color="auto" w:fill="FFFFFF" w:themeFill="background1"/>
              <w:jc w:val="both"/>
            </w:pPr>
            <w:r w:rsidRPr="00F844C0">
              <w:t xml:space="preserve">After perturbation, a given published cell value will be consistent across all tables. However, adding up cell values to derive a total will not necessarily give the same result as published totals. The introduction of perturbation in publications ensures that these statistics are consistent with statistics released via services such as Table Builder. </w:t>
            </w:r>
          </w:p>
          <w:p w:rsidR="00DE7B36" w:rsidRPr="00F844C0" w:rsidRDefault="00DE7B36" w:rsidP="00CA444C">
            <w:pPr>
              <w:pStyle w:val="TableBodyText"/>
              <w:shd w:val="clear" w:color="auto" w:fill="FFFFFF" w:themeFill="background1"/>
              <w:jc w:val="both"/>
            </w:pPr>
            <w:r w:rsidRPr="00F844C0">
              <w:rPr>
                <w:szCs w:val="18"/>
              </w:rPr>
              <w:t xml:space="preserve">Information is available to aid interpretation of SDAC data in the publication, </w:t>
            </w:r>
            <w:r w:rsidRPr="00B12091">
              <w:rPr>
                <w:rFonts w:cs="Arial"/>
                <w:szCs w:val="18"/>
              </w:rPr>
              <w:t>Disability, Ageing and Carers, Australia: Summary of Findings, 2012</w:t>
            </w:r>
            <w:r w:rsidRPr="00F844C0">
              <w:rPr>
                <w:color w:val="FF0000"/>
                <w:szCs w:val="18"/>
              </w:rPr>
              <w:t xml:space="preserve">, </w:t>
            </w:r>
            <w:r w:rsidRPr="00F844C0">
              <w:rPr>
                <w:szCs w:val="18"/>
              </w:rPr>
              <w:t xml:space="preserve">on the ABS website. Detailed Explanatory Notes, a Technical note on Data Quality, and a Glossary are also included to provide information on the terminology, </w:t>
            </w:r>
            <w:r w:rsidRPr="00F844C0">
              <w:t>classifications and other technical aspects associated with these statistics.</w:t>
            </w:r>
          </w:p>
          <w:p w:rsidR="007846A9" w:rsidRPr="00F844C0" w:rsidRDefault="007846A9" w:rsidP="000441C0">
            <w:pPr>
              <w:pStyle w:val="TableBodyText"/>
              <w:keepNext w:val="0"/>
              <w:keepLines w:val="0"/>
              <w:widowControl w:val="0"/>
              <w:shd w:val="clear" w:color="auto" w:fill="FFFFFF" w:themeFill="background1"/>
              <w:jc w:val="both"/>
              <w:rPr>
                <w:rFonts w:cs="Arial"/>
              </w:rPr>
            </w:pPr>
            <w:r w:rsidRPr="00F844C0">
              <w:rPr>
                <w:rFonts w:cs="Arial"/>
              </w:rPr>
              <w:t xml:space="preserve">Further technical details are available </w:t>
            </w:r>
            <w:r w:rsidR="00C70C96" w:rsidRPr="00F844C0">
              <w:rPr>
                <w:rFonts w:cs="Arial"/>
              </w:rPr>
              <w:t xml:space="preserve">on the ABS website: </w:t>
            </w:r>
            <w:r w:rsidR="000441C0" w:rsidRPr="000441C0">
              <w:rPr>
                <w:rFonts w:cs="Arial"/>
              </w:rPr>
              <w:t>www.abs.gov.au/AUSSTATS/abs@.nsf/Latestproducts/4430.0Quality%20Declaration02012?opendocument&amp;tabname=Notes&amp;prodno=4430.0&amp;issue=2012&amp;num=&amp;view</w:t>
            </w:r>
            <w:r w:rsidR="00C70C96" w:rsidRPr="00F844C0">
              <w:rPr>
                <w:rFonts w:cs="Arial"/>
              </w:rPr>
              <w:t xml:space="preserve">= </w:t>
            </w:r>
          </w:p>
        </w:tc>
      </w:tr>
      <w:tr w:rsidR="007846A9" w:rsidRPr="00F844C0" w:rsidTr="00BD4765">
        <w:tblPrEx>
          <w:tblCellMar>
            <w:left w:w="108" w:type="dxa"/>
            <w:right w:w="108" w:type="dxa"/>
          </w:tblCellMar>
          <w:tblLook w:val="01E0" w:firstRow="1" w:lastRow="1" w:firstColumn="1" w:lastColumn="1" w:noHBand="0" w:noVBand="0"/>
        </w:tblPrEx>
        <w:tc>
          <w:tcPr>
            <w:tcW w:w="5000" w:type="pct"/>
            <w:gridSpan w:val="4"/>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jc w:val="both"/>
              <w:rPr>
                <w:b/>
              </w:rPr>
            </w:pPr>
            <w:r w:rsidRPr="00F844C0">
              <w:rPr>
                <w:b/>
                <w:u w:val="single"/>
              </w:rPr>
              <w:lastRenderedPageBreak/>
              <w:t>Data Gaps/Issues Analysis</w:t>
            </w:r>
          </w:p>
        </w:tc>
      </w:tr>
      <w:tr w:rsidR="007846A9" w:rsidRPr="00F844C0" w:rsidTr="00416BA2">
        <w:tblPrEx>
          <w:tblCellMar>
            <w:left w:w="108" w:type="dxa"/>
            <w:right w:w="108" w:type="dxa"/>
          </w:tblCellMar>
          <w:tblLook w:val="01E0" w:firstRow="1" w:lastRow="1" w:firstColumn="1" w:lastColumn="1" w:noHBand="0" w:noVBand="0"/>
        </w:tblPrEx>
        <w:tc>
          <w:tcPr>
            <w:tcW w:w="1048" w:type="pct"/>
            <w:gridSpan w:val="3"/>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spacing w:before="120"/>
              <w:ind w:left="0"/>
              <w:jc w:val="left"/>
              <w:rPr>
                <w:rFonts w:cs="Arial"/>
                <w:b/>
                <w:szCs w:val="22"/>
              </w:rPr>
            </w:pPr>
            <w:r w:rsidRPr="00F844C0">
              <w:rPr>
                <w:rFonts w:cs="Arial"/>
                <w:b/>
                <w:szCs w:val="22"/>
              </w:rPr>
              <w:t>Key data gaps/issues</w:t>
            </w:r>
          </w:p>
        </w:tc>
        <w:tc>
          <w:tcPr>
            <w:tcW w:w="3952" w:type="pct"/>
            <w:tcBorders>
              <w:top w:val="nil"/>
              <w:left w:val="nil"/>
              <w:bottom w:val="nil"/>
              <w:right w:val="nil"/>
            </w:tcBorders>
            <w:shd w:val="clear" w:color="auto" w:fill="auto"/>
          </w:tcPr>
          <w:p w:rsidR="007846A9" w:rsidRPr="00F844C0" w:rsidRDefault="007846A9" w:rsidP="00CA444C">
            <w:pPr>
              <w:pStyle w:val="TableBodyText"/>
              <w:keepNext w:val="0"/>
              <w:keepLines w:val="0"/>
              <w:widowControl w:val="0"/>
              <w:shd w:val="clear" w:color="auto" w:fill="FFFFFF" w:themeFill="background1"/>
              <w:spacing w:after="60"/>
              <w:jc w:val="both"/>
              <w:rPr>
                <w:rFonts w:cs="Arial"/>
              </w:rPr>
            </w:pPr>
            <w:r w:rsidRPr="00F844C0">
              <w:rPr>
                <w:rFonts w:cs="Arial"/>
              </w:rPr>
              <w:t>The Steering Committee notes the following issues:</w:t>
            </w:r>
          </w:p>
          <w:p w:rsidR="00DE7B36" w:rsidRPr="00F844C0" w:rsidRDefault="00CA5932" w:rsidP="00CA444C">
            <w:pPr>
              <w:pStyle w:val="TableBullet"/>
              <w:shd w:val="clear" w:color="auto" w:fill="FFFFFF" w:themeFill="background1"/>
              <w:jc w:val="both"/>
            </w:pPr>
            <w:r w:rsidRPr="00F844C0">
              <w:t>data reported for this indicator are considered comparable (subject to caveats) across jurisdictions for 2012</w:t>
            </w:r>
            <w:r w:rsidR="00DE7B36" w:rsidRPr="00F844C0">
              <w:t>. Note, however, that:</w:t>
            </w:r>
          </w:p>
          <w:p w:rsidR="00DE7B36" w:rsidRPr="00F844C0" w:rsidRDefault="00DE7B36" w:rsidP="00CA444C">
            <w:pPr>
              <w:pStyle w:val="TableBullet"/>
              <w:shd w:val="clear" w:color="auto" w:fill="FFFFFF" w:themeFill="background1"/>
              <w:ind w:left="737"/>
            </w:pPr>
            <w:r w:rsidRPr="00F844C0">
              <w:t>in the SDAC 2012, the definition of an older person changed to 65 years and over, from 60 years</w:t>
            </w:r>
          </w:p>
          <w:p w:rsidR="00DE7B36" w:rsidRPr="00F844C0" w:rsidRDefault="00DE7B36" w:rsidP="00CA444C">
            <w:pPr>
              <w:pStyle w:val="TableBullet"/>
              <w:shd w:val="clear" w:color="auto" w:fill="FFFFFF" w:themeFill="background1"/>
              <w:ind w:left="737"/>
            </w:pPr>
            <w:r w:rsidRPr="00F844C0">
              <w:t>social and community participation related data items were updated in SDAC 2012, although, social and community activities participated in away from home in the past three months for older people were not affected.</w:t>
            </w:r>
          </w:p>
          <w:p w:rsidR="00CA5932" w:rsidRPr="00F844C0" w:rsidRDefault="00CA5932" w:rsidP="00CA444C">
            <w:pPr>
              <w:pStyle w:val="TableBullet"/>
              <w:shd w:val="clear" w:color="auto" w:fill="FFFFFF" w:themeFill="background1"/>
              <w:jc w:val="both"/>
            </w:pPr>
            <w:r w:rsidRPr="00F844C0">
              <w:t>data reported for this indicator are complete for the current reporting period.</w:t>
            </w:r>
          </w:p>
        </w:tc>
      </w:tr>
    </w:tbl>
    <w:p w:rsidR="00F844C0" w:rsidRPr="00F844C0" w:rsidRDefault="00F844C0" w:rsidP="00CA444C">
      <w:pPr>
        <w:pStyle w:val="BodyText"/>
        <w:shd w:val="clear" w:color="auto" w:fill="FFFFFF" w:themeFill="background1"/>
        <w:rPr>
          <w:rFonts w:ascii="Arial" w:hAnsi="Arial"/>
          <w:sz w:val="26"/>
        </w:rPr>
      </w:pPr>
      <w:r w:rsidRPr="00F844C0">
        <w:br w:type="page"/>
      </w:r>
    </w:p>
    <w:p w:rsidR="00A420D4" w:rsidRPr="00F844C0" w:rsidRDefault="00370A5F" w:rsidP="00CA444C">
      <w:pPr>
        <w:pStyle w:val="Heading2nosectionno"/>
        <w:shd w:val="clear" w:color="auto" w:fill="FFFFFF" w:themeFill="background1"/>
        <w:rPr>
          <w:szCs w:val="24"/>
        </w:rPr>
      </w:pPr>
      <w:bookmarkStart w:id="23" w:name="_Toc404867667"/>
      <w:r w:rsidRPr="00F844C0">
        <w:rPr>
          <w:szCs w:val="24"/>
        </w:rPr>
        <w:lastRenderedPageBreak/>
        <w:t>Quality of life</w:t>
      </w:r>
      <w:r w:rsidR="008B4FA4">
        <w:rPr>
          <w:szCs w:val="24"/>
        </w:rPr>
        <w:t xml:space="preserve"> of </w:t>
      </w:r>
      <w:r w:rsidR="008B4FA4" w:rsidRPr="00CA444C">
        <w:rPr>
          <w:szCs w:val="24"/>
          <w:shd w:val="clear" w:color="auto" w:fill="FFFFFF" w:themeFill="background1"/>
        </w:rPr>
        <w:t>p</w:t>
      </w:r>
      <w:r w:rsidR="008B4FA4" w:rsidRPr="00CA444C">
        <w:rPr>
          <w:shd w:val="clear" w:color="auto" w:fill="FFFFFF" w:themeFill="background1"/>
        </w:rPr>
        <w:t>eople with disability</w:t>
      </w:r>
      <w:bookmarkEnd w:id="23"/>
    </w:p>
    <w:p w:rsidR="00A420D4" w:rsidRPr="00F844C0" w:rsidRDefault="00A420D4"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FE77C0">
        <w:rPr>
          <w:rFonts w:ascii="Arial" w:hAnsi="Arial" w:cs="Arial"/>
          <w:sz w:val="22"/>
          <w:szCs w:val="22"/>
        </w:rPr>
        <w:t>the Report’s</w:t>
      </w:r>
      <w:r w:rsidR="00FE77C0" w:rsidRPr="00F844C0">
        <w:rPr>
          <w:rFonts w:ascii="Arial" w:hAnsi="Arial" w:cs="Arial"/>
          <w:sz w:val="22"/>
          <w:szCs w:val="22"/>
        </w:rPr>
        <w:t xml:space="preserve"> </w:t>
      </w:r>
      <w:r w:rsidRPr="00F844C0">
        <w:rPr>
          <w:rFonts w:ascii="Arial" w:hAnsi="Arial" w:cs="Arial"/>
          <w:sz w:val="22"/>
          <w:szCs w:val="22"/>
        </w:rPr>
        <w:t xml:space="preserve">community service working groups. </w:t>
      </w:r>
    </w:p>
    <w:tbl>
      <w:tblPr>
        <w:tblW w:w="5000" w:type="pct"/>
        <w:tblLayout w:type="fixed"/>
        <w:tblCellMar>
          <w:left w:w="0" w:type="dxa"/>
          <w:right w:w="0" w:type="dxa"/>
        </w:tblCellMar>
        <w:tblLook w:val="0000" w:firstRow="0" w:lastRow="0" w:firstColumn="0" w:lastColumn="0" w:noHBand="0" w:noVBand="0"/>
      </w:tblPr>
      <w:tblGrid>
        <w:gridCol w:w="1702"/>
        <w:gridCol w:w="49"/>
        <w:gridCol w:w="7038"/>
      </w:tblGrid>
      <w:tr w:rsidR="00A420D4" w:rsidRPr="00F844C0" w:rsidTr="00BD4765">
        <w:tc>
          <w:tcPr>
            <w:tcW w:w="5000" w:type="pct"/>
            <w:gridSpan w:val="3"/>
          </w:tcPr>
          <w:p w:rsidR="00A420D4" w:rsidRPr="00F844C0" w:rsidRDefault="00A420D4" w:rsidP="00CA444C">
            <w:pPr>
              <w:pStyle w:val="TableBodyText"/>
              <w:keepNext w:val="0"/>
              <w:keepLines w:val="0"/>
              <w:widowControl w:val="0"/>
              <w:shd w:val="clear" w:color="auto" w:fill="FFFFFF" w:themeFill="background1"/>
              <w:jc w:val="both"/>
              <w:rPr>
                <w:b/>
                <w:u w:val="single"/>
              </w:rPr>
            </w:pPr>
          </w:p>
          <w:p w:rsidR="00A420D4" w:rsidRPr="00F844C0" w:rsidRDefault="00A420D4" w:rsidP="00CA444C">
            <w:pPr>
              <w:pStyle w:val="TableBodyText"/>
              <w:keepNext w:val="0"/>
              <w:keepLines w:val="0"/>
              <w:widowControl w:val="0"/>
              <w:shd w:val="clear" w:color="auto" w:fill="FFFFFF" w:themeFill="background1"/>
              <w:jc w:val="both"/>
            </w:pPr>
            <w:r w:rsidRPr="00F844C0">
              <w:rPr>
                <w:b/>
                <w:u w:val="single"/>
              </w:rPr>
              <w:t>Indicator definition and description</w:t>
            </w:r>
            <w:r w:rsidRPr="00F844C0">
              <w:rPr>
                <w:rFonts w:cs="Arial"/>
                <w:b/>
                <w:sz w:val="22"/>
                <w:szCs w:val="22"/>
                <w:u w:val="single"/>
              </w:rPr>
              <w:t xml:space="preserve"> </w:t>
            </w:r>
          </w:p>
        </w:tc>
      </w:tr>
      <w:tr w:rsidR="00A420D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Element</w:t>
            </w:r>
          </w:p>
        </w:tc>
        <w:tc>
          <w:tcPr>
            <w:tcW w:w="4004" w:type="pct"/>
            <w:tcBorders>
              <w:top w:val="nil"/>
              <w:left w:val="nil"/>
              <w:bottom w:val="nil"/>
              <w:right w:val="nil"/>
            </w:tcBorders>
            <w:shd w:val="clear" w:color="auto" w:fill="auto"/>
          </w:tcPr>
          <w:p w:rsidR="00A420D4" w:rsidRPr="00F844C0" w:rsidRDefault="007846A9" w:rsidP="00CA444C">
            <w:pPr>
              <w:pStyle w:val="TableBodyText"/>
              <w:keepNext w:val="0"/>
              <w:keepLines w:val="0"/>
              <w:widowControl w:val="0"/>
              <w:shd w:val="clear" w:color="auto" w:fill="FFFFFF" w:themeFill="background1"/>
              <w:jc w:val="both"/>
              <w:rPr>
                <w:rFonts w:cs="Arial"/>
              </w:rPr>
            </w:pPr>
            <w:r w:rsidRPr="00F844C0">
              <w:rPr>
                <w:rFonts w:cs="Arial"/>
              </w:rPr>
              <w:t>Sector</w:t>
            </w:r>
            <w:r w:rsidR="002A0059">
              <w:rPr>
                <w:rFonts w:cs="Arial"/>
              </w:rPr>
              <w:noBreakHyphen/>
            </w:r>
            <w:r w:rsidRPr="00F844C0">
              <w:rPr>
                <w:rFonts w:cs="Arial"/>
              </w:rPr>
              <w:t>wide indicator</w:t>
            </w:r>
          </w:p>
        </w:tc>
      </w:tr>
      <w:tr w:rsidR="00A420D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Indicator </w:t>
            </w:r>
          </w:p>
        </w:tc>
        <w:tc>
          <w:tcPr>
            <w:tcW w:w="4004" w:type="pct"/>
            <w:tcBorders>
              <w:top w:val="nil"/>
              <w:left w:val="nil"/>
              <w:bottom w:val="nil"/>
              <w:right w:val="nil"/>
            </w:tcBorders>
            <w:shd w:val="clear" w:color="auto" w:fill="auto"/>
          </w:tcPr>
          <w:p w:rsidR="00A420D4" w:rsidRPr="00F844C0" w:rsidRDefault="007846A9" w:rsidP="00CA444C">
            <w:pPr>
              <w:pStyle w:val="TableBodyText"/>
              <w:keepNext w:val="0"/>
              <w:keepLines w:val="0"/>
              <w:widowControl w:val="0"/>
              <w:shd w:val="clear" w:color="auto" w:fill="FFFFFF" w:themeFill="background1"/>
              <w:jc w:val="both"/>
              <w:rPr>
                <w:szCs w:val="18"/>
              </w:rPr>
            </w:pPr>
            <w:r w:rsidRPr="00F844C0">
              <w:rPr>
                <w:rFonts w:cs="Arial"/>
                <w:szCs w:val="18"/>
              </w:rPr>
              <w:t>Quality of life</w:t>
            </w:r>
          </w:p>
        </w:tc>
      </w:tr>
      <w:tr w:rsidR="00A420D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Measure (computation)</w:t>
            </w:r>
          </w:p>
        </w:tc>
        <w:tc>
          <w:tcPr>
            <w:tcW w:w="4004"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Definition:</w:t>
            </w:r>
          </w:p>
          <w:p w:rsidR="007846A9" w:rsidRPr="00F844C0" w:rsidRDefault="007846A9" w:rsidP="00CA444C">
            <w:pPr>
              <w:pStyle w:val="TableBodyText"/>
              <w:keepNext w:val="0"/>
              <w:keepLines w:val="0"/>
              <w:widowControl w:val="0"/>
              <w:shd w:val="clear" w:color="auto" w:fill="FFFFFF" w:themeFill="background1"/>
              <w:spacing w:after="60"/>
              <w:jc w:val="both"/>
              <w:rPr>
                <w:rFonts w:cs="Arial"/>
                <w:szCs w:val="18"/>
              </w:rPr>
            </w:pPr>
            <w:r w:rsidRPr="00F844C0">
              <w:rPr>
                <w:rFonts w:cs="Arial"/>
                <w:szCs w:val="18"/>
              </w:rPr>
              <w:t>Quality of life</w:t>
            </w:r>
            <w:r w:rsidR="00DD62D7">
              <w:rPr>
                <w:rFonts w:cs="Arial"/>
                <w:szCs w:val="18"/>
              </w:rPr>
              <w:t xml:space="preserve"> </w:t>
            </w:r>
            <w:r w:rsidR="00DD62D7" w:rsidRPr="00CA444C">
              <w:rPr>
                <w:szCs w:val="24"/>
                <w:shd w:val="clear" w:color="auto" w:fill="FFFFFF" w:themeFill="background1"/>
              </w:rPr>
              <w:t>p</w:t>
            </w:r>
            <w:r w:rsidR="00DD62D7" w:rsidRPr="00CA444C">
              <w:rPr>
                <w:shd w:val="clear" w:color="auto" w:fill="FFFFFF" w:themeFill="background1"/>
              </w:rPr>
              <w:t>eople with disability</w:t>
            </w:r>
            <w:r w:rsidRPr="00F844C0">
              <w:rPr>
                <w:rFonts w:cs="Arial"/>
                <w:szCs w:val="18"/>
              </w:rPr>
              <w:t xml:space="preserve"> is </w:t>
            </w:r>
            <w:r w:rsidR="00DE7B36" w:rsidRPr="00F844C0">
              <w:rPr>
                <w:rFonts w:cs="Arial"/>
                <w:szCs w:val="18"/>
              </w:rPr>
              <w:t>defined as overall life satisfaction of people with disability or long</w:t>
            </w:r>
            <w:r w:rsidR="002A0059">
              <w:rPr>
                <w:rFonts w:cs="Arial"/>
                <w:szCs w:val="18"/>
              </w:rPr>
              <w:noBreakHyphen/>
            </w:r>
            <w:r w:rsidR="00DE7B36" w:rsidRPr="00F844C0">
              <w:rPr>
                <w:rFonts w:cs="Arial"/>
                <w:szCs w:val="18"/>
              </w:rPr>
              <w:t xml:space="preserve">term health condition, and is </w:t>
            </w:r>
            <w:r w:rsidRPr="00F844C0">
              <w:rPr>
                <w:rFonts w:cs="Arial"/>
                <w:szCs w:val="18"/>
              </w:rPr>
              <w:t xml:space="preserve">measured as the proportion of people with disability </w:t>
            </w:r>
            <w:r w:rsidR="00DE7B36" w:rsidRPr="00F844C0">
              <w:rPr>
                <w:rFonts w:cs="Arial"/>
                <w:szCs w:val="18"/>
              </w:rPr>
              <w:t>or long</w:t>
            </w:r>
            <w:r w:rsidR="002A0059">
              <w:rPr>
                <w:rFonts w:cs="Arial"/>
                <w:szCs w:val="18"/>
              </w:rPr>
              <w:noBreakHyphen/>
            </w:r>
            <w:r w:rsidR="00DE7B36" w:rsidRPr="00F844C0">
              <w:rPr>
                <w:rFonts w:cs="Arial"/>
                <w:szCs w:val="18"/>
              </w:rPr>
              <w:t xml:space="preserve">term health condition </w:t>
            </w:r>
            <w:r w:rsidRPr="00F844C0">
              <w:rPr>
                <w:rFonts w:cs="Arial"/>
                <w:szCs w:val="18"/>
              </w:rPr>
              <w:t>who were at least mostly satisfied with their lives.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u w:val="single"/>
              </w:rPr>
              <w:t>Numerators</w:t>
            </w:r>
            <w:r w:rsidRPr="00F844C0">
              <w:rPr>
                <w:rFonts w:ascii="Arial" w:hAnsi="Arial" w:cs="Arial"/>
                <w:sz w:val="18"/>
                <w:szCs w:val="18"/>
              </w:rPr>
              <w:t xml:space="preserve">: </w:t>
            </w:r>
          </w:p>
          <w:p w:rsidR="007846A9" w:rsidRPr="00F844C0" w:rsidRDefault="007846A9"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 xml:space="preserve">The number of people </w:t>
            </w:r>
            <w:r w:rsidR="00DE7B36" w:rsidRPr="00F844C0">
              <w:rPr>
                <w:rFonts w:ascii="Arial" w:hAnsi="Arial" w:cs="Arial"/>
                <w:sz w:val="18"/>
                <w:szCs w:val="18"/>
              </w:rPr>
              <w:t xml:space="preserve">aged 18 years and over </w:t>
            </w:r>
            <w:r w:rsidRPr="00F844C0">
              <w:rPr>
                <w:rFonts w:ascii="Arial" w:hAnsi="Arial" w:cs="Arial"/>
                <w:sz w:val="18"/>
                <w:szCs w:val="18"/>
              </w:rPr>
              <w:t xml:space="preserve">with disability </w:t>
            </w:r>
            <w:r w:rsidR="00DE7B36" w:rsidRPr="00F844C0">
              <w:rPr>
                <w:rFonts w:ascii="Arial" w:hAnsi="Arial" w:cs="Arial"/>
                <w:sz w:val="18"/>
                <w:szCs w:val="18"/>
              </w:rPr>
              <w:t>or a long</w:t>
            </w:r>
            <w:r w:rsidR="002A0059">
              <w:rPr>
                <w:rFonts w:ascii="Arial" w:hAnsi="Arial" w:cs="Arial"/>
                <w:sz w:val="18"/>
                <w:szCs w:val="18"/>
              </w:rPr>
              <w:noBreakHyphen/>
            </w:r>
            <w:r w:rsidR="00DE7B36" w:rsidRPr="00F844C0">
              <w:rPr>
                <w:rFonts w:ascii="Arial" w:hAnsi="Arial" w:cs="Arial"/>
                <w:sz w:val="18"/>
                <w:szCs w:val="18"/>
              </w:rPr>
              <w:t xml:space="preserve">term health condition </w:t>
            </w:r>
            <w:r w:rsidRPr="00F844C0">
              <w:rPr>
                <w:rFonts w:ascii="Arial" w:hAnsi="Arial" w:cs="Arial"/>
                <w:sz w:val="18"/>
                <w:szCs w:val="18"/>
              </w:rPr>
              <w:t>who were at least mostly satisfied with their lives.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7846A9" w:rsidRPr="00F844C0" w:rsidRDefault="007846A9"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 xml:space="preserve">The total number of people </w:t>
            </w:r>
            <w:r w:rsidR="00DE7B36" w:rsidRPr="00F844C0">
              <w:rPr>
                <w:rFonts w:ascii="Arial" w:hAnsi="Arial" w:cs="Arial"/>
                <w:sz w:val="18"/>
                <w:szCs w:val="18"/>
              </w:rPr>
              <w:t xml:space="preserve">aged 18 years and over </w:t>
            </w:r>
            <w:r w:rsidRPr="00F844C0">
              <w:rPr>
                <w:rFonts w:ascii="Arial" w:hAnsi="Arial" w:cs="Arial"/>
                <w:sz w:val="18"/>
                <w:szCs w:val="18"/>
              </w:rPr>
              <w:t xml:space="preserve">with a </w:t>
            </w:r>
            <w:r w:rsidR="00DE7B36" w:rsidRPr="00F844C0">
              <w:rPr>
                <w:rFonts w:ascii="Arial" w:hAnsi="Arial" w:cs="Arial"/>
                <w:sz w:val="18"/>
                <w:szCs w:val="18"/>
              </w:rPr>
              <w:t>disability or long</w:t>
            </w:r>
            <w:r w:rsidR="002A0059">
              <w:rPr>
                <w:rFonts w:ascii="Arial" w:hAnsi="Arial" w:cs="Arial"/>
                <w:sz w:val="18"/>
                <w:szCs w:val="18"/>
              </w:rPr>
              <w:noBreakHyphen/>
            </w:r>
            <w:r w:rsidR="00DE7B36" w:rsidRPr="00F844C0">
              <w:rPr>
                <w:rFonts w:ascii="Arial" w:hAnsi="Arial" w:cs="Arial"/>
                <w:sz w:val="18"/>
                <w:szCs w:val="18"/>
              </w:rPr>
              <w:t xml:space="preserve">term health condition </w:t>
            </w:r>
            <w:r w:rsidRPr="00F844C0">
              <w:rPr>
                <w:rFonts w:ascii="Arial" w:hAnsi="Arial" w:cs="Arial"/>
                <w:sz w:val="18"/>
                <w:szCs w:val="18"/>
              </w:rPr>
              <w:t>who provided a response to this survey item</w:t>
            </w:r>
            <w:r w:rsidR="00DE7B36" w:rsidRPr="00F844C0">
              <w:rPr>
                <w:rFonts w:ascii="Arial" w:hAnsi="Arial" w:cs="Arial"/>
                <w:sz w:val="18"/>
                <w:szCs w:val="18"/>
              </w:rPr>
              <w:t xml:space="preserve"> (i.e., the denominator excludes respondents who did not provide a response or who did not know how they felt)</w:t>
            </w:r>
            <w:r w:rsidRPr="00F844C0">
              <w:rPr>
                <w:rFonts w:ascii="Arial" w:hAnsi="Arial" w:cs="Arial"/>
                <w:sz w:val="18"/>
                <w:szCs w:val="18"/>
              </w:rPr>
              <w:t>.</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Computation:</w:t>
            </w:r>
          </w:p>
          <w:p w:rsidR="00A420D4" w:rsidRPr="00F844C0" w:rsidRDefault="00A420D4"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Expressed as a percentage. Calculation is: (Numerator </w:t>
            </w:r>
            <w:r w:rsidRPr="00F844C0">
              <w:rPr>
                <w:rFonts w:cs="Arial"/>
                <w:szCs w:val="18"/>
              </w:rPr>
              <w:sym w:font="Symbol" w:char="F0B8"/>
            </w:r>
            <w:r w:rsidRPr="00F844C0">
              <w:rPr>
                <w:rFonts w:cs="Arial"/>
                <w:szCs w:val="18"/>
              </w:rPr>
              <w:t xml:space="preserve"> Denominator) x 100.</w:t>
            </w:r>
          </w:p>
        </w:tc>
      </w:tr>
      <w:tr w:rsidR="00A420D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Data source/s</w:t>
            </w:r>
          </w:p>
        </w:tc>
        <w:tc>
          <w:tcPr>
            <w:tcW w:w="4004"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 xml:space="preserve">Numerators: </w:t>
            </w:r>
          </w:p>
          <w:p w:rsidR="00A420D4" w:rsidRPr="00F844C0" w:rsidRDefault="00A420D4"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00082179" w:rsidRPr="00F844C0">
              <w:rPr>
                <w:rFonts w:cs="Arial"/>
                <w:i/>
                <w:szCs w:val="18"/>
              </w:rPr>
              <w:t>General Social Survey 2010</w:t>
            </w:r>
            <w:r w:rsidR="00082179" w:rsidRPr="00F844C0">
              <w:rPr>
                <w:rFonts w:cs="Arial"/>
                <w:szCs w:val="18"/>
              </w:rPr>
              <w:t>, cat. no. 4159.0, Canberra.</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A420D4" w:rsidRPr="00F844C0" w:rsidRDefault="00A420D4"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Australian Bureau of Statistics,</w:t>
            </w:r>
            <w:r w:rsidR="00082179" w:rsidRPr="00F844C0">
              <w:rPr>
                <w:rFonts w:cs="Arial"/>
                <w:szCs w:val="18"/>
              </w:rPr>
              <w:t xml:space="preserve"> </w:t>
            </w:r>
            <w:r w:rsidR="00082179" w:rsidRPr="00F844C0">
              <w:rPr>
                <w:rFonts w:cs="Arial"/>
                <w:i/>
                <w:szCs w:val="18"/>
              </w:rPr>
              <w:t>General Social Survey 2010</w:t>
            </w:r>
            <w:r w:rsidR="00082179" w:rsidRPr="00F844C0">
              <w:rPr>
                <w:rFonts w:cs="Arial"/>
                <w:szCs w:val="18"/>
              </w:rPr>
              <w:t>, cat. no. 4159.0, Canberra.</w:t>
            </w:r>
          </w:p>
        </w:tc>
      </w:tr>
      <w:tr w:rsidR="00A420D4" w:rsidRPr="00F844C0" w:rsidTr="00BD4765">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jc w:val="both"/>
              <w:rPr>
                <w:rFonts w:cs="Arial"/>
                <w:b/>
                <w:u w:val="single"/>
              </w:rPr>
            </w:pPr>
            <w:r w:rsidRPr="00F844C0">
              <w:rPr>
                <w:b/>
                <w:u w:val="single"/>
              </w:rPr>
              <w:t>Data Quality Framework Dimensions</w:t>
            </w:r>
            <w:r w:rsidRPr="00F844C0">
              <w:rPr>
                <w:rFonts w:cs="Arial"/>
                <w:b/>
                <w:u w:val="single"/>
              </w:rPr>
              <w:t xml:space="preserve"> </w:t>
            </w:r>
          </w:p>
        </w:tc>
      </w:tr>
      <w:tr w:rsidR="00082179"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082179" w:rsidRPr="00F844C0" w:rsidRDefault="00082179"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Institutional environment </w:t>
            </w:r>
          </w:p>
        </w:tc>
        <w:tc>
          <w:tcPr>
            <w:tcW w:w="4004" w:type="pct"/>
            <w:tcBorders>
              <w:top w:val="nil"/>
              <w:left w:val="nil"/>
              <w:bottom w:val="nil"/>
              <w:right w:val="nil"/>
            </w:tcBorders>
            <w:shd w:val="clear" w:color="auto" w:fill="auto"/>
          </w:tcPr>
          <w:p w:rsidR="00082179" w:rsidRPr="00F844C0" w:rsidRDefault="00DE7B36" w:rsidP="000441C0">
            <w:pPr>
              <w:pStyle w:val="TableBodyText"/>
              <w:keepNext w:val="0"/>
              <w:keepLines w:val="0"/>
              <w:widowControl w:val="0"/>
              <w:shd w:val="clear" w:color="auto" w:fill="FFFFFF" w:themeFill="background1"/>
              <w:jc w:val="both"/>
              <w:rPr>
                <w:rFonts w:cs="Arial"/>
              </w:rPr>
            </w:pPr>
            <w:r w:rsidRPr="00F844C0">
              <w:rPr>
                <w:rFonts w:cs="Arial"/>
              </w:rPr>
              <w:t xml:space="preserve">The General Social Survey (GSS) is collected, processed, and published by the Australian Bureau of Statistics (ABS). The ABS operates within the framework of the </w:t>
            </w:r>
            <w:r w:rsidRPr="008B4FA4">
              <w:rPr>
                <w:rFonts w:cs="Arial"/>
                <w:i/>
              </w:rPr>
              <w:t>Census and Statistics Act 1905</w:t>
            </w:r>
            <w:r w:rsidRPr="00F844C0">
              <w:rPr>
                <w:rFonts w:cs="Arial"/>
              </w:rPr>
              <w:t xml:space="preserve"> and the </w:t>
            </w:r>
            <w:r w:rsidRPr="008B4FA4">
              <w:rPr>
                <w:rFonts w:cs="Arial"/>
                <w:i/>
              </w:rPr>
              <w:t>Australian Bureau of Statistics Act 1975</w:t>
            </w:r>
            <w:r w:rsidRPr="00F844C0">
              <w:rPr>
                <w:rFonts w:cs="Arial"/>
              </w:rPr>
              <w:t xml:space="preserve">. These ensure the independence and impartiality of the ABS, and the confidentiality of respondents. </w:t>
            </w:r>
            <w:r w:rsidRPr="00F844C0">
              <w:t>For information on the institutional environment of the ABS, including the legislative obligations of the ABS, which cover this collection, please see ABS Institutional Environment (</w:t>
            </w:r>
            <w:r w:rsidR="000441C0">
              <w:t>www.</w:t>
            </w:r>
            <w:r w:rsidR="00DD62D7" w:rsidRPr="000441C0">
              <w:t xml:space="preserve">abs.gov.au/Ausstats/abs@.nsf/Latestproducts/4402.0Quality%20Declaration0June%202011?opendocument&amp;tabname=Notes&amp;prodno=4402.0&amp;issue=June%202011&amp;num=&amp;view=). </w:t>
            </w:r>
          </w:p>
        </w:tc>
      </w:tr>
      <w:tr w:rsidR="00A420D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Relevance </w:t>
            </w:r>
          </w:p>
        </w:tc>
        <w:tc>
          <w:tcPr>
            <w:tcW w:w="4004" w:type="pct"/>
            <w:tcBorders>
              <w:top w:val="nil"/>
              <w:left w:val="nil"/>
              <w:bottom w:val="nil"/>
              <w:right w:val="nil"/>
            </w:tcBorders>
            <w:shd w:val="clear" w:color="auto" w:fill="auto"/>
          </w:tcPr>
          <w:p w:rsidR="00A420D4" w:rsidRPr="00F844C0" w:rsidRDefault="00C70C96" w:rsidP="00CA444C">
            <w:pPr>
              <w:pStyle w:val="TableBodyText"/>
              <w:keepNext w:val="0"/>
              <w:keepLines w:val="0"/>
              <w:widowControl w:val="0"/>
              <w:shd w:val="clear" w:color="auto" w:fill="FFFFFF" w:themeFill="background1"/>
              <w:jc w:val="both"/>
              <w:rPr>
                <w:rFonts w:cs="Arial"/>
              </w:rPr>
            </w:pPr>
            <w:r w:rsidRPr="00F844C0">
              <w:rPr>
                <w:rFonts w:cs="Arial"/>
              </w:rPr>
              <w:t>Quality of life</w:t>
            </w:r>
            <w:r w:rsidR="00082179" w:rsidRPr="00F844C0">
              <w:rPr>
                <w:rFonts w:cs="Arial"/>
              </w:rPr>
              <w:t xml:space="preserve"> </w:t>
            </w:r>
            <w:r w:rsidR="00DD62D7" w:rsidRPr="00CA444C">
              <w:rPr>
                <w:szCs w:val="24"/>
                <w:shd w:val="clear" w:color="auto" w:fill="FFFFFF" w:themeFill="background1"/>
              </w:rPr>
              <w:t>p</w:t>
            </w:r>
            <w:r w:rsidR="00DD62D7" w:rsidRPr="00CA444C">
              <w:rPr>
                <w:shd w:val="clear" w:color="auto" w:fill="FFFFFF" w:themeFill="background1"/>
              </w:rPr>
              <w:t>eople with disability</w:t>
            </w:r>
            <w:r w:rsidR="00DD62D7" w:rsidRPr="00F844C0">
              <w:rPr>
                <w:rFonts w:cs="Arial"/>
                <w:szCs w:val="18"/>
              </w:rPr>
              <w:t xml:space="preserve"> </w:t>
            </w:r>
            <w:r w:rsidR="00082179" w:rsidRPr="00F844C0">
              <w:rPr>
                <w:rFonts w:cs="Arial"/>
              </w:rPr>
              <w:t>is an indicator of governments’ objective for people with disability and their carers to have an enhanced quality of life and participate as valued members of the community.</w:t>
            </w:r>
          </w:p>
          <w:p w:rsidR="00415720" w:rsidRPr="00F844C0" w:rsidRDefault="00415720" w:rsidP="00CA444C">
            <w:pPr>
              <w:pStyle w:val="TableBodyText"/>
              <w:widowControl w:val="0"/>
              <w:shd w:val="clear" w:color="auto" w:fill="FFFFFF" w:themeFill="background1"/>
              <w:jc w:val="both"/>
              <w:rPr>
                <w:rFonts w:cs="Arial"/>
              </w:rPr>
            </w:pPr>
            <w:r w:rsidRPr="00F844C0">
              <w:rPr>
                <w:rFonts w:cs="Arial"/>
              </w:rPr>
              <w:t>Overall life satisfaction is a summary measure of subjective wellbeing against a scale ranging from delighted to terrible. It measures a person's perceived level of life satisfaction in general and doesn't take into account specific illnesses or problems the person may have. For the purpose of this indicator, people who were at least mostly satisfied with their lives are defined as those who said they were Delighted, Pleased or Mostly Satisfied.</w:t>
            </w:r>
          </w:p>
          <w:p w:rsidR="00415720" w:rsidRPr="00F844C0" w:rsidRDefault="00415720" w:rsidP="00CA444C">
            <w:pPr>
              <w:pStyle w:val="TableBodyText"/>
              <w:keepNext w:val="0"/>
              <w:keepLines w:val="0"/>
              <w:widowControl w:val="0"/>
              <w:shd w:val="clear" w:color="auto" w:fill="FFFFFF" w:themeFill="background1"/>
              <w:jc w:val="both"/>
              <w:rPr>
                <w:rFonts w:cs="Arial"/>
              </w:rPr>
            </w:pPr>
            <w:r w:rsidRPr="00F844C0">
              <w:rPr>
                <w:rFonts w:cs="Arial"/>
              </w:rPr>
              <w:t>Respondents who did not provide a response or who did not know how they felt have been excluded from the denominator. This group accounts for 0.5 per cent of people with disability or long</w:t>
            </w:r>
            <w:r w:rsidR="002A0059">
              <w:rPr>
                <w:rFonts w:cs="Arial"/>
              </w:rPr>
              <w:noBreakHyphen/>
            </w:r>
            <w:r w:rsidRPr="00F844C0">
              <w:rPr>
                <w:rFonts w:cs="Arial"/>
              </w:rPr>
              <w:t>term health condition.</w:t>
            </w:r>
          </w:p>
          <w:p w:rsidR="00801E14" w:rsidRPr="00F844C0" w:rsidRDefault="00801E14" w:rsidP="00CA444C">
            <w:pPr>
              <w:pStyle w:val="TableBodyText"/>
              <w:keepNext w:val="0"/>
              <w:keepLines w:val="0"/>
              <w:widowControl w:val="0"/>
              <w:shd w:val="clear" w:color="auto" w:fill="FFFFFF" w:themeFill="background1"/>
              <w:jc w:val="both"/>
              <w:rPr>
                <w:rFonts w:cs="Arial"/>
              </w:rPr>
            </w:pPr>
            <w:r w:rsidRPr="00F844C0">
              <w:rPr>
                <w:rFonts w:cs="Arial"/>
              </w:rPr>
              <w:t>A disability or long</w:t>
            </w:r>
            <w:r w:rsidR="002A0059">
              <w:rPr>
                <w:rFonts w:cs="Arial"/>
              </w:rPr>
              <w:noBreakHyphen/>
            </w:r>
            <w:r w:rsidRPr="00F844C0">
              <w:rPr>
                <w:rFonts w:cs="Arial"/>
              </w:rPr>
              <w:t>term health condition exists if a limitation, restriction, impairment, disease or disorder, had lasted, or was likely to last for at least six months, and which restricted everyday activities. For further details on the definition of disability or long</w:t>
            </w:r>
            <w:r w:rsidR="002A0059">
              <w:rPr>
                <w:rFonts w:cs="Arial"/>
              </w:rPr>
              <w:noBreakHyphen/>
            </w:r>
            <w:r w:rsidRPr="00F844C0">
              <w:rPr>
                <w:rFonts w:cs="Arial"/>
              </w:rPr>
              <w:t>term health condition in the GSS, refer to the Glossa</w:t>
            </w:r>
            <w:r w:rsidRPr="00F844C0">
              <w:rPr>
                <w:rFonts w:cs="Arial"/>
                <w:szCs w:val="18"/>
              </w:rPr>
              <w:t xml:space="preserve">ry in </w:t>
            </w:r>
            <w:r w:rsidRPr="00B12091">
              <w:rPr>
                <w:rFonts w:cs="Arial"/>
              </w:rPr>
              <w:t xml:space="preserve">General Social </w:t>
            </w:r>
            <w:r w:rsidRPr="00B12091">
              <w:rPr>
                <w:rFonts w:cs="Arial"/>
              </w:rPr>
              <w:lastRenderedPageBreak/>
              <w:t>Survey: Summary Results, Australia, 2010</w:t>
            </w:r>
            <w:r w:rsidRPr="00F844C0">
              <w:rPr>
                <w:rStyle w:val="Hyperlink"/>
              </w:rPr>
              <w:t>.</w:t>
            </w:r>
          </w:p>
        </w:tc>
      </w:tr>
      <w:tr w:rsidR="00801E1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ind w:left="0"/>
              <w:jc w:val="left"/>
              <w:rPr>
                <w:rFonts w:cs="Arial"/>
                <w:b/>
              </w:rPr>
            </w:pPr>
            <w:r w:rsidRPr="00F844C0">
              <w:rPr>
                <w:rFonts w:cs="Arial"/>
                <w:b/>
              </w:rPr>
              <w:lastRenderedPageBreak/>
              <w:t>Timeliness</w:t>
            </w:r>
            <w:r w:rsidRPr="00F844C0">
              <w:rPr>
                <w:rFonts w:cs="Arial"/>
                <w:lang w:val="en-US" w:eastAsia="en-US"/>
              </w:rPr>
              <w:t xml:space="preserve"> </w:t>
            </w:r>
          </w:p>
        </w:tc>
        <w:tc>
          <w:tcPr>
            <w:tcW w:w="4004" w:type="pct"/>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jc w:val="both"/>
              <w:rPr>
                <w:rFonts w:cs="Arial"/>
              </w:rPr>
            </w:pPr>
            <w:r w:rsidRPr="00F844C0">
              <w:rPr>
                <w:rFonts w:cs="Arial"/>
              </w:rPr>
              <w:t>The indicator is enumerated by data from the GSS. The most recently available GSS data are from 2010. The 2010 GSS is the third in the series, with the first GSS conducted in 2002, and again in 2006. The ABS 2010 GSS collected information for the first time about how people aged 18 years and over felt about their life as a whole using a scale of Delighted, Pleased, Mostly Satisfied, Mixed, Mostly Dissatisfied, Unhappy and Terrible. It is planned to repeat the survey at regular intervals (currently four</w:t>
            </w:r>
            <w:r w:rsidR="002A0059">
              <w:rPr>
                <w:rFonts w:cs="Arial"/>
              </w:rPr>
              <w:noBreakHyphen/>
            </w:r>
            <w:r w:rsidRPr="00F844C0">
              <w:rPr>
                <w:rFonts w:cs="Arial"/>
              </w:rPr>
              <w:t>yearly). Each cycle of the GSS collects comparable information to allow for analysis of changes over time. A cyclical component is also included to collect additional information on emerging or important topics of social concern. The cyclical component of the 2010 GSS included new topics relating to social inclusion, such as experience of homelessness and financial resilience and exclusion.</w:t>
            </w:r>
          </w:p>
        </w:tc>
      </w:tr>
      <w:tr w:rsidR="00801E1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Accuracy </w:t>
            </w:r>
          </w:p>
        </w:tc>
        <w:tc>
          <w:tcPr>
            <w:tcW w:w="4004" w:type="pct"/>
            <w:tcBorders>
              <w:top w:val="nil"/>
              <w:left w:val="nil"/>
              <w:bottom w:val="nil"/>
              <w:right w:val="nil"/>
            </w:tcBorders>
            <w:shd w:val="clear" w:color="auto" w:fill="auto"/>
          </w:tcPr>
          <w:p w:rsidR="00801E14" w:rsidRPr="00F844C0" w:rsidRDefault="00801E14" w:rsidP="00CA444C">
            <w:pPr>
              <w:pStyle w:val="TableBodyText"/>
              <w:widowControl w:val="0"/>
              <w:shd w:val="clear" w:color="auto" w:fill="FFFFFF" w:themeFill="background1"/>
              <w:jc w:val="both"/>
              <w:rPr>
                <w:rFonts w:cs="Arial"/>
              </w:rPr>
            </w:pPr>
            <w:r w:rsidRPr="00F844C0">
              <w:rPr>
                <w:rFonts w:cs="Arial"/>
              </w:rPr>
              <w:t xml:space="preserve">Sample and </w:t>
            </w:r>
            <w:r w:rsidR="00C932C4" w:rsidRPr="00F844C0">
              <w:rPr>
                <w:rFonts w:cs="Arial"/>
              </w:rPr>
              <w:t>r</w:t>
            </w:r>
            <w:r w:rsidRPr="00F844C0">
              <w:rPr>
                <w:rFonts w:cs="Arial"/>
              </w:rPr>
              <w:t xml:space="preserve">esponse </w:t>
            </w:r>
            <w:r w:rsidR="00C932C4" w:rsidRPr="00F844C0">
              <w:rPr>
                <w:rFonts w:cs="Arial"/>
              </w:rPr>
              <w:t>r</w:t>
            </w:r>
            <w:r w:rsidRPr="00F844C0">
              <w:rPr>
                <w:rFonts w:cs="Arial"/>
              </w:rPr>
              <w:t xml:space="preserve">ate: The GSS was designed to provide reliable estimates at the national level and for each </w:t>
            </w:r>
            <w:r w:rsidR="000441C0">
              <w:rPr>
                <w:rFonts w:cs="Arial"/>
              </w:rPr>
              <w:t>S</w:t>
            </w:r>
            <w:r w:rsidRPr="00F844C0">
              <w:rPr>
                <w:rFonts w:cs="Arial"/>
              </w:rPr>
              <w:t xml:space="preserve">tate and </w:t>
            </w:r>
            <w:r w:rsidR="000441C0">
              <w:rPr>
                <w:rFonts w:cs="Arial"/>
              </w:rPr>
              <w:t>T</w:t>
            </w:r>
            <w:r w:rsidRPr="00F844C0">
              <w:rPr>
                <w:rFonts w:cs="Arial"/>
              </w:rPr>
              <w:t>erritory. For the 2010 cycle, the standard sampling methodology was adapted in order to provide better estimates of people experiencing disadvantage. The initial sample for the survey consisted of approximately 19</w:t>
            </w:r>
            <w:r w:rsidR="00C932C4" w:rsidRPr="00F844C0">
              <w:rPr>
                <w:rFonts w:cs="Arial"/>
              </w:rPr>
              <w:t> </w:t>
            </w:r>
            <w:r w:rsidRPr="00F844C0">
              <w:rPr>
                <w:rFonts w:cs="Arial"/>
              </w:rPr>
              <w:t>576 private dwellings. This number was reduced to approximately 17</w:t>
            </w:r>
            <w:r w:rsidR="00C932C4" w:rsidRPr="00F844C0">
              <w:rPr>
                <w:rFonts w:cs="Arial"/>
              </w:rPr>
              <w:t> </w:t>
            </w:r>
            <w:r w:rsidRPr="00F844C0">
              <w:rPr>
                <w:rFonts w:cs="Arial"/>
              </w:rPr>
              <w:t>158 dwellings due to the loss of households which had no residents in scope for the survey and where dwellings proved to be vacant, under construction or derelict. Of the eligible dwellings, 87.6</w:t>
            </w:r>
            <w:r w:rsidR="00C932C4" w:rsidRPr="00F844C0">
              <w:rPr>
                <w:rFonts w:cs="Arial"/>
              </w:rPr>
              <w:t xml:space="preserve"> per cent</w:t>
            </w:r>
            <w:r w:rsidRPr="00F844C0">
              <w:rPr>
                <w:rFonts w:cs="Arial"/>
              </w:rPr>
              <w:t xml:space="preserve"> responded fully (or adequately) which yielded a total sample from the survey of 15</w:t>
            </w:r>
            <w:r w:rsidR="00C932C4" w:rsidRPr="00F844C0">
              <w:rPr>
                <w:rFonts w:cs="Arial"/>
              </w:rPr>
              <w:t> </w:t>
            </w:r>
            <w:r w:rsidRPr="00F844C0">
              <w:rPr>
                <w:rFonts w:cs="Arial"/>
              </w:rPr>
              <w:t xml:space="preserve">028 dwellings. </w:t>
            </w:r>
          </w:p>
          <w:p w:rsidR="00801E14" w:rsidRPr="00F844C0" w:rsidRDefault="00801E14" w:rsidP="00CA444C">
            <w:pPr>
              <w:pStyle w:val="TableBodyText"/>
              <w:widowControl w:val="0"/>
              <w:shd w:val="clear" w:color="auto" w:fill="FFFFFF" w:themeFill="background1"/>
              <w:jc w:val="both"/>
              <w:rPr>
                <w:rFonts w:cs="Arial"/>
              </w:rPr>
            </w:pPr>
            <w:r w:rsidRPr="00F844C0">
              <w:rPr>
                <w:rFonts w:cs="Arial"/>
              </w:rPr>
              <w:t>Scope and coverage: Information on the scope and coverage for GSS is available in General Social Survey: User Guide, Australia, 2010 (cat. no. 4159.0.55.002).</w:t>
            </w:r>
            <w:r w:rsidR="002A0059">
              <w:rPr>
                <w:rFonts w:cs="Arial"/>
              </w:rPr>
              <w:t xml:space="preserve"> </w:t>
            </w:r>
            <w:r w:rsidRPr="00F844C0">
              <w:rPr>
                <w:rFonts w:cs="Arial"/>
              </w:rPr>
              <w:t>Only people who were usual residents of private dwellings in Australia were covered by the GSS.</w:t>
            </w:r>
            <w:r w:rsidR="00C932C4" w:rsidRPr="00F844C0">
              <w:rPr>
                <w:rFonts w:cs="Arial"/>
              </w:rPr>
              <w:t xml:space="preserve"> </w:t>
            </w:r>
            <w:r w:rsidRPr="00F844C0">
              <w:rPr>
                <w:rFonts w:cs="Arial"/>
              </w:rPr>
              <w:t xml:space="preserve">The GSS was conducted in both urban and rural areas in all states and territories, except for very remote parts of Australia. This exclusion is unlikely to impact on national estimates, and will only have a minor impact on any aggregate estimates that are produced for individual states and territories, except the </w:t>
            </w:r>
            <w:r w:rsidR="000441C0">
              <w:rPr>
                <w:rFonts w:cs="Arial"/>
              </w:rPr>
              <w:t>NT</w:t>
            </w:r>
            <w:r w:rsidRPr="00F844C0">
              <w:rPr>
                <w:rFonts w:cs="Arial"/>
              </w:rPr>
              <w:t xml:space="preserve"> where the excluded population accounts for over 20</w:t>
            </w:r>
            <w:r w:rsidR="00C932C4" w:rsidRPr="00F844C0">
              <w:rPr>
                <w:rFonts w:cs="Arial"/>
              </w:rPr>
              <w:t xml:space="preserve"> per cent</w:t>
            </w:r>
            <w:r w:rsidRPr="00F844C0">
              <w:rPr>
                <w:rFonts w:cs="Arial"/>
              </w:rPr>
              <w:t xml:space="preserve"> of persons. </w:t>
            </w:r>
          </w:p>
          <w:p w:rsidR="00801E14" w:rsidRPr="00F844C0" w:rsidRDefault="00801E14" w:rsidP="00FE77C0">
            <w:pPr>
              <w:pStyle w:val="TableBodyText"/>
              <w:widowControl w:val="0"/>
              <w:shd w:val="clear" w:color="auto" w:fill="FFFFFF" w:themeFill="background1"/>
              <w:jc w:val="both"/>
              <w:rPr>
                <w:rFonts w:cs="Arial"/>
              </w:rPr>
            </w:pPr>
            <w:r w:rsidRPr="00F844C0">
              <w:rPr>
                <w:rFonts w:cs="Arial"/>
              </w:rPr>
              <w:t>Reliability of Estimates: All sample surveys are subject to sampling and non</w:t>
            </w:r>
            <w:r w:rsidRPr="00F844C0">
              <w:rPr>
                <w:rFonts w:cs="Arial"/>
              </w:rPr>
              <w:noBreakHyphen/>
              <w:t xml:space="preserve">sampling error. For more information relating to the </w:t>
            </w:r>
            <w:r w:rsidR="00C932C4" w:rsidRPr="00F844C0">
              <w:rPr>
                <w:rFonts w:cs="Arial"/>
              </w:rPr>
              <w:t xml:space="preserve">GSS, </w:t>
            </w:r>
            <w:r w:rsidRPr="00F844C0">
              <w:rPr>
                <w:rFonts w:cs="Arial"/>
              </w:rPr>
              <w:t xml:space="preserve">refer to the publication General Social Survey: Summary Results, Australia, 2010. The </w:t>
            </w:r>
            <w:r w:rsidR="00FE77C0">
              <w:rPr>
                <w:rFonts w:cs="Arial"/>
              </w:rPr>
              <w:t>Report</w:t>
            </w:r>
            <w:r w:rsidRPr="00F844C0">
              <w:rPr>
                <w:rFonts w:cs="Arial"/>
              </w:rPr>
              <w:t xml:space="preserve"> includes information on the Relative Standard Errors (RSEs) of estimates published from the GSS. RSEs indicate the reliability of an estimate. RSEs show the size of the error relative to the estimate. The higher the RSE, the less confidence there is that the estimate from the sample is close to the true value of the population mean. Where an estimate or proportion has a RSE between 25 per cent and 50 per cent, the estimate or proportion is annotated to indicate that it is subject to a high RSE and should be used with caution. Where an estimate or proportion has a RSE above 50 per cent, the estimate or proportion is annotated to indicate that it is not reliable for general use, and the RSE is not published.</w:t>
            </w:r>
          </w:p>
        </w:tc>
      </w:tr>
      <w:tr w:rsidR="00801E1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Coherence </w:t>
            </w:r>
          </w:p>
        </w:tc>
        <w:tc>
          <w:tcPr>
            <w:tcW w:w="4004" w:type="pct"/>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jc w:val="both"/>
              <w:rPr>
                <w:rFonts w:cs="Arial"/>
              </w:rPr>
            </w:pPr>
            <w:r w:rsidRPr="00F844C0">
              <w:rPr>
                <w:rFonts w:cs="Arial"/>
              </w:rPr>
              <w:t>The numerator and denominator are sourced from the same collection, with the numerator being a subset of the denominator population.</w:t>
            </w:r>
          </w:p>
        </w:tc>
      </w:tr>
      <w:tr w:rsidR="00801E1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Accessibility </w:t>
            </w:r>
          </w:p>
        </w:tc>
        <w:tc>
          <w:tcPr>
            <w:tcW w:w="4004" w:type="pct"/>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jc w:val="both"/>
              <w:rPr>
                <w:rFonts w:cs="Arial"/>
              </w:rPr>
            </w:pPr>
            <w:r w:rsidRPr="00F844C0">
              <w:rPr>
                <w:rFonts w:cs="Arial"/>
              </w:rPr>
              <w:t xml:space="preserve">A range of data drawn from the </w:t>
            </w:r>
            <w:r w:rsidR="00C932C4" w:rsidRPr="00F844C0">
              <w:rPr>
                <w:rFonts w:cs="Arial"/>
              </w:rPr>
              <w:t>GSS</w:t>
            </w:r>
            <w:r w:rsidRPr="00F844C0">
              <w:rPr>
                <w:rFonts w:cs="Arial"/>
              </w:rPr>
              <w:t xml:space="preserve"> a</w:t>
            </w:r>
            <w:r w:rsidR="00FE77C0">
              <w:rPr>
                <w:rFonts w:cs="Arial"/>
              </w:rPr>
              <w:t xml:space="preserve">re available on the ABS website. </w:t>
            </w:r>
            <w:r w:rsidRPr="00F844C0">
              <w:rPr>
                <w:rFonts w:cs="Arial"/>
              </w:rPr>
              <w:t>Additional data can be accessed from the ABS. Costs are associated with additional data and vary depending on the type of request.</w:t>
            </w:r>
          </w:p>
          <w:p w:rsidR="00801E14" w:rsidRPr="00F844C0" w:rsidRDefault="00801E14" w:rsidP="00CA444C">
            <w:pPr>
              <w:pStyle w:val="TableBodyText"/>
              <w:widowControl w:val="0"/>
              <w:shd w:val="clear" w:color="auto" w:fill="FFFFFF" w:themeFill="background1"/>
              <w:jc w:val="both"/>
              <w:rPr>
                <w:rFonts w:cs="Arial"/>
              </w:rPr>
            </w:pPr>
            <w:r w:rsidRPr="00F844C0">
              <w:rPr>
                <w:rFonts w:cs="Arial"/>
                <w:szCs w:val="18"/>
              </w:rPr>
              <w:t xml:space="preserve">See </w:t>
            </w:r>
            <w:r w:rsidRPr="00B12091">
              <w:rPr>
                <w:rFonts w:cs="Arial"/>
                <w:szCs w:val="18"/>
              </w:rPr>
              <w:t>General Social Survey: Summary Results, Australia, 2010</w:t>
            </w:r>
            <w:r w:rsidRPr="00F844C0">
              <w:rPr>
                <w:rFonts w:cs="Arial"/>
                <w:color w:val="4200FF"/>
                <w:szCs w:val="18"/>
              </w:rPr>
              <w:t xml:space="preserve"> </w:t>
            </w:r>
            <w:r w:rsidRPr="00F844C0">
              <w:rPr>
                <w:rFonts w:cs="Arial"/>
                <w:szCs w:val="18"/>
              </w:rPr>
              <w:t>for an overview of results from the GSS. Results from the 2010</w:t>
            </w:r>
            <w:r w:rsidRPr="00F844C0">
              <w:rPr>
                <w:rFonts w:cs="Arial"/>
              </w:rPr>
              <w:t xml:space="preserve"> GSS is also available in the form of: </w:t>
            </w:r>
          </w:p>
          <w:p w:rsidR="00801E14" w:rsidRPr="00F844C0" w:rsidRDefault="00801E14" w:rsidP="00CA444C">
            <w:pPr>
              <w:pStyle w:val="TableBullet"/>
              <w:shd w:val="clear" w:color="auto" w:fill="FFFFFF" w:themeFill="background1"/>
            </w:pPr>
            <w:r w:rsidRPr="00F844C0">
              <w:t>a sub</w:t>
            </w:r>
            <w:r w:rsidR="002A0059">
              <w:noBreakHyphen/>
            </w:r>
            <w:r w:rsidRPr="00F844C0">
              <w:t xml:space="preserve">set of tables in a spreadsheet format for each </w:t>
            </w:r>
            <w:r w:rsidR="000441C0">
              <w:t>S</w:t>
            </w:r>
            <w:r w:rsidRPr="00F844C0">
              <w:t xml:space="preserve">tate and </w:t>
            </w:r>
            <w:r w:rsidR="000441C0">
              <w:t>T</w:t>
            </w:r>
            <w:r w:rsidRPr="00F844C0">
              <w:t>erritory (subject to standard error and confidentiality constraints and excluding time series tables)</w:t>
            </w:r>
          </w:p>
          <w:p w:rsidR="00801E14" w:rsidRPr="00F844C0" w:rsidRDefault="00801E14" w:rsidP="00CA444C">
            <w:pPr>
              <w:pStyle w:val="TableBullet"/>
              <w:shd w:val="clear" w:color="auto" w:fill="FFFFFF" w:themeFill="background1"/>
            </w:pPr>
            <w:r w:rsidRPr="00F844C0">
              <w:t>a number of supplementary themed publications</w:t>
            </w:r>
          </w:p>
          <w:p w:rsidR="00801E14" w:rsidRPr="00F844C0" w:rsidRDefault="00801E14" w:rsidP="00CA444C">
            <w:pPr>
              <w:pStyle w:val="TableBullet"/>
              <w:shd w:val="clear" w:color="auto" w:fill="FFFFFF" w:themeFill="background1"/>
            </w:pPr>
            <w:r w:rsidRPr="00F844C0">
              <w:t>a Confidentialised Unit Record File (CURF)</w:t>
            </w:r>
            <w:r w:rsidR="00DD62D7">
              <w:t>.</w:t>
            </w:r>
            <w:r w:rsidRPr="00F844C0">
              <w:t xml:space="preserve"> </w:t>
            </w:r>
          </w:p>
          <w:p w:rsidR="00801E14" w:rsidRPr="00F844C0" w:rsidRDefault="00801E14" w:rsidP="00CA444C">
            <w:pPr>
              <w:pStyle w:val="TableBodyText"/>
              <w:keepNext w:val="0"/>
              <w:keepLines w:val="0"/>
              <w:widowControl w:val="0"/>
              <w:shd w:val="clear" w:color="auto" w:fill="FFFFFF" w:themeFill="background1"/>
              <w:jc w:val="both"/>
              <w:rPr>
                <w:rFonts w:cs="Arial"/>
              </w:rPr>
            </w:pPr>
            <w:r w:rsidRPr="00F844C0">
              <w:rPr>
                <w:rFonts w:cs="Arial"/>
              </w:rPr>
              <w:t>Other information from the survey is available on request, subject to confidentiality and sampling variability constraints.</w:t>
            </w:r>
          </w:p>
        </w:tc>
      </w:tr>
      <w:tr w:rsidR="00801E14" w:rsidRPr="00F844C0" w:rsidTr="00BD4765">
        <w:tblPrEx>
          <w:tblCellMar>
            <w:left w:w="108" w:type="dxa"/>
            <w:right w:w="108" w:type="dxa"/>
          </w:tblCellMar>
          <w:tblLook w:val="01E0" w:firstRow="1" w:lastRow="1" w:firstColumn="1" w:lastColumn="1" w:noHBand="0" w:noVBand="0"/>
        </w:tblPrEx>
        <w:tc>
          <w:tcPr>
            <w:tcW w:w="996" w:type="pct"/>
            <w:gridSpan w:val="2"/>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Interpretability </w:t>
            </w:r>
          </w:p>
        </w:tc>
        <w:tc>
          <w:tcPr>
            <w:tcW w:w="4004" w:type="pct"/>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jc w:val="both"/>
              <w:rPr>
                <w:rStyle w:val="Hyperlink"/>
                <w:rFonts w:cs="Arial"/>
              </w:rPr>
            </w:pPr>
            <w:r w:rsidRPr="00F844C0">
              <w:rPr>
                <w:rFonts w:cs="Arial"/>
              </w:rPr>
              <w:t xml:space="preserve">Further technical details are available on the ABS website: </w:t>
            </w:r>
            <w:r w:rsidRPr="000441C0">
              <w:rPr>
                <w:rFonts w:cs="Arial"/>
              </w:rPr>
              <w:t>www.abs.gov.au/AUSSTATS/abs@.nsf/Lookup/4159.0Explanatory%20Notes12010?OpenDocument</w:t>
            </w:r>
            <w:r w:rsidR="000441C0" w:rsidRPr="000441C0">
              <w:rPr>
                <w:rStyle w:val="Hyperlink"/>
                <w:rFonts w:cs="Arial"/>
                <w:u w:val="none"/>
              </w:rPr>
              <w:t>.</w:t>
            </w:r>
          </w:p>
          <w:p w:rsidR="00801E14" w:rsidRPr="00F844C0" w:rsidRDefault="00801E14" w:rsidP="00FE77C0">
            <w:pPr>
              <w:pStyle w:val="TableBodyText"/>
              <w:shd w:val="clear" w:color="auto" w:fill="FFFFFF" w:themeFill="background1"/>
              <w:jc w:val="both"/>
            </w:pPr>
            <w:r w:rsidRPr="00F844C0">
              <w:t xml:space="preserve">Information is available to aid interpretation of GSS data in the </w:t>
            </w:r>
            <w:r w:rsidRPr="00F844C0">
              <w:rPr>
                <w:szCs w:val="18"/>
              </w:rPr>
              <w:t xml:space="preserve">publication, </w:t>
            </w:r>
            <w:r w:rsidRPr="00B12091">
              <w:rPr>
                <w:rFonts w:cs="Arial"/>
                <w:szCs w:val="18"/>
              </w:rPr>
              <w:t>General Social Survey: User Guide, Australia, 2010</w:t>
            </w:r>
            <w:r w:rsidR="00FE77C0">
              <w:rPr>
                <w:szCs w:val="18"/>
              </w:rPr>
              <w:t xml:space="preserve"> </w:t>
            </w:r>
            <w:r w:rsidRPr="00F844C0">
              <w:rPr>
                <w:szCs w:val="18"/>
              </w:rPr>
              <w:t xml:space="preserve">on the ABS website. Detailed Explanatory Notes and a Glossary are also included in </w:t>
            </w:r>
            <w:r w:rsidRPr="00B12091">
              <w:rPr>
                <w:rFonts w:cs="Arial"/>
                <w:szCs w:val="18"/>
              </w:rPr>
              <w:t>General Social Survey: Summary Results, Australia, 2010</w:t>
            </w:r>
            <w:r w:rsidR="00FE77C0" w:rsidRPr="00FE77C0">
              <w:rPr>
                <w:color w:val="0000FF"/>
                <w:szCs w:val="18"/>
              </w:rPr>
              <w:t xml:space="preserve"> </w:t>
            </w:r>
            <w:r w:rsidRPr="00F844C0">
              <w:rPr>
                <w:szCs w:val="18"/>
              </w:rPr>
              <w:t>to provide information on the</w:t>
            </w:r>
            <w:r w:rsidRPr="00F844C0">
              <w:t xml:space="preserve"> terminology, </w:t>
            </w:r>
            <w:r w:rsidRPr="00F844C0">
              <w:lastRenderedPageBreak/>
              <w:t xml:space="preserve">classifications and other technical aspects associated with these statistics. </w:t>
            </w:r>
          </w:p>
        </w:tc>
      </w:tr>
      <w:tr w:rsidR="00082179" w:rsidRPr="00F844C0" w:rsidTr="00BD4765">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082179" w:rsidRPr="00F844C0" w:rsidRDefault="00082179" w:rsidP="00CA444C">
            <w:pPr>
              <w:pStyle w:val="TableBodyText"/>
              <w:keepNext w:val="0"/>
              <w:keepLines w:val="0"/>
              <w:widowControl w:val="0"/>
              <w:shd w:val="clear" w:color="auto" w:fill="FFFFFF" w:themeFill="background1"/>
              <w:jc w:val="both"/>
              <w:rPr>
                <w:b/>
              </w:rPr>
            </w:pPr>
            <w:r w:rsidRPr="00F844C0">
              <w:rPr>
                <w:b/>
                <w:u w:val="single"/>
              </w:rPr>
              <w:lastRenderedPageBreak/>
              <w:t>Data Gaps/Issues Analysis</w:t>
            </w:r>
          </w:p>
        </w:tc>
      </w:tr>
      <w:tr w:rsidR="00082179"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082179" w:rsidRPr="00F844C0" w:rsidRDefault="00082179" w:rsidP="00CA444C">
            <w:pPr>
              <w:pStyle w:val="TableBodyText"/>
              <w:keepNext w:val="0"/>
              <w:keepLines w:val="0"/>
              <w:widowControl w:val="0"/>
              <w:shd w:val="clear" w:color="auto" w:fill="FFFFFF" w:themeFill="background1"/>
              <w:spacing w:before="120"/>
              <w:ind w:left="0"/>
              <w:jc w:val="left"/>
              <w:rPr>
                <w:rFonts w:cs="Arial"/>
                <w:b/>
                <w:szCs w:val="22"/>
              </w:rPr>
            </w:pPr>
            <w:r w:rsidRPr="00F844C0">
              <w:rPr>
                <w:rFonts w:cs="Arial"/>
                <w:b/>
                <w:szCs w:val="22"/>
              </w:rPr>
              <w:t>Key data gaps/issues</w:t>
            </w:r>
          </w:p>
        </w:tc>
        <w:tc>
          <w:tcPr>
            <w:tcW w:w="4032" w:type="pct"/>
            <w:gridSpan w:val="2"/>
            <w:tcBorders>
              <w:top w:val="nil"/>
              <w:left w:val="nil"/>
              <w:bottom w:val="nil"/>
              <w:right w:val="nil"/>
            </w:tcBorders>
            <w:shd w:val="clear" w:color="auto" w:fill="auto"/>
          </w:tcPr>
          <w:p w:rsidR="00801E14" w:rsidRPr="00F844C0" w:rsidRDefault="00801E14" w:rsidP="00CA444C">
            <w:pPr>
              <w:pStyle w:val="TableBodyText"/>
              <w:keepNext w:val="0"/>
              <w:keepLines w:val="0"/>
              <w:widowControl w:val="0"/>
              <w:shd w:val="clear" w:color="auto" w:fill="FFFFFF" w:themeFill="background1"/>
              <w:spacing w:after="60"/>
              <w:jc w:val="both"/>
              <w:rPr>
                <w:rFonts w:cs="Arial"/>
              </w:rPr>
            </w:pPr>
            <w:r w:rsidRPr="00F844C0">
              <w:rPr>
                <w:rFonts w:cs="Arial"/>
              </w:rPr>
              <w:t>The Steering Committee notes the following issues:</w:t>
            </w:r>
          </w:p>
          <w:p w:rsidR="00801E14" w:rsidRPr="00F844C0" w:rsidRDefault="00801E14" w:rsidP="00CA444C">
            <w:pPr>
              <w:pStyle w:val="TableBullet"/>
              <w:shd w:val="clear" w:color="auto" w:fill="FFFFFF" w:themeFill="background1"/>
            </w:pPr>
            <w:r w:rsidRPr="00F844C0">
              <w:t>data reported for this indicator are considered comparable (subject to caveats) across jurisdictions for 2010.</w:t>
            </w:r>
          </w:p>
          <w:p w:rsidR="00082179" w:rsidRPr="00F844C0" w:rsidRDefault="00801E14" w:rsidP="00CA444C">
            <w:pPr>
              <w:pStyle w:val="TableBullet"/>
              <w:shd w:val="clear" w:color="auto" w:fill="FFFFFF" w:themeFill="background1"/>
              <w:jc w:val="both"/>
            </w:pPr>
            <w:r w:rsidRPr="00F844C0">
              <w:t>GSS 2014 (currently in enumeration) asks respondents to rate their overall life satisfaction on a scale from 0</w:t>
            </w:r>
            <w:r w:rsidR="002A0059">
              <w:noBreakHyphen/>
            </w:r>
            <w:r w:rsidRPr="00F844C0">
              <w:t>10 which will affect comparability with 2010 data.</w:t>
            </w:r>
          </w:p>
        </w:tc>
      </w:tr>
    </w:tbl>
    <w:p w:rsidR="00BD4765" w:rsidRDefault="00BD4765" w:rsidP="00CA444C">
      <w:pPr>
        <w:pStyle w:val="BodyText"/>
        <w:shd w:val="clear" w:color="auto" w:fill="FFFFFF" w:themeFill="background1"/>
        <w:rPr>
          <w:rFonts w:ascii="Arial" w:hAnsi="Arial"/>
          <w:sz w:val="32"/>
        </w:rPr>
      </w:pPr>
      <w:r>
        <w:br w:type="page"/>
      </w:r>
    </w:p>
    <w:p w:rsidR="00A420D4" w:rsidRPr="00F844C0" w:rsidRDefault="00370A5F" w:rsidP="00CA444C">
      <w:pPr>
        <w:pStyle w:val="Heading2nosectionno"/>
        <w:shd w:val="clear" w:color="auto" w:fill="FFFFFF" w:themeFill="background1"/>
        <w:rPr>
          <w:szCs w:val="24"/>
        </w:rPr>
      </w:pPr>
      <w:bookmarkStart w:id="24" w:name="_Toc404867668"/>
      <w:r w:rsidRPr="00F844C0">
        <w:rPr>
          <w:szCs w:val="24"/>
        </w:rPr>
        <w:lastRenderedPageBreak/>
        <w:t xml:space="preserve">Participation of people with disability and their </w:t>
      </w:r>
      <w:r w:rsidR="00801E14" w:rsidRPr="00F844C0">
        <w:rPr>
          <w:szCs w:val="24"/>
        </w:rPr>
        <w:t xml:space="preserve">primary </w:t>
      </w:r>
      <w:r w:rsidRPr="00F844C0">
        <w:rPr>
          <w:szCs w:val="24"/>
        </w:rPr>
        <w:t>carers in the community</w:t>
      </w:r>
      <w:bookmarkEnd w:id="24"/>
    </w:p>
    <w:p w:rsidR="00A420D4" w:rsidRPr="00F844C0" w:rsidRDefault="00A420D4"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FE77C0">
        <w:rPr>
          <w:rFonts w:ascii="Arial" w:hAnsi="Arial" w:cs="Arial"/>
          <w:sz w:val="22"/>
          <w:szCs w:val="22"/>
        </w:rPr>
        <w:t>the Report’s</w:t>
      </w:r>
      <w:r w:rsidR="00FE77C0" w:rsidRPr="00F844C0">
        <w:rPr>
          <w:rFonts w:ascii="Arial" w:hAnsi="Arial" w:cs="Arial"/>
          <w:sz w:val="22"/>
          <w:szCs w:val="22"/>
        </w:rPr>
        <w:t xml:space="preserve"> </w:t>
      </w:r>
      <w:r w:rsidRPr="00F844C0">
        <w:rPr>
          <w:rFonts w:ascii="Arial" w:hAnsi="Arial" w:cs="Arial"/>
          <w:sz w:val="22"/>
          <w:szCs w:val="22"/>
        </w:rPr>
        <w:t xml:space="preserve">community service working groups. </w:t>
      </w:r>
    </w:p>
    <w:tbl>
      <w:tblPr>
        <w:tblW w:w="0" w:type="auto"/>
        <w:tblLayout w:type="fixed"/>
        <w:tblCellMar>
          <w:left w:w="0" w:type="dxa"/>
          <w:right w:w="0" w:type="dxa"/>
        </w:tblCellMar>
        <w:tblLook w:val="0000" w:firstRow="0" w:lastRow="0" w:firstColumn="0" w:lastColumn="0" w:noHBand="0" w:noVBand="0"/>
      </w:tblPr>
      <w:tblGrid>
        <w:gridCol w:w="1560"/>
        <w:gridCol w:w="141"/>
        <w:gridCol w:w="7088"/>
      </w:tblGrid>
      <w:tr w:rsidR="00A420D4" w:rsidRPr="00F844C0" w:rsidTr="00BD4765">
        <w:tc>
          <w:tcPr>
            <w:tcW w:w="8789" w:type="dxa"/>
            <w:gridSpan w:val="3"/>
          </w:tcPr>
          <w:p w:rsidR="00A420D4" w:rsidRPr="00F844C0" w:rsidRDefault="00A420D4" w:rsidP="00CA444C">
            <w:pPr>
              <w:pStyle w:val="TableBodyText"/>
              <w:keepNext w:val="0"/>
              <w:keepLines w:val="0"/>
              <w:widowControl w:val="0"/>
              <w:shd w:val="clear" w:color="auto" w:fill="FFFFFF" w:themeFill="background1"/>
              <w:jc w:val="both"/>
              <w:rPr>
                <w:b/>
                <w:u w:val="single"/>
              </w:rPr>
            </w:pPr>
          </w:p>
          <w:p w:rsidR="00A420D4" w:rsidRPr="00F844C0" w:rsidRDefault="00A420D4" w:rsidP="00CA444C">
            <w:pPr>
              <w:pStyle w:val="TableBodyText"/>
              <w:keepNext w:val="0"/>
              <w:keepLines w:val="0"/>
              <w:widowControl w:val="0"/>
              <w:shd w:val="clear" w:color="auto" w:fill="FFFFFF" w:themeFill="background1"/>
              <w:jc w:val="both"/>
            </w:pPr>
            <w:r w:rsidRPr="00F844C0">
              <w:rPr>
                <w:b/>
                <w:u w:val="single"/>
              </w:rPr>
              <w:t>Indicator definition and description</w:t>
            </w:r>
            <w:r w:rsidRPr="00F844C0">
              <w:rPr>
                <w:rFonts w:cs="Arial"/>
                <w:b/>
                <w:sz w:val="22"/>
                <w:szCs w:val="22"/>
                <w:u w:val="single"/>
              </w:rPr>
              <w:t xml:space="preserve"> </w:t>
            </w:r>
          </w:p>
        </w:tc>
      </w:tr>
      <w:tr w:rsidR="00A420D4" w:rsidRPr="00F844C0" w:rsidTr="00BD4765">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Element</w:t>
            </w:r>
          </w:p>
        </w:tc>
        <w:tc>
          <w:tcPr>
            <w:tcW w:w="7229" w:type="dxa"/>
            <w:gridSpan w:val="2"/>
            <w:tcBorders>
              <w:top w:val="nil"/>
              <w:left w:val="nil"/>
              <w:bottom w:val="nil"/>
              <w:right w:val="nil"/>
            </w:tcBorders>
            <w:shd w:val="clear" w:color="auto" w:fill="auto"/>
          </w:tcPr>
          <w:p w:rsidR="00A420D4" w:rsidRPr="00F844C0" w:rsidRDefault="00082179" w:rsidP="00CA444C">
            <w:pPr>
              <w:pStyle w:val="TableBodyText"/>
              <w:keepNext w:val="0"/>
              <w:keepLines w:val="0"/>
              <w:widowControl w:val="0"/>
              <w:shd w:val="clear" w:color="auto" w:fill="FFFFFF" w:themeFill="background1"/>
              <w:jc w:val="both"/>
              <w:rPr>
                <w:rFonts w:cs="Arial"/>
              </w:rPr>
            </w:pPr>
            <w:r w:rsidRPr="00F844C0">
              <w:rPr>
                <w:rFonts w:cs="Arial"/>
              </w:rPr>
              <w:t>Sector</w:t>
            </w:r>
            <w:r w:rsidR="002A0059">
              <w:rPr>
                <w:rFonts w:cs="Arial"/>
              </w:rPr>
              <w:noBreakHyphen/>
            </w:r>
            <w:r w:rsidRPr="00F844C0">
              <w:rPr>
                <w:rFonts w:cs="Arial"/>
              </w:rPr>
              <w:t>wide indicator</w:t>
            </w:r>
          </w:p>
        </w:tc>
      </w:tr>
      <w:tr w:rsidR="00A420D4" w:rsidRPr="00F844C0" w:rsidTr="00BD4765">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Indicator </w:t>
            </w:r>
          </w:p>
        </w:tc>
        <w:tc>
          <w:tcPr>
            <w:tcW w:w="7229" w:type="dxa"/>
            <w:gridSpan w:val="2"/>
            <w:tcBorders>
              <w:top w:val="nil"/>
              <w:left w:val="nil"/>
              <w:bottom w:val="nil"/>
              <w:right w:val="nil"/>
            </w:tcBorders>
            <w:shd w:val="clear" w:color="auto" w:fill="auto"/>
          </w:tcPr>
          <w:p w:rsidR="00A420D4" w:rsidRPr="00F844C0" w:rsidRDefault="00082179" w:rsidP="00CA444C">
            <w:pPr>
              <w:pStyle w:val="TableBodyText"/>
              <w:keepNext w:val="0"/>
              <w:keepLines w:val="0"/>
              <w:widowControl w:val="0"/>
              <w:shd w:val="clear" w:color="auto" w:fill="FFFFFF" w:themeFill="background1"/>
              <w:jc w:val="both"/>
              <w:rPr>
                <w:szCs w:val="18"/>
              </w:rPr>
            </w:pPr>
            <w:r w:rsidRPr="00F844C0">
              <w:rPr>
                <w:szCs w:val="18"/>
              </w:rPr>
              <w:t>Participation of people with disability and their</w:t>
            </w:r>
            <w:r w:rsidR="00801E14" w:rsidRPr="00F844C0">
              <w:rPr>
                <w:szCs w:val="18"/>
              </w:rPr>
              <w:t xml:space="preserve"> primary</w:t>
            </w:r>
            <w:r w:rsidRPr="00F844C0">
              <w:rPr>
                <w:szCs w:val="18"/>
              </w:rPr>
              <w:t xml:space="preserve"> carers in the community.</w:t>
            </w:r>
          </w:p>
        </w:tc>
      </w:tr>
      <w:tr w:rsidR="00A420D4" w:rsidRPr="00F844C0" w:rsidTr="00BD4765">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Measure (computation)</w:t>
            </w:r>
          </w:p>
        </w:tc>
        <w:tc>
          <w:tcPr>
            <w:tcW w:w="7229" w:type="dxa"/>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Definition:</w:t>
            </w:r>
          </w:p>
          <w:p w:rsidR="00082179" w:rsidRPr="00F844C0" w:rsidRDefault="002345CE" w:rsidP="00CA444C">
            <w:pPr>
              <w:pStyle w:val="TableBodyText"/>
              <w:keepNext w:val="0"/>
              <w:keepLines w:val="0"/>
              <w:widowControl w:val="0"/>
              <w:shd w:val="clear" w:color="auto" w:fill="FFFFFF" w:themeFill="background1"/>
              <w:spacing w:after="60"/>
              <w:jc w:val="both"/>
              <w:rPr>
                <w:rFonts w:cs="Arial"/>
                <w:szCs w:val="18"/>
              </w:rPr>
            </w:pPr>
            <w:r w:rsidRPr="00F844C0">
              <w:rPr>
                <w:rFonts w:cs="Arial"/>
                <w:szCs w:val="18"/>
              </w:rPr>
              <w:t xml:space="preserve">Participation of people with disability and their </w:t>
            </w:r>
            <w:r w:rsidR="00801E14" w:rsidRPr="00F844C0">
              <w:rPr>
                <w:rFonts w:cs="Arial"/>
                <w:szCs w:val="18"/>
              </w:rPr>
              <w:t xml:space="preserve">primary </w:t>
            </w:r>
            <w:r w:rsidRPr="00F844C0">
              <w:rPr>
                <w:rFonts w:cs="Arial"/>
                <w:szCs w:val="18"/>
              </w:rPr>
              <w:t>carers in the community is defined by two measures:</w:t>
            </w:r>
          </w:p>
          <w:p w:rsidR="002345CE" w:rsidRPr="00F844C0" w:rsidRDefault="00CF48CA" w:rsidP="00CA444C">
            <w:pPr>
              <w:pStyle w:val="TableBullet"/>
              <w:numPr>
                <w:ilvl w:val="0"/>
                <w:numId w:val="0"/>
              </w:numPr>
              <w:shd w:val="clear" w:color="auto" w:fill="FFFFFF" w:themeFill="background1"/>
            </w:pPr>
            <w:r w:rsidRPr="00F844C0">
              <w:t xml:space="preserve">1. </w:t>
            </w:r>
            <w:r w:rsidR="002345CE" w:rsidRPr="00F844C0">
              <w:t>the proportion of people with disability who participated in social or community activities (away from home or at home) in the past three months</w:t>
            </w:r>
          </w:p>
          <w:p w:rsidR="002345CE" w:rsidRPr="00F844C0" w:rsidRDefault="00CF48CA" w:rsidP="00CA444C">
            <w:pPr>
              <w:pStyle w:val="TableBullet"/>
              <w:numPr>
                <w:ilvl w:val="0"/>
                <w:numId w:val="0"/>
              </w:numPr>
              <w:shd w:val="clear" w:color="auto" w:fill="FFFFFF" w:themeFill="background1"/>
            </w:pPr>
            <w:r w:rsidRPr="00F844C0">
              <w:t xml:space="preserve">2. </w:t>
            </w:r>
            <w:r w:rsidR="002345CE" w:rsidRPr="00F844C0">
              <w:t xml:space="preserve">the proportion of primary carers who participated in </w:t>
            </w:r>
            <w:r w:rsidR="00CA737C" w:rsidRPr="00F844C0">
              <w:t xml:space="preserve">social or community activities </w:t>
            </w:r>
            <w:r w:rsidR="002345CE" w:rsidRPr="00F844C0">
              <w:t>away from home</w:t>
            </w:r>
            <w:r w:rsidR="00CA737C" w:rsidRPr="00F844C0">
              <w:t xml:space="preserve"> and without the recipient of care</w:t>
            </w:r>
            <w:r w:rsidR="002345CE" w:rsidRPr="00F844C0">
              <w:t xml:space="preserve"> in the past three months.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u w:val="single"/>
              </w:rPr>
              <w:t>Numerators</w:t>
            </w:r>
            <w:r w:rsidRPr="00F844C0">
              <w:rPr>
                <w:rFonts w:ascii="Arial" w:hAnsi="Arial" w:cs="Arial"/>
                <w:sz w:val="18"/>
                <w:szCs w:val="18"/>
              </w:rPr>
              <w:t xml:space="preserve">: </w:t>
            </w:r>
          </w:p>
          <w:p w:rsidR="00C70C96" w:rsidRPr="00F844C0" w:rsidRDefault="00575BC0" w:rsidP="00CA444C">
            <w:pPr>
              <w:pStyle w:val="TableBullet"/>
              <w:numPr>
                <w:ilvl w:val="0"/>
                <w:numId w:val="0"/>
              </w:numPr>
              <w:shd w:val="clear" w:color="auto" w:fill="FFFFFF" w:themeFill="background1"/>
            </w:pPr>
            <w:r w:rsidRPr="00F844C0">
              <w:t>1. T</w:t>
            </w:r>
            <w:r w:rsidR="00CF48CA" w:rsidRPr="00F844C0">
              <w:t>he number of people with disability who participated in social or community activities (away from home or at home) in the past three months</w:t>
            </w:r>
          </w:p>
          <w:p w:rsidR="00CF48CA" w:rsidRPr="00F844C0" w:rsidRDefault="00575BC0" w:rsidP="00CA444C">
            <w:pPr>
              <w:pStyle w:val="TableBullet"/>
              <w:numPr>
                <w:ilvl w:val="0"/>
                <w:numId w:val="0"/>
              </w:numPr>
              <w:shd w:val="clear" w:color="auto" w:fill="FFFFFF" w:themeFill="background1"/>
            </w:pPr>
            <w:r w:rsidRPr="00F844C0">
              <w:t>2. T</w:t>
            </w:r>
            <w:r w:rsidR="00CF48CA" w:rsidRPr="00F844C0">
              <w:t>he number of primary carers who participated in social or community activities away from home and without the recipient of care in the past three months.</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C70C96" w:rsidRPr="00F844C0" w:rsidRDefault="00575BC0" w:rsidP="00CA444C">
            <w:pPr>
              <w:pStyle w:val="TableBullet"/>
              <w:numPr>
                <w:ilvl w:val="0"/>
                <w:numId w:val="0"/>
              </w:numPr>
              <w:shd w:val="clear" w:color="auto" w:fill="FFFFFF" w:themeFill="background1"/>
            </w:pPr>
            <w:r w:rsidRPr="00F844C0">
              <w:t>1. Total number of people with disability who participated in the survey</w:t>
            </w:r>
          </w:p>
          <w:p w:rsidR="00575BC0" w:rsidRPr="00F844C0" w:rsidRDefault="00575BC0" w:rsidP="00CA444C">
            <w:pPr>
              <w:pStyle w:val="TableBullet"/>
              <w:numPr>
                <w:ilvl w:val="0"/>
                <w:numId w:val="0"/>
              </w:numPr>
              <w:shd w:val="clear" w:color="auto" w:fill="FFFFFF" w:themeFill="background1"/>
            </w:pPr>
            <w:r w:rsidRPr="00F844C0">
              <w:t>2. Total number of primary carers who participated in the survey.</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Computation:</w:t>
            </w:r>
          </w:p>
          <w:p w:rsidR="00A420D4" w:rsidRPr="00F844C0" w:rsidRDefault="00A420D4"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Expressed as a percentage. Calculation is: (Numerator </w:t>
            </w:r>
            <w:r w:rsidRPr="00F844C0">
              <w:rPr>
                <w:rFonts w:cs="Arial"/>
                <w:szCs w:val="18"/>
              </w:rPr>
              <w:sym w:font="Symbol" w:char="F0B8"/>
            </w:r>
            <w:r w:rsidRPr="00F844C0">
              <w:rPr>
                <w:rFonts w:cs="Arial"/>
                <w:szCs w:val="18"/>
              </w:rPr>
              <w:t xml:space="preserve"> Denominator) x 100.</w:t>
            </w:r>
          </w:p>
        </w:tc>
      </w:tr>
      <w:tr w:rsidR="00A420D4" w:rsidRPr="00F844C0" w:rsidTr="00BD4765">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Data source/s</w:t>
            </w:r>
          </w:p>
        </w:tc>
        <w:tc>
          <w:tcPr>
            <w:tcW w:w="7229" w:type="dxa"/>
            <w:gridSpan w:val="2"/>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 xml:space="preserve">Numerators: </w:t>
            </w:r>
          </w:p>
          <w:p w:rsidR="00CA737C" w:rsidRPr="00F844C0" w:rsidRDefault="00CA737C"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Pr="00F844C0">
              <w:rPr>
                <w:rFonts w:cs="Arial"/>
                <w:i/>
                <w:szCs w:val="18"/>
              </w:rPr>
              <w:t xml:space="preserve">Survey of Disability, Ageing and Carers 2012, </w:t>
            </w:r>
            <w:r w:rsidRPr="00F844C0">
              <w:rPr>
                <w:rFonts w:cs="Arial"/>
                <w:szCs w:val="18"/>
              </w:rPr>
              <w:t xml:space="preserve">cat. no. </w:t>
            </w:r>
            <w:r w:rsidR="00C70C96" w:rsidRPr="00F844C0">
              <w:rPr>
                <w:rFonts w:cs="Arial"/>
                <w:szCs w:val="18"/>
              </w:rPr>
              <w:t>4430</w:t>
            </w:r>
            <w:r w:rsidRPr="00F844C0">
              <w:rPr>
                <w:rFonts w:cs="Arial"/>
                <w:szCs w:val="18"/>
              </w:rPr>
              <w:t>.0, Canberra</w:t>
            </w:r>
          </w:p>
          <w:p w:rsidR="00A420D4" w:rsidRPr="00F844C0" w:rsidRDefault="00A420D4"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A420D4" w:rsidRPr="00F844C0" w:rsidRDefault="00CA737C"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Pr="00F844C0">
              <w:rPr>
                <w:rFonts w:cs="Arial"/>
                <w:i/>
                <w:szCs w:val="18"/>
              </w:rPr>
              <w:t xml:space="preserve">Survey of Disability, Ageing and Carers 2012, </w:t>
            </w:r>
            <w:r w:rsidRPr="00F844C0">
              <w:rPr>
                <w:rFonts w:cs="Arial"/>
                <w:szCs w:val="18"/>
              </w:rPr>
              <w:t xml:space="preserve">cat. no. </w:t>
            </w:r>
            <w:r w:rsidR="00C70C96" w:rsidRPr="00F844C0">
              <w:rPr>
                <w:rFonts w:cs="Arial"/>
                <w:szCs w:val="18"/>
              </w:rPr>
              <w:t>4430</w:t>
            </w:r>
            <w:r w:rsidRPr="00F844C0">
              <w:rPr>
                <w:rFonts w:cs="Arial"/>
                <w:szCs w:val="18"/>
              </w:rPr>
              <w:t>.0, Canberra</w:t>
            </w:r>
          </w:p>
        </w:tc>
      </w:tr>
      <w:tr w:rsidR="00A420D4" w:rsidRPr="00F844C0" w:rsidTr="00BD4765">
        <w:tblPrEx>
          <w:tblCellMar>
            <w:left w:w="108" w:type="dxa"/>
            <w:right w:w="108" w:type="dxa"/>
          </w:tblCellMar>
          <w:tblLook w:val="01E0" w:firstRow="1" w:lastRow="1" w:firstColumn="1" w:lastColumn="1" w:noHBand="0" w:noVBand="0"/>
        </w:tblPrEx>
        <w:tc>
          <w:tcPr>
            <w:tcW w:w="8789" w:type="dxa"/>
            <w:gridSpan w:val="3"/>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jc w:val="both"/>
              <w:rPr>
                <w:rFonts w:cs="Arial"/>
                <w:b/>
                <w:u w:val="single"/>
              </w:rPr>
            </w:pPr>
            <w:r w:rsidRPr="00F844C0">
              <w:rPr>
                <w:b/>
                <w:u w:val="single"/>
              </w:rPr>
              <w:t>Data Quality Framework Dimensions</w:t>
            </w:r>
            <w:r w:rsidRPr="00F844C0">
              <w:rPr>
                <w:rFonts w:cs="Arial"/>
                <w:b/>
                <w:u w:val="single"/>
              </w:rPr>
              <w:t xml:space="preserve"> </w:t>
            </w:r>
          </w:p>
        </w:tc>
      </w:tr>
      <w:tr w:rsidR="00CA737C" w:rsidRPr="00F844C0" w:rsidTr="001454BC">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CA737C" w:rsidRPr="00F844C0" w:rsidRDefault="00CA737C"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Institutional environment </w:t>
            </w:r>
          </w:p>
        </w:tc>
        <w:tc>
          <w:tcPr>
            <w:tcW w:w="7229" w:type="dxa"/>
            <w:gridSpan w:val="2"/>
            <w:tcBorders>
              <w:top w:val="nil"/>
              <w:left w:val="nil"/>
              <w:bottom w:val="nil"/>
              <w:right w:val="nil"/>
            </w:tcBorders>
            <w:shd w:val="clear" w:color="auto" w:fill="auto"/>
          </w:tcPr>
          <w:p w:rsidR="00CA737C" w:rsidRPr="00F844C0" w:rsidRDefault="004363AE" w:rsidP="000441C0">
            <w:pPr>
              <w:pStyle w:val="TableBodyText"/>
              <w:keepNext w:val="0"/>
              <w:keepLines w:val="0"/>
              <w:widowControl w:val="0"/>
              <w:shd w:val="clear" w:color="auto" w:fill="FFFFFF" w:themeFill="background1"/>
              <w:jc w:val="both"/>
              <w:rPr>
                <w:rFonts w:cs="Arial"/>
              </w:rPr>
            </w:pPr>
            <w:r w:rsidRPr="00F844C0">
              <w:rPr>
                <w:rFonts w:cs="Arial"/>
              </w:rPr>
              <w:t xml:space="preserve">The SDAC is collected, processed, and published by the Australian Bureau of Statistics (ABS). The ABS operates within the framework of the </w:t>
            </w:r>
            <w:r w:rsidRPr="008B4FA4">
              <w:rPr>
                <w:rFonts w:cs="Arial"/>
                <w:i/>
              </w:rPr>
              <w:t>Census and Statistics Act 1905</w:t>
            </w:r>
            <w:r w:rsidRPr="00F844C0">
              <w:rPr>
                <w:rFonts w:cs="Arial"/>
              </w:rPr>
              <w:t xml:space="preserve"> and the </w:t>
            </w:r>
            <w:r w:rsidRPr="008B4FA4">
              <w:rPr>
                <w:rFonts w:cs="Arial"/>
                <w:i/>
              </w:rPr>
              <w:t>Australian Bureau of Statistics Act 1975</w:t>
            </w:r>
            <w:r w:rsidRPr="00F844C0">
              <w:rPr>
                <w:rFonts w:cs="Arial"/>
              </w:rPr>
              <w:t xml:space="preserve">. These ensure the independence and impartiality of the ABS, and the confidentiality of respondents. </w:t>
            </w:r>
            <w:r w:rsidRPr="00F844C0">
              <w:t>For information on the institutional environment of the ABS, including the legislative obligations of the ABS, which cover this collection, please see ABS Institutional Environment (</w:t>
            </w:r>
            <w:r w:rsidR="000441C0" w:rsidRPr="00B12091">
              <w:t>www.abs.gov.au/Ausstats/abs@.nsf/Latestproducts/4402.0Quality%20Declaration0June%202011?opendocument&amp;tabname=Notes&amp;prodno=4402.0&amp;issue=June%202011&amp;num=&amp;view</w:t>
            </w:r>
            <w:r w:rsidR="00F844C0">
              <w:t xml:space="preserve">=) </w:t>
            </w:r>
          </w:p>
        </w:tc>
      </w:tr>
      <w:tr w:rsidR="00A420D4" w:rsidRPr="00F844C0" w:rsidTr="001454BC">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Relevance </w:t>
            </w:r>
          </w:p>
        </w:tc>
        <w:tc>
          <w:tcPr>
            <w:tcW w:w="7229" w:type="dxa"/>
            <w:gridSpan w:val="2"/>
            <w:tcBorders>
              <w:top w:val="nil"/>
              <w:left w:val="nil"/>
              <w:bottom w:val="nil"/>
              <w:right w:val="nil"/>
            </w:tcBorders>
            <w:shd w:val="clear" w:color="auto" w:fill="auto"/>
          </w:tcPr>
          <w:p w:rsidR="00A420D4" w:rsidRPr="00F844C0" w:rsidRDefault="00CA737C" w:rsidP="00CA444C">
            <w:pPr>
              <w:pStyle w:val="TableBodyText"/>
              <w:keepNext w:val="0"/>
              <w:keepLines w:val="0"/>
              <w:widowControl w:val="0"/>
              <w:shd w:val="clear" w:color="auto" w:fill="FFFFFF" w:themeFill="background1"/>
              <w:jc w:val="both"/>
              <w:rPr>
                <w:rFonts w:cs="Arial"/>
              </w:rPr>
            </w:pPr>
            <w:r w:rsidRPr="00F844C0">
              <w:rPr>
                <w:rFonts w:cs="Arial"/>
              </w:rPr>
              <w:t>Participation of people with disability an</w:t>
            </w:r>
            <w:r w:rsidR="00C70C96" w:rsidRPr="00F844C0">
              <w:rPr>
                <w:rFonts w:cs="Arial"/>
              </w:rPr>
              <w:t xml:space="preserve">d their </w:t>
            </w:r>
            <w:r w:rsidR="00C932C4" w:rsidRPr="00F844C0">
              <w:rPr>
                <w:rFonts w:cs="Arial"/>
              </w:rPr>
              <w:t xml:space="preserve">primary </w:t>
            </w:r>
            <w:r w:rsidR="00C70C96" w:rsidRPr="00F844C0">
              <w:rPr>
                <w:rFonts w:cs="Arial"/>
              </w:rPr>
              <w:t>carers in the community</w:t>
            </w:r>
            <w:r w:rsidRPr="00F844C0">
              <w:rPr>
                <w:rFonts w:cs="Arial"/>
              </w:rPr>
              <w:t xml:space="preserve"> is an indicator of governments’ objective for people with disability and their carers to participate as valued members of the community and have an enhanced quality of life.</w:t>
            </w:r>
          </w:p>
          <w:p w:rsidR="004363AE" w:rsidRPr="00F844C0" w:rsidRDefault="004363AE" w:rsidP="00CA444C">
            <w:pPr>
              <w:pStyle w:val="TableBodyText"/>
              <w:shd w:val="clear" w:color="auto" w:fill="FFFFFF" w:themeFill="background1"/>
              <w:jc w:val="both"/>
            </w:pPr>
            <w:r w:rsidRPr="00F844C0">
              <w:t>The SDAC contains the most comprehensive and accurate measure of disability produced by the ABS, using 125 questions to collect information on any conditions people may have, whether these conditions cause restrictions, and the nature and severity of any restrictions.</w:t>
            </w:r>
          </w:p>
          <w:p w:rsidR="004363AE" w:rsidRPr="00F844C0" w:rsidRDefault="004363AE" w:rsidP="00CA444C">
            <w:pPr>
              <w:pStyle w:val="TableBodyText"/>
              <w:shd w:val="clear" w:color="auto" w:fill="FFFFFF" w:themeFill="background1"/>
              <w:jc w:val="both"/>
            </w:pPr>
            <w:r w:rsidRPr="00F844C0">
              <w:t>A range of social and community participation data are collected in the SDAC from persons aged 5 years and over with disability. Persons who reported one or more instances of social or community participation in the specified timeframes are included in this indicator.</w:t>
            </w:r>
          </w:p>
          <w:p w:rsidR="004363AE" w:rsidRPr="00F844C0" w:rsidRDefault="004363AE" w:rsidP="00CA444C">
            <w:pPr>
              <w:pStyle w:val="TableBodyText"/>
              <w:shd w:val="clear" w:color="auto" w:fill="FFFFFF" w:themeFill="background1"/>
              <w:jc w:val="both"/>
            </w:pPr>
            <w:r w:rsidRPr="00F844C0">
              <w:t xml:space="preserve">Social and community activities participated in </w:t>
            </w:r>
            <w:r w:rsidRPr="00F844C0">
              <w:rPr>
                <w:bCs/>
              </w:rPr>
              <w:t>at home</w:t>
            </w:r>
            <w:r w:rsidR="00C932C4" w:rsidRPr="00F844C0">
              <w:rPr>
                <w:bCs/>
              </w:rPr>
              <w:t xml:space="preserve"> </w:t>
            </w:r>
            <w:r w:rsidRPr="00F844C0">
              <w:t xml:space="preserve">in the past three months </w:t>
            </w:r>
            <w:r w:rsidRPr="00F844C0">
              <w:lastRenderedPageBreak/>
              <w:t xml:space="preserve">include: </w:t>
            </w:r>
          </w:p>
          <w:p w:rsidR="004363AE" w:rsidRPr="00F844C0" w:rsidRDefault="004363AE" w:rsidP="00CA444C">
            <w:pPr>
              <w:pStyle w:val="TableBullet"/>
              <w:shd w:val="clear" w:color="auto" w:fill="FFFFFF" w:themeFill="background1"/>
            </w:pPr>
            <w:r w:rsidRPr="00F844C0">
              <w:t xml:space="preserve">Visits from family or friends </w:t>
            </w:r>
          </w:p>
          <w:p w:rsidR="004363AE" w:rsidRPr="00F844C0" w:rsidRDefault="004363AE" w:rsidP="00CA444C">
            <w:pPr>
              <w:pStyle w:val="TableBullet"/>
              <w:shd w:val="clear" w:color="auto" w:fill="FFFFFF" w:themeFill="background1"/>
            </w:pPr>
            <w:r w:rsidRPr="00F844C0">
              <w:t xml:space="preserve">Telephone calls with family or friends </w:t>
            </w:r>
          </w:p>
          <w:p w:rsidR="004363AE" w:rsidRPr="00F844C0" w:rsidRDefault="004363AE" w:rsidP="00CA444C">
            <w:pPr>
              <w:pStyle w:val="TableBullet"/>
              <w:shd w:val="clear" w:color="auto" w:fill="FFFFFF" w:themeFill="background1"/>
            </w:pPr>
            <w:r w:rsidRPr="00F844C0">
              <w:t xml:space="preserve">Art or craftwork (for or with other people) </w:t>
            </w:r>
          </w:p>
          <w:p w:rsidR="004363AE" w:rsidRPr="00F844C0" w:rsidRDefault="004363AE" w:rsidP="00CA444C">
            <w:pPr>
              <w:pStyle w:val="TableBullet"/>
              <w:shd w:val="clear" w:color="auto" w:fill="FFFFFF" w:themeFill="background1"/>
            </w:pPr>
            <w:r w:rsidRPr="00F844C0">
              <w:t xml:space="preserve">Church or special community activities </w:t>
            </w:r>
          </w:p>
          <w:p w:rsidR="004363AE" w:rsidRPr="00F844C0" w:rsidRDefault="004363AE" w:rsidP="00CA444C">
            <w:pPr>
              <w:pStyle w:val="TableBullet"/>
              <w:shd w:val="clear" w:color="auto" w:fill="FFFFFF" w:themeFill="background1"/>
            </w:pPr>
            <w:r w:rsidRPr="00F844C0">
              <w:t>Voluntary work (including advocacy)</w:t>
            </w:r>
            <w:r w:rsidR="00DD62D7">
              <w:t>.</w:t>
            </w:r>
          </w:p>
          <w:p w:rsidR="004363AE" w:rsidRPr="00F844C0" w:rsidRDefault="004363AE" w:rsidP="00CA444C">
            <w:pPr>
              <w:pStyle w:val="TableBodyText"/>
              <w:shd w:val="clear" w:color="auto" w:fill="FFFFFF" w:themeFill="background1"/>
              <w:jc w:val="both"/>
              <w:rPr>
                <w:rFonts w:eastAsiaTheme="minorHAnsi"/>
              </w:rPr>
            </w:pPr>
            <w:r w:rsidRPr="00F844C0">
              <w:t xml:space="preserve">Social and community activities participated in </w:t>
            </w:r>
            <w:r w:rsidRPr="00F844C0">
              <w:rPr>
                <w:bCs/>
              </w:rPr>
              <w:t>away from home</w:t>
            </w:r>
            <w:r w:rsidR="00C932C4" w:rsidRPr="00F844C0">
              <w:t xml:space="preserve"> </w:t>
            </w:r>
            <w:r w:rsidRPr="00F844C0">
              <w:t xml:space="preserve">in the past three months include: </w:t>
            </w:r>
          </w:p>
          <w:p w:rsidR="004363AE" w:rsidRPr="00F844C0" w:rsidRDefault="004363AE" w:rsidP="00CA444C">
            <w:pPr>
              <w:pStyle w:val="TableBullet"/>
              <w:shd w:val="clear" w:color="auto" w:fill="FFFFFF" w:themeFill="background1"/>
            </w:pPr>
            <w:r w:rsidRPr="00F844C0">
              <w:t xml:space="preserve">Visited relatives or friends </w:t>
            </w:r>
          </w:p>
          <w:p w:rsidR="004363AE" w:rsidRPr="00F844C0" w:rsidRDefault="004363AE" w:rsidP="00CA444C">
            <w:pPr>
              <w:pStyle w:val="TableBullet"/>
              <w:shd w:val="clear" w:color="auto" w:fill="FFFFFF" w:themeFill="background1"/>
            </w:pPr>
            <w:r w:rsidRPr="00F844C0">
              <w:t xml:space="preserve">Went to restaurant or club </w:t>
            </w:r>
          </w:p>
          <w:p w:rsidR="004363AE" w:rsidRPr="00F844C0" w:rsidRDefault="004363AE" w:rsidP="00CA444C">
            <w:pPr>
              <w:pStyle w:val="TableBullet"/>
              <w:shd w:val="clear" w:color="auto" w:fill="FFFFFF" w:themeFill="background1"/>
            </w:pPr>
            <w:r w:rsidRPr="00F844C0">
              <w:t xml:space="preserve">Church activities </w:t>
            </w:r>
          </w:p>
          <w:p w:rsidR="004363AE" w:rsidRPr="00F844C0" w:rsidRDefault="004363AE" w:rsidP="00CA444C">
            <w:pPr>
              <w:pStyle w:val="TableBullet"/>
              <w:shd w:val="clear" w:color="auto" w:fill="FFFFFF" w:themeFill="background1"/>
            </w:pPr>
            <w:r w:rsidRPr="00F844C0">
              <w:t xml:space="preserve">Voluntary activities </w:t>
            </w:r>
          </w:p>
          <w:p w:rsidR="004363AE" w:rsidRPr="00F844C0" w:rsidRDefault="004363AE" w:rsidP="00CA444C">
            <w:pPr>
              <w:pStyle w:val="TableBullet"/>
              <w:shd w:val="clear" w:color="auto" w:fill="FFFFFF" w:themeFill="background1"/>
            </w:pPr>
            <w:r w:rsidRPr="00F844C0">
              <w:t xml:space="preserve">Performing Arts group activity </w:t>
            </w:r>
          </w:p>
          <w:p w:rsidR="004363AE" w:rsidRPr="00F844C0" w:rsidRDefault="004363AE" w:rsidP="00CA444C">
            <w:pPr>
              <w:pStyle w:val="TableBullet"/>
              <w:shd w:val="clear" w:color="auto" w:fill="FFFFFF" w:themeFill="background1"/>
            </w:pPr>
            <w:r w:rsidRPr="00F844C0">
              <w:t xml:space="preserve">Art or craft group activity </w:t>
            </w:r>
          </w:p>
          <w:p w:rsidR="004363AE" w:rsidRPr="00F844C0" w:rsidRDefault="004363AE" w:rsidP="00CA444C">
            <w:pPr>
              <w:pStyle w:val="TableBullet"/>
              <w:shd w:val="clear" w:color="auto" w:fill="FFFFFF" w:themeFill="background1"/>
            </w:pPr>
            <w:r w:rsidRPr="00F844C0">
              <w:t xml:space="preserve">Other special interest group activities </w:t>
            </w:r>
          </w:p>
          <w:p w:rsidR="004363AE" w:rsidRPr="00F844C0" w:rsidRDefault="004363AE" w:rsidP="00CA444C">
            <w:pPr>
              <w:pStyle w:val="TableBullet"/>
              <w:shd w:val="clear" w:color="auto" w:fill="FFFFFF" w:themeFill="background1"/>
            </w:pPr>
            <w:r w:rsidRPr="00F844C0">
              <w:t>Other activity not specified elsewhere</w:t>
            </w:r>
            <w:r w:rsidR="00DD62D7">
              <w:t>.</w:t>
            </w:r>
          </w:p>
          <w:p w:rsidR="004363AE" w:rsidRPr="00F844C0" w:rsidRDefault="004363AE" w:rsidP="00CA444C">
            <w:pPr>
              <w:pStyle w:val="TableBodyText"/>
              <w:shd w:val="clear" w:color="auto" w:fill="FFFFFF" w:themeFill="background1"/>
              <w:jc w:val="both"/>
            </w:pPr>
            <w:r w:rsidRPr="00F844C0">
              <w:t>The SDAC collects information about primary carers and non</w:t>
            </w:r>
            <w:r w:rsidR="002A0059">
              <w:noBreakHyphen/>
            </w:r>
            <w:r w:rsidRPr="00F844C0">
              <w:t>primary carers of people with disabilities. A primary carer is a person who provides the most informal assistance, in terms of help or supervision, to a person with one or more of the core activities of mobility, self</w:t>
            </w:r>
            <w:r w:rsidR="002A0059">
              <w:noBreakHyphen/>
            </w:r>
            <w:r w:rsidRPr="00F844C0">
              <w:t xml:space="preserve">care or communication. The assistance has to be ongoing, or likely to be ongoing, for at least six months. In this survey, primary carers only include persons aged 15 years and over. Persons aged 15 to 17 years were only interviewed personally if parental permission was granted. </w:t>
            </w:r>
          </w:p>
          <w:p w:rsidR="004363AE" w:rsidRPr="00F844C0" w:rsidRDefault="004363AE" w:rsidP="00CA444C">
            <w:pPr>
              <w:pStyle w:val="TableBodyText"/>
              <w:shd w:val="clear" w:color="auto" w:fill="FFFFFF" w:themeFill="background1"/>
              <w:jc w:val="both"/>
            </w:pPr>
            <w:r w:rsidRPr="00F844C0">
              <w:t xml:space="preserve">Social and community activities participated in, without the recipient of care, away from home in the past three months include: </w:t>
            </w:r>
          </w:p>
          <w:p w:rsidR="004363AE" w:rsidRPr="00F844C0" w:rsidRDefault="004363AE" w:rsidP="00CA444C">
            <w:pPr>
              <w:pStyle w:val="TableBullet"/>
              <w:shd w:val="clear" w:color="auto" w:fill="FFFFFF" w:themeFill="background1"/>
            </w:pPr>
            <w:r w:rsidRPr="00F844C0">
              <w:t xml:space="preserve">Visited relatives or friends </w:t>
            </w:r>
          </w:p>
          <w:p w:rsidR="004363AE" w:rsidRPr="00F844C0" w:rsidRDefault="004363AE" w:rsidP="00CA444C">
            <w:pPr>
              <w:pStyle w:val="TableBullet"/>
              <w:shd w:val="clear" w:color="auto" w:fill="FFFFFF" w:themeFill="background1"/>
            </w:pPr>
            <w:r w:rsidRPr="00F844C0">
              <w:t xml:space="preserve">Went to restaurant or club </w:t>
            </w:r>
          </w:p>
          <w:p w:rsidR="004363AE" w:rsidRPr="00F844C0" w:rsidRDefault="004363AE" w:rsidP="00CA444C">
            <w:pPr>
              <w:pStyle w:val="TableBullet"/>
              <w:shd w:val="clear" w:color="auto" w:fill="FFFFFF" w:themeFill="background1"/>
            </w:pPr>
            <w:r w:rsidRPr="00F844C0">
              <w:t xml:space="preserve">Church activities </w:t>
            </w:r>
          </w:p>
          <w:p w:rsidR="004363AE" w:rsidRPr="00F844C0" w:rsidRDefault="004363AE" w:rsidP="00CA444C">
            <w:pPr>
              <w:pStyle w:val="TableBullet"/>
              <w:shd w:val="clear" w:color="auto" w:fill="FFFFFF" w:themeFill="background1"/>
            </w:pPr>
            <w:r w:rsidRPr="00F844C0">
              <w:t xml:space="preserve">Voluntary activities </w:t>
            </w:r>
          </w:p>
          <w:p w:rsidR="004363AE" w:rsidRPr="00F844C0" w:rsidRDefault="004363AE" w:rsidP="00CA444C">
            <w:pPr>
              <w:pStyle w:val="TableBullet"/>
              <w:shd w:val="clear" w:color="auto" w:fill="FFFFFF" w:themeFill="background1"/>
            </w:pPr>
            <w:r w:rsidRPr="00F844C0">
              <w:t xml:space="preserve">Performing Arts group activity </w:t>
            </w:r>
          </w:p>
          <w:p w:rsidR="004363AE" w:rsidRPr="00F844C0" w:rsidRDefault="004363AE" w:rsidP="00CA444C">
            <w:pPr>
              <w:pStyle w:val="TableBullet"/>
              <w:shd w:val="clear" w:color="auto" w:fill="FFFFFF" w:themeFill="background1"/>
            </w:pPr>
            <w:r w:rsidRPr="00F844C0">
              <w:t xml:space="preserve">Art or craft group activity </w:t>
            </w:r>
          </w:p>
          <w:p w:rsidR="004363AE" w:rsidRPr="00F844C0" w:rsidRDefault="004363AE" w:rsidP="00CA444C">
            <w:pPr>
              <w:pStyle w:val="TableBullet"/>
              <w:shd w:val="clear" w:color="auto" w:fill="FFFFFF" w:themeFill="background1"/>
            </w:pPr>
            <w:r w:rsidRPr="00F844C0">
              <w:t xml:space="preserve">Other special interest group activities </w:t>
            </w:r>
          </w:p>
          <w:p w:rsidR="004363AE" w:rsidRPr="00F844C0" w:rsidRDefault="004363AE" w:rsidP="00CA444C">
            <w:pPr>
              <w:pStyle w:val="TableBullet"/>
              <w:shd w:val="clear" w:color="auto" w:fill="FFFFFF" w:themeFill="background1"/>
            </w:pPr>
            <w:r w:rsidRPr="00F844C0">
              <w:t xml:space="preserve">Other activity not specified elsewhere </w:t>
            </w:r>
          </w:p>
          <w:p w:rsidR="004363AE" w:rsidRPr="00F844C0" w:rsidRDefault="004363AE" w:rsidP="00CA444C">
            <w:pPr>
              <w:pStyle w:val="TableBullet"/>
              <w:shd w:val="clear" w:color="auto" w:fill="FFFFFF" w:themeFill="background1"/>
            </w:pPr>
            <w:r w:rsidRPr="00F844C0">
              <w:t xml:space="preserve">Participated in one or more of these activities. </w:t>
            </w:r>
          </w:p>
        </w:tc>
      </w:tr>
      <w:tr w:rsidR="006D1B6A" w:rsidRPr="00F844C0" w:rsidTr="001454BC">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lastRenderedPageBreak/>
              <w:t>Timeliness</w:t>
            </w:r>
            <w:r w:rsidRPr="00F844C0">
              <w:rPr>
                <w:rFonts w:cs="Arial"/>
                <w:lang w:val="en-US" w:eastAsia="en-US"/>
              </w:rPr>
              <w:t xml:space="preserve"> </w:t>
            </w:r>
          </w:p>
        </w:tc>
        <w:tc>
          <w:tcPr>
            <w:tcW w:w="7229" w:type="dxa"/>
            <w:gridSpan w:val="2"/>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jc w:val="both"/>
              <w:rPr>
                <w:rFonts w:cs="Arial"/>
              </w:rPr>
            </w:pPr>
            <w:r w:rsidRPr="00F844C0">
              <w:rPr>
                <w:rFonts w:cs="Arial"/>
              </w:rPr>
              <w:t>The ABS conducts the SDAC every three years. The most recent SDAC was conducted f</w:t>
            </w:r>
            <w:r w:rsidR="00C932C4" w:rsidRPr="00F844C0">
              <w:rPr>
                <w:rFonts w:cs="Arial"/>
              </w:rPr>
              <w:t xml:space="preserve">rom August 2012 to March 2013. </w:t>
            </w:r>
            <w:r w:rsidRPr="00F844C0">
              <w:rPr>
                <w:rFonts w:cs="Arial"/>
              </w:rPr>
              <w:t>Results from the 2012 survey were released in November 2013.</w:t>
            </w:r>
          </w:p>
        </w:tc>
      </w:tr>
      <w:tr w:rsidR="006D1B6A" w:rsidRPr="00F844C0" w:rsidTr="001454BC">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Accuracy </w:t>
            </w:r>
          </w:p>
        </w:tc>
        <w:tc>
          <w:tcPr>
            <w:tcW w:w="7229" w:type="dxa"/>
            <w:gridSpan w:val="2"/>
            <w:tcBorders>
              <w:top w:val="nil"/>
              <w:left w:val="nil"/>
              <w:bottom w:val="nil"/>
              <w:right w:val="nil"/>
            </w:tcBorders>
            <w:shd w:val="clear" w:color="auto" w:fill="auto"/>
          </w:tcPr>
          <w:p w:rsidR="006D1B6A" w:rsidRPr="00F844C0" w:rsidRDefault="006D1B6A" w:rsidP="00CA444C">
            <w:pPr>
              <w:pStyle w:val="TableBodyText"/>
              <w:shd w:val="clear" w:color="auto" w:fill="FFFFFF" w:themeFill="background1"/>
              <w:jc w:val="both"/>
            </w:pPr>
            <w:r w:rsidRPr="00F844C0">
              <w:t xml:space="preserve">Sample and Response Rate: The SDAC is conducted in all </w:t>
            </w:r>
            <w:r w:rsidR="00C932C4" w:rsidRPr="00F844C0">
              <w:t>s</w:t>
            </w:r>
            <w:r w:rsidRPr="00F844C0">
              <w:t xml:space="preserve">tates and </w:t>
            </w:r>
            <w:r w:rsidR="00C932C4" w:rsidRPr="00F844C0">
              <w:t>t</w:t>
            </w:r>
            <w:r w:rsidRPr="00F844C0">
              <w:t>erritories, excluding very remote areas, and includes people in both private and non</w:t>
            </w:r>
            <w:r w:rsidR="002A0059">
              <w:noBreakHyphen/>
            </w:r>
            <w:r w:rsidRPr="00F844C0">
              <w:t>private dwellings (including cared</w:t>
            </w:r>
            <w:r w:rsidR="002A0059">
              <w:noBreakHyphen/>
            </w:r>
            <w:r w:rsidRPr="00F844C0">
              <w:t xml:space="preserve">accommodation establishments). Dwellings in each </w:t>
            </w:r>
            <w:r w:rsidR="000441C0">
              <w:t>S</w:t>
            </w:r>
            <w:r w:rsidRPr="00F844C0">
              <w:t xml:space="preserve">tate and </w:t>
            </w:r>
            <w:r w:rsidR="000441C0">
              <w:t>T</w:t>
            </w:r>
            <w:r w:rsidRPr="00F844C0">
              <w:t>erritory were selected at random using a multi</w:t>
            </w:r>
            <w:r w:rsidR="002A0059">
              <w:noBreakHyphen/>
            </w:r>
            <w:r w:rsidRPr="00F844C0">
              <w:t>stage area sample. After sample loss, the 2012 SDAC sample included approximately 27</w:t>
            </w:r>
            <w:r w:rsidR="00C932C4" w:rsidRPr="00F844C0">
              <w:t> </w:t>
            </w:r>
            <w:r w:rsidRPr="00F844C0">
              <w:t>400 private dwellings, 1 000 health establishments and 500 other non</w:t>
            </w:r>
            <w:r w:rsidR="002A0059">
              <w:noBreakHyphen/>
            </w:r>
            <w:r w:rsidRPr="00F844C0">
              <w:t>private dwellings. The 2012 SDAC response rate</w:t>
            </w:r>
            <w:r w:rsidR="00C932C4" w:rsidRPr="00F844C0">
              <w:t xml:space="preserve"> for private dwellings was 89.8 per cent</w:t>
            </w:r>
            <w:r w:rsidRPr="00F844C0">
              <w:t>, and for establishments was 87.5 per cent. SDAC data are weighted to account for non</w:t>
            </w:r>
            <w:r w:rsidR="00C932C4" w:rsidRPr="00F844C0">
              <w:noBreakHyphen/>
            </w:r>
            <w:r w:rsidRPr="00F844C0">
              <w:t xml:space="preserve">response. </w:t>
            </w:r>
          </w:p>
          <w:p w:rsidR="006D1B6A" w:rsidRPr="00F844C0" w:rsidRDefault="006D1B6A" w:rsidP="00CA444C">
            <w:pPr>
              <w:pStyle w:val="TableBodyText"/>
              <w:shd w:val="clear" w:color="auto" w:fill="FFFFFF" w:themeFill="background1"/>
              <w:jc w:val="both"/>
              <w:rPr>
                <w:szCs w:val="18"/>
              </w:rPr>
            </w:pPr>
            <w:r w:rsidRPr="00F844C0">
              <w:t xml:space="preserve">Scope and </w:t>
            </w:r>
            <w:r w:rsidRPr="00F844C0">
              <w:rPr>
                <w:szCs w:val="18"/>
              </w:rPr>
              <w:t xml:space="preserve">coverage: Information on the scope and coverage for SDAC is available in the publication </w:t>
            </w:r>
            <w:r w:rsidRPr="00B12091">
              <w:rPr>
                <w:rFonts w:cs="Arial"/>
                <w:szCs w:val="18"/>
              </w:rPr>
              <w:t>Explanatory Notes</w:t>
            </w:r>
            <w:r w:rsidRPr="00F844C0">
              <w:rPr>
                <w:szCs w:val="18"/>
              </w:rPr>
              <w:t> (paragraphs 7 and</w:t>
            </w:r>
            <w:r w:rsidR="00410E3D">
              <w:rPr>
                <w:szCs w:val="18"/>
              </w:rPr>
              <w:t xml:space="preserve"> 8</w:t>
            </w:r>
            <w:r w:rsidRPr="00F844C0">
              <w:rPr>
                <w:szCs w:val="18"/>
              </w:rPr>
              <w:t xml:space="preserve">) for the </w:t>
            </w:r>
            <w:r w:rsidRPr="00B12091">
              <w:rPr>
                <w:rFonts w:cs="Arial"/>
                <w:szCs w:val="18"/>
              </w:rPr>
              <w:t>Disability, Ageing and Carers, Australia: Summary of Findings, 2012</w:t>
            </w:r>
            <w:r w:rsidRPr="00F844C0">
              <w:rPr>
                <w:szCs w:val="18"/>
              </w:rPr>
              <w:t xml:space="preserve">. The SDAC excludes very remote areas and discrete Aboriginal and Torres Strait Islander communities from its estimates. This exclusion has minimal impact on Australia level estimates if making inferences about the population at large. However, the </w:t>
            </w:r>
            <w:r w:rsidR="000441C0">
              <w:rPr>
                <w:szCs w:val="18"/>
              </w:rPr>
              <w:t>NT</w:t>
            </w:r>
            <w:r w:rsidRPr="00F844C0">
              <w:rPr>
                <w:szCs w:val="18"/>
              </w:rPr>
              <w:t xml:space="preserve"> has a significant proportion of the population in very remote areas and/or Indigenous Communities. As such it is important to interpret </w:t>
            </w:r>
            <w:r w:rsidR="000441C0">
              <w:rPr>
                <w:szCs w:val="18"/>
              </w:rPr>
              <w:t>NT</w:t>
            </w:r>
            <w:r w:rsidRPr="00F844C0">
              <w:rPr>
                <w:szCs w:val="18"/>
              </w:rPr>
              <w:t xml:space="preserve"> estimates in light of these areas being excluded from scope. </w:t>
            </w:r>
          </w:p>
          <w:p w:rsidR="006D1B6A" w:rsidRPr="00F844C0" w:rsidRDefault="006D1B6A" w:rsidP="00CA444C">
            <w:pPr>
              <w:pStyle w:val="TableBodyText"/>
              <w:shd w:val="clear" w:color="auto" w:fill="FFFFFF" w:themeFill="background1"/>
              <w:jc w:val="both"/>
              <w:rPr>
                <w:szCs w:val="18"/>
              </w:rPr>
            </w:pPr>
            <w:r w:rsidRPr="00F844C0">
              <w:rPr>
                <w:szCs w:val="18"/>
              </w:rPr>
              <w:t xml:space="preserve">For the first time in 2012, SDAC has excluded a small number of private dwellings that are in Collection Districts where the population contribution of an Indigenous Community exceeds 75 per cent within the CD, but the private dwellings themselves are outside the community. This exclusion has minimal impact on Australia level estimates. However, it could have an impact on </w:t>
            </w:r>
            <w:r w:rsidR="000441C0">
              <w:rPr>
                <w:szCs w:val="18"/>
              </w:rPr>
              <w:t>NT</w:t>
            </w:r>
            <w:r w:rsidRPr="00F844C0">
              <w:rPr>
                <w:szCs w:val="18"/>
              </w:rPr>
              <w:t xml:space="preserve"> estimates, as around 10 per cent </w:t>
            </w:r>
            <w:r w:rsidRPr="00F844C0">
              <w:rPr>
                <w:szCs w:val="18"/>
              </w:rPr>
              <w:lastRenderedPageBreak/>
              <w:t xml:space="preserve">of </w:t>
            </w:r>
            <w:r w:rsidR="000441C0">
              <w:rPr>
                <w:szCs w:val="18"/>
              </w:rPr>
              <w:t>NT</w:t>
            </w:r>
            <w:r w:rsidRPr="00F844C0">
              <w:rPr>
                <w:szCs w:val="18"/>
              </w:rPr>
              <w:t xml:space="preserve"> households that were previously included are now excluded. As such, estimates in the 2012 publication are not comparable to the 2009 survey. Estimates displayed as proportions are comparable with previous surveys. The SDAC also excludes people in gaols and correctional institutions. </w:t>
            </w:r>
          </w:p>
          <w:p w:rsidR="006D1B6A" w:rsidRPr="00F844C0" w:rsidRDefault="006D1B6A" w:rsidP="00FE77C0">
            <w:pPr>
              <w:pStyle w:val="TableBodyText"/>
              <w:shd w:val="clear" w:color="auto" w:fill="FFFFFF" w:themeFill="background1"/>
              <w:jc w:val="both"/>
            </w:pPr>
            <w:r w:rsidRPr="00F844C0">
              <w:rPr>
                <w:szCs w:val="18"/>
              </w:rPr>
              <w:t xml:space="preserve">Reliability of Estimates: All sample surveys </w:t>
            </w:r>
            <w:r w:rsidR="00C932C4" w:rsidRPr="00F844C0">
              <w:rPr>
                <w:szCs w:val="18"/>
              </w:rPr>
              <w:t>are subject to sampling and non</w:t>
            </w:r>
            <w:r w:rsidR="00C932C4" w:rsidRPr="00F844C0">
              <w:rPr>
                <w:szCs w:val="18"/>
              </w:rPr>
              <w:noBreakHyphen/>
            </w:r>
            <w:r w:rsidRPr="00F844C0">
              <w:rPr>
                <w:szCs w:val="18"/>
              </w:rPr>
              <w:t>sampling error.</w:t>
            </w:r>
            <w:r w:rsidR="00C932C4" w:rsidRPr="00F844C0">
              <w:rPr>
                <w:szCs w:val="18"/>
              </w:rPr>
              <w:t xml:space="preserve"> </w:t>
            </w:r>
            <w:r w:rsidRPr="00F844C0">
              <w:rPr>
                <w:szCs w:val="18"/>
              </w:rPr>
              <w:t xml:space="preserve">For more information relating to the Survey of Disability, Ageing and Carers, please refer to the publication </w:t>
            </w:r>
            <w:r w:rsidRPr="00B12091">
              <w:rPr>
                <w:rFonts w:cs="Arial"/>
                <w:szCs w:val="18"/>
              </w:rPr>
              <w:t>Disability, Ageing and Carers, Australia: Summary of Findings, 2012</w:t>
            </w:r>
            <w:r w:rsidRPr="00F844C0">
              <w:rPr>
                <w:color w:val="FF0000"/>
                <w:szCs w:val="18"/>
              </w:rPr>
              <w:t xml:space="preserve">. </w:t>
            </w:r>
            <w:r w:rsidRPr="00F844C0">
              <w:rPr>
                <w:rFonts w:cs="Arial"/>
              </w:rPr>
              <w:t xml:space="preserve">The </w:t>
            </w:r>
            <w:r w:rsidR="00FE77C0">
              <w:rPr>
                <w:rFonts w:cs="Arial"/>
              </w:rPr>
              <w:t>Report</w:t>
            </w:r>
            <w:r w:rsidRPr="00F844C0">
              <w:rPr>
                <w:rFonts w:cs="Arial"/>
              </w:rPr>
              <w:t xml:space="preserve"> includes information on the Relative Standard Errors (RSEs) of estimates published from the SDAC. RSEs indicate the reliability of an estimate. RSEs show the size of the error relative to the estimate. The higher the RSE, the less confidence there is that the estimate from the sample is close to the true value of the population mean. </w:t>
            </w:r>
            <w:r w:rsidRPr="00F844C0">
              <w:rPr>
                <w:szCs w:val="18"/>
              </w:rPr>
              <w:t xml:space="preserve">Where an estimate or </w:t>
            </w:r>
            <w:r w:rsidR="00E96E1A">
              <w:rPr>
                <w:szCs w:val="18"/>
              </w:rPr>
              <w:t>proportion has a RSE between 25 </w:t>
            </w:r>
            <w:r w:rsidRPr="00F844C0">
              <w:rPr>
                <w:szCs w:val="18"/>
              </w:rPr>
              <w:t>per cent and 50 per cent, the</w:t>
            </w:r>
            <w:r w:rsidRPr="00F844C0">
              <w:t xml:space="preserve"> estimate or proportion is annotated to indicate that it is subject to a high RSE and should be used with caution. Where an estimate or proportion has an RSE above 50 per cent, the estimate or proportion is annotated to indicate that it is not reliable for general use, and the RSE is not published.</w:t>
            </w:r>
          </w:p>
        </w:tc>
      </w:tr>
      <w:tr w:rsidR="006D1B6A" w:rsidRPr="00F844C0" w:rsidTr="001454BC">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lastRenderedPageBreak/>
              <w:t xml:space="preserve">Coherence </w:t>
            </w:r>
          </w:p>
        </w:tc>
        <w:tc>
          <w:tcPr>
            <w:tcW w:w="7229" w:type="dxa"/>
            <w:gridSpan w:val="2"/>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jc w:val="both"/>
              <w:rPr>
                <w:rFonts w:cs="Arial"/>
              </w:rPr>
            </w:pPr>
            <w:r w:rsidRPr="00F844C0">
              <w:rPr>
                <w:rFonts w:cs="Arial"/>
              </w:rPr>
              <w:t>The numerator and denominator are sourced from the same collection, with the numerator being a subset of the denominator population.</w:t>
            </w:r>
          </w:p>
        </w:tc>
      </w:tr>
      <w:tr w:rsidR="006D1B6A" w:rsidRPr="00F844C0" w:rsidTr="001454BC">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Accessibility </w:t>
            </w:r>
          </w:p>
        </w:tc>
        <w:tc>
          <w:tcPr>
            <w:tcW w:w="7229" w:type="dxa"/>
            <w:gridSpan w:val="2"/>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jc w:val="both"/>
              <w:rPr>
                <w:rFonts w:cs="Arial"/>
              </w:rPr>
            </w:pPr>
            <w:r w:rsidRPr="00F844C0">
              <w:rPr>
                <w:rFonts w:cs="Arial"/>
              </w:rPr>
              <w:t>A range of data drawn from th</w:t>
            </w:r>
            <w:r w:rsidR="00FE77C0">
              <w:rPr>
                <w:rFonts w:cs="Arial"/>
              </w:rPr>
              <w:t xml:space="preserve">e SDAC are available on the ABS. </w:t>
            </w:r>
            <w:r w:rsidRPr="00F844C0">
              <w:rPr>
                <w:rFonts w:cs="Arial"/>
              </w:rPr>
              <w:t>Additional data can be accessed from the ABS. Costs are associated with additional data and vary depending on the type of request.</w:t>
            </w:r>
          </w:p>
          <w:p w:rsidR="006D1B6A" w:rsidRPr="00F844C0" w:rsidRDefault="006D1B6A" w:rsidP="00CA444C">
            <w:pPr>
              <w:pStyle w:val="TableBodyText"/>
              <w:shd w:val="clear" w:color="auto" w:fill="FFFFFF" w:themeFill="background1"/>
              <w:jc w:val="both"/>
              <w:rPr>
                <w:szCs w:val="18"/>
              </w:rPr>
            </w:pPr>
            <w:r w:rsidRPr="00F844C0">
              <w:rPr>
                <w:szCs w:val="18"/>
              </w:rPr>
              <w:t xml:space="preserve">See </w:t>
            </w:r>
            <w:r w:rsidRPr="00B12091">
              <w:rPr>
                <w:rFonts w:cs="Arial"/>
                <w:szCs w:val="18"/>
              </w:rPr>
              <w:t>Disability, Ageing and Carers, Australia: Summary of Findings, 2012</w:t>
            </w:r>
            <w:r w:rsidRPr="00F844C0">
              <w:rPr>
                <w:szCs w:val="18"/>
              </w:rPr>
              <w:t xml:space="preserve"> for an overview of results from the SDAC. Results from the 2012 SDAC are also available in the form of: </w:t>
            </w:r>
          </w:p>
          <w:p w:rsidR="006D1B6A" w:rsidRPr="00F844C0" w:rsidRDefault="006D1B6A" w:rsidP="00CA444C">
            <w:pPr>
              <w:pStyle w:val="TableBullet"/>
              <w:shd w:val="clear" w:color="auto" w:fill="FFFFFF" w:themeFill="background1"/>
            </w:pPr>
            <w:r w:rsidRPr="00F844C0">
              <w:t>a sub</w:t>
            </w:r>
            <w:r w:rsidR="002A0059">
              <w:noBreakHyphen/>
            </w:r>
            <w:r w:rsidRPr="00F844C0">
              <w:t xml:space="preserve">set of tables in a spreadsheet format for each </w:t>
            </w:r>
            <w:r w:rsidR="000441C0">
              <w:t>State and T</w:t>
            </w:r>
            <w:r w:rsidRPr="00F844C0">
              <w:t>erritory (subject to standard error and confidentiality constraints and excluding time series tables)</w:t>
            </w:r>
          </w:p>
          <w:p w:rsidR="006D1B6A" w:rsidRPr="00F844C0" w:rsidRDefault="006D1B6A" w:rsidP="00CA444C">
            <w:pPr>
              <w:pStyle w:val="TableBullet"/>
              <w:shd w:val="clear" w:color="auto" w:fill="FFFFFF" w:themeFill="background1"/>
            </w:pPr>
            <w:r w:rsidRPr="00F844C0">
              <w:t>a number of su</w:t>
            </w:r>
            <w:r w:rsidR="000441C0">
              <w:t>pplementary themed publications</w:t>
            </w:r>
          </w:p>
          <w:p w:rsidR="006D1B6A" w:rsidRPr="00F844C0" w:rsidRDefault="006D1B6A" w:rsidP="00CA444C">
            <w:pPr>
              <w:pStyle w:val="TableBullet"/>
              <w:shd w:val="clear" w:color="auto" w:fill="FFFFFF" w:themeFill="background1"/>
            </w:pPr>
            <w:r w:rsidRPr="00F844C0">
              <w:t>a Confident</w:t>
            </w:r>
            <w:r w:rsidR="000441C0">
              <w:t>ialised Unit Record File (CURF)</w:t>
            </w:r>
          </w:p>
          <w:p w:rsidR="006D1B6A" w:rsidRPr="00F844C0" w:rsidRDefault="006D1B6A" w:rsidP="00CA444C">
            <w:pPr>
              <w:pStyle w:val="TableBullet"/>
              <w:shd w:val="clear" w:color="auto" w:fill="FFFFFF" w:themeFill="background1"/>
            </w:pPr>
            <w:r w:rsidRPr="00F844C0">
              <w:t>a TableBuilder product.</w:t>
            </w:r>
          </w:p>
          <w:p w:rsidR="006D1B6A" w:rsidRPr="00F844C0" w:rsidRDefault="006D1B6A" w:rsidP="00CA444C">
            <w:pPr>
              <w:pStyle w:val="TableBodyText"/>
              <w:shd w:val="clear" w:color="auto" w:fill="FFFFFF" w:themeFill="background1"/>
              <w:jc w:val="both"/>
            </w:pPr>
            <w:r w:rsidRPr="00F844C0">
              <w:rPr>
                <w:szCs w:val="18"/>
              </w:rPr>
              <w:t xml:space="preserve">Other information from the survey is available on request – see further information in the </w:t>
            </w:r>
            <w:r w:rsidRPr="00B12091">
              <w:rPr>
                <w:rFonts w:cs="Arial"/>
                <w:szCs w:val="18"/>
              </w:rPr>
              <w:t>Quality Declarations - Summary</w:t>
            </w:r>
            <w:r w:rsidRPr="00F844C0">
              <w:rPr>
                <w:szCs w:val="18"/>
              </w:rPr>
              <w:t>.</w:t>
            </w:r>
          </w:p>
        </w:tc>
      </w:tr>
      <w:tr w:rsidR="006D1B6A" w:rsidRPr="00F844C0" w:rsidTr="001454BC">
        <w:tblPrEx>
          <w:tblCellMar>
            <w:left w:w="108" w:type="dxa"/>
            <w:right w:w="108" w:type="dxa"/>
          </w:tblCellMar>
          <w:tblLook w:val="01E0" w:firstRow="1" w:lastRow="1" w:firstColumn="1" w:lastColumn="1" w:noHBand="0" w:noVBand="0"/>
        </w:tblPrEx>
        <w:tc>
          <w:tcPr>
            <w:tcW w:w="1560" w:type="dxa"/>
            <w:tcBorders>
              <w:top w:val="nil"/>
              <w:left w:val="nil"/>
              <w:bottom w:val="nil"/>
              <w:right w:val="nil"/>
            </w:tcBorders>
            <w:shd w:val="clear" w:color="auto" w:fill="auto"/>
          </w:tcPr>
          <w:p w:rsidR="006D1B6A" w:rsidRPr="00F844C0" w:rsidRDefault="006D1B6A"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Interpretability </w:t>
            </w:r>
          </w:p>
        </w:tc>
        <w:tc>
          <w:tcPr>
            <w:tcW w:w="7229" w:type="dxa"/>
            <w:gridSpan w:val="2"/>
            <w:tcBorders>
              <w:top w:val="nil"/>
              <w:left w:val="nil"/>
              <w:bottom w:val="nil"/>
              <w:right w:val="nil"/>
            </w:tcBorders>
            <w:shd w:val="clear" w:color="auto" w:fill="auto"/>
          </w:tcPr>
          <w:p w:rsidR="006D1B6A" w:rsidRPr="00F844C0" w:rsidRDefault="006D1B6A" w:rsidP="00CA444C">
            <w:pPr>
              <w:pStyle w:val="TableBodyText"/>
              <w:shd w:val="clear" w:color="auto" w:fill="FFFFFF" w:themeFill="background1"/>
              <w:jc w:val="both"/>
            </w:pPr>
            <w:r w:rsidRPr="00F844C0">
              <w:t xml:space="preserve">Confidentiality: To minimise the risk of identifying individuals in aggregate statistics, in the 2012 SDAC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 </w:t>
            </w:r>
          </w:p>
          <w:p w:rsidR="006D1B6A" w:rsidRPr="00F844C0" w:rsidRDefault="006D1B6A" w:rsidP="00CA444C">
            <w:pPr>
              <w:pStyle w:val="TableBodyText"/>
              <w:shd w:val="clear" w:color="auto" w:fill="FFFFFF" w:themeFill="background1"/>
              <w:jc w:val="both"/>
            </w:pPr>
            <w:r w:rsidRPr="00F844C0">
              <w:t xml:space="preserve">After perturbation, a given published cell value will be consistent across all tables. However, adding up cell values to derive a total will not necessarily give the same result as published totals. The introduction of perturbation in publications ensures that these statistics are consistent with statistics released via services such as Table Builder. </w:t>
            </w:r>
          </w:p>
          <w:p w:rsidR="006D1B6A" w:rsidRPr="00F844C0" w:rsidRDefault="006D1B6A" w:rsidP="00CA444C">
            <w:pPr>
              <w:pStyle w:val="TableBodyText"/>
              <w:shd w:val="clear" w:color="auto" w:fill="FFFFFF" w:themeFill="background1"/>
              <w:jc w:val="both"/>
            </w:pPr>
            <w:r w:rsidRPr="00F844C0">
              <w:rPr>
                <w:szCs w:val="18"/>
              </w:rPr>
              <w:t xml:space="preserve">Information is available to aid interpretation of SDAC data in the publication, </w:t>
            </w:r>
            <w:r w:rsidRPr="00B12091">
              <w:rPr>
                <w:rFonts w:cs="Arial"/>
                <w:szCs w:val="18"/>
              </w:rPr>
              <w:t> Disability, Ageing and Carers, Australia: Summary of Findings, 2012</w:t>
            </w:r>
            <w:r w:rsidRPr="00F844C0">
              <w:rPr>
                <w:color w:val="FF0000"/>
                <w:szCs w:val="18"/>
              </w:rPr>
              <w:t xml:space="preserve">, </w:t>
            </w:r>
            <w:r w:rsidRPr="00F844C0">
              <w:rPr>
                <w:szCs w:val="18"/>
              </w:rPr>
              <w:t xml:space="preserve">on the ABS website. Detailed Explanatory Notes, a Technical note on Data Quality, and a Glossary are also included to provide information on the terminology, </w:t>
            </w:r>
            <w:r w:rsidRPr="00F844C0">
              <w:t>classifications and other technical aspects associated with these statistics.</w:t>
            </w:r>
          </w:p>
          <w:p w:rsidR="006D1B6A" w:rsidRPr="00F844C0" w:rsidRDefault="006D1B6A" w:rsidP="000441C0">
            <w:pPr>
              <w:pStyle w:val="TableBodyText"/>
              <w:keepNext w:val="0"/>
              <w:keepLines w:val="0"/>
              <w:widowControl w:val="0"/>
              <w:shd w:val="clear" w:color="auto" w:fill="FFFFFF" w:themeFill="background1"/>
              <w:jc w:val="both"/>
              <w:rPr>
                <w:rFonts w:cs="Arial"/>
              </w:rPr>
            </w:pPr>
            <w:r w:rsidRPr="00F844C0">
              <w:rPr>
                <w:rFonts w:cs="Arial"/>
              </w:rPr>
              <w:t xml:space="preserve">Further technical details are available on the ABS website: </w:t>
            </w:r>
            <w:r w:rsidR="000441C0" w:rsidRPr="00B12091">
              <w:rPr>
                <w:rFonts w:cs="Arial"/>
              </w:rPr>
              <w:t>www.abs.gov.au/AUSSTATS/abs@.nsf/Latestproducts/4430.0Quality%20Declaration02012?opendocument&amp;tabname=Notes&amp;prodno=4430.0&amp;issue=2012&amp;num=&amp;view</w:t>
            </w:r>
            <w:r w:rsidRPr="00F844C0">
              <w:rPr>
                <w:rFonts w:cs="Arial"/>
              </w:rPr>
              <w:t xml:space="preserve">= </w:t>
            </w:r>
          </w:p>
        </w:tc>
      </w:tr>
      <w:tr w:rsidR="00EA25CD" w:rsidRPr="00F844C0" w:rsidTr="00BD4765">
        <w:tblPrEx>
          <w:tblCellMar>
            <w:left w:w="108" w:type="dxa"/>
            <w:right w:w="108" w:type="dxa"/>
          </w:tblCellMar>
          <w:tblLook w:val="01E0" w:firstRow="1" w:lastRow="1" w:firstColumn="1" w:lastColumn="1" w:noHBand="0" w:noVBand="0"/>
        </w:tblPrEx>
        <w:tc>
          <w:tcPr>
            <w:tcW w:w="8789" w:type="dxa"/>
            <w:gridSpan w:val="3"/>
            <w:tcBorders>
              <w:top w:val="nil"/>
              <w:left w:val="nil"/>
              <w:bottom w:val="nil"/>
              <w:right w:val="nil"/>
            </w:tcBorders>
            <w:shd w:val="clear" w:color="auto" w:fill="auto"/>
          </w:tcPr>
          <w:p w:rsidR="00EA25CD" w:rsidRPr="00F844C0" w:rsidRDefault="00EA25CD" w:rsidP="00CA444C">
            <w:pPr>
              <w:pStyle w:val="TableBodyText"/>
              <w:keepLines w:val="0"/>
              <w:widowControl w:val="0"/>
              <w:shd w:val="clear" w:color="auto" w:fill="FFFFFF" w:themeFill="background1"/>
              <w:jc w:val="both"/>
              <w:rPr>
                <w:b/>
              </w:rPr>
            </w:pPr>
            <w:r w:rsidRPr="00F844C0">
              <w:rPr>
                <w:b/>
                <w:u w:val="single"/>
              </w:rPr>
              <w:t>Data Gaps/Issues Analysis</w:t>
            </w:r>
          </w:p>
        </w:tc>
      </w:tr>
      <w:tr w:rsidR="00EA25CD" w:rsidRPr="00F844C0" w:rsidTr="00416BA2">
        <w:tblPrEx>
          <w:tblCellMar>
            <w:left w:w="108" w:type="dxa"/>
            <w:right w:w="108" w:type="dxa"/>
          </w:tblCellMar>
          <w:tblLook w:val="01E0" w:firstRow="1" w:lastRow="1" w:firstColumn="1" w:lastColumn="1" w:noHBand="0" w:noVBand="0"/>
        </w:tblPrEx>
        <w:tc>
          <w:tcPr>
            <w:tcW w:w="1701" w:type="dxa"/>
            <w:gridSpan w:val="2"/>
            <w:tcBorders>
              <w:top w:val="nil"/>
              <w:left w:val="nil"/>
              <w:bottom w:val="nil"/>
              <w:right w:val="nil"/>
            </w:tcBorders>
            <w:shd w:val="clear" w:color="auto" w:fill="auto"/>
          </w:tcPr>
          <w:p w:rsidR="00EA25CD" w:rsidRPr="00F844C0" w:rsidRDefault="00EA25CD" w:rsidP="00CA444C">
            <w:pPr>
              <w:pStyle w:val="TableBodyText"/>
              <w:keepNext w:val="0"/>
              <w:keepLines w:val="0"/>
              <w:widowControl w:val="0"/>
              <w:shd w:val="clear" w:color="auto" w:fill="FFFFFF" w:themeFill="background1"/>
              <w:spacing w:before="120"/>
              <w:ind w:left="0"/>
              <w:jc w:val="left"/>
              <w:rPr>
                <w:rFonts w:cs="Arial"/>
                <w:b/>
                <w:szCs w:val="22"/>
              </w:rPr>
            </w:pPr>
            <w:r w:rsidRPr="00F844C0">
              <w:rPr>
                <w:rFonts w:cs="Arial"/>
                <w:b/>
                <w:szCs w:val="22"/>
              </w:rPr>
              <w:t>Key data gaps/issues</w:t>
            </w:r>
          </w:p>
        </w:tc>
        <w:tc>
          <w:tcPr>
            <w:tcW w:w="7088" w:type="dxa"/>
            <w:tcBorders>
              <w:top w:val="nil"/>
              <w:left w:val="nil"/>
              <w:bottom w:val="nil"/>
              <w:right w:val="nil"/>
            </w:tcBorders>
            <w:shd w:val="clear" w:color="auto" w:fill="auto"/>
          </w:tcPr>
          <w:p w:rsidR="00EA25CD" w:rsidRPr="00F844C0" w:rsidRDefault="00EA25CD" w:rsidP="00CA444C">
            <w:pPr>
              <w:pStyle w:val="TableBodyText"/>
              <w:keepNext w:val="0"/>
              <w:keepLines w:val="0"/>
              <w:widowControl w:val="0"/>
              <w:shd w:val="clear" w:color="auto" w:fill="FFFFFF" w:themeFill="background1"/>
              <w:spacing w:after="60"/>
              <w:jc w:val="both"/>
              <w:rPr>
                <w:rFonts w:cs="Arial"/>
              </w:rPr>
            </w:pPr>
            <w:r w:rsidRPr="00F844C0">
              <w:rPr>
                <w:rFonts w:cs="Arial"/>
              </w:rPr>
              <w:t>The Steering Committee notes the following issues:</w:t>
            </w:r>
          </w:p>
          <w:p w:rsidR="00CA5932" w:rsidRPr="00F844C0" w:rsidRDefault="00CA5932" w:rsidP="00CA444C">
            <w:pPr>
              <w:pStyle w:val="TableBullet"/>
              <w:shd w:val="clear" w:color="auto" w:fill="FFFFFF" w:themeFill="background1"/>
              <w:jc w:val="both"/>
            </w:pPr>
            <w:r w:rsidRPr="00F844C0">
              <w:t>data reported for this indicator are considered comparable (subject to caveats) across jurisdictions for 2012</w:t>
            </w:r>
            <w:r w:rsidR="006D1B6A" w:rsidRPr="00F844C0">
              <w:t>. Note, however, that:</w:t>
            </w:r>
          </w:p>
          <w:p w:rsidR="006D1B6A" w:rsidRPr="00F844C0" w:rsidRDefault="006D1B6A" w:rsidP="00CA444C">
            <w:pPr>
              <w:pStyle w:val="TableBullet"/>
              <w:shd w:val="clear" w:color="auto" w:fill="FFFFFF" w:themeFill="background1"/>
              <w:ind w:left="737"/>
              <w:jc w:val="both"/>
            </w:pPr>
            <w:r w:rsidRPr="00F844C0">
              <w:t>in 2012, the identification process for possible primary carers changed to only require a carer to provide the most informal assistance for core activities overall, regardless of whether they were the secondary provider of this assistance. This change was found to increase the number of possible primary carers identified, although the overall number of primary carers identified was not affected</w:t>
            </w:r>
          </w:p>
          <w:p w:rsidR="006D1B6A" w:rsidRPr="00F844C0" w:rsidRDefault="006D1B6A" w:rsidP="00CA444C">
            <w:pPr>
              <w:pStyle w:val="TableBullet"/>
              <w:shd w:val="clear" w:color="auto" w:fill="FFFFFF" w:themeFill="background1"/>
              <w:ind w:left="737"/>
              <w:jc w:val="both"/>
            </w:pPr>
            <w:r w:rsidRPr="00F844C0">
              <w:t xml:space="preserve">in 2009, primary carers </w:t>
            </w:r>
            <w:r w:rsidR="00617D91" w:rsidRPr="00F844C0">
              <w:t>who</w:t>
            </w:r>
            <w:r w:rsidRPr="00F844C0">
              <w:t xml:space="preserve"> were not aged and did not have a disability </w:t>
            </w:r>
            <w:r w:rsidRPr="00F844C0">
              <w:lastRenderedPageBreak/>
              <w:t>(i.e., those aged between 15 and 59 years of age, without disability) were not asked about their social and community participation without the person they cared for. The 2012 survey was developed to collect this information, allowing for a comparison of participation, without the recipient of care, across the whole primary carer population. Data for indicator 1 (people with disability) are considered comparable between 2009 and 2012.</w:t>
            </w:r>
          </w:p>
          <w:p w:rsidR="00EA25CD" w:rsidRPr="00F844C0" w:rsidRDefault="00CA5932" w:rsidP="00CA444C">
            <w:pPr>
              <w:pStyle w:val="TableBullet"/>
              <w:shd w:val="clear" w:color="auto" w:fill="FFFFFF" w:themeFill="background1"/>
              <w:jc w:val="both"/>
            </w:pPr>
            <w:r w:rsidRPr="00F844C0">
              <w:t>data reported for this indicator are complete for the current reporting period.</w:t>
            </w:r>
          </w:p>
        </w:tc>
      </w:tr>
    </w:tbl>
    <w:p w:rsidR="00BD4765" w:rsidRDefault="00BD4765" w:rsidP="00CA444C">
      <w:pPr>
        <w:pStyle w:val="BodyText"/>
        <w:shd w:val="clear" w:color="auto" w:fill="FFFFFF" w:themeFill="background1"/>
        <w:rPr>
          <w:rFonts w:ascii="Arial" w:hAnsi="Arial"/>
          <w:sz w:val="32"/>
        </w:rPr>
      </w:pPr>
      <w:r>
        <w:lastRenderedPageBreak/>
        <w:br w:type="page"/>
      </w:r>
    </w:p>
    <w:p w:rsidR="00A420D4" w:rsidRPr="00F844C0" w:rsidRDefault="00370A5F" w:rsidP="00CA444C">
      <w:pPr>
        <w:pStyle w:val="Heading2nosectionno"/>
        <w:shd w:val="clear" w:color="auto" w:fill="FFFFFF" w:themeFill="background1"/>
        <w:rPr>
          <w:szCs w:val="24"/>
        </w:rPr>
      </w:pPr>
      <w:bookmarkStart w:id="25" w:name="_Toc404867669"/>
      <w:r w:rsidRPr="00F844C0">
        <w:rPr>
          <w:szCs w:val="24"/>
        </w:rPr>
        <w:lastRenderedPageBreak/>
        <w:t>Jobless families</w:t>
      </w:r>
      <w:bookmarkEnd w:id="25"/>
    </w:p>
    <w:p w:rsidR="00A420D4" w:rsidRPr="00F844C0" w:rsidRDefault="00A420D4"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FE77C0">
        <w:rPr>
          <w:rFonts w:ascii="Arial" w:hAnsi="Arial" w:cs="Arial"/>
          <w:sz w:val="22"/>
          <w:szCs w:val="22"/>
        </w:rPr>
        <w:t>the Report’s</w:t>
      </w:r>
      <w:r w:rsidR="00FE77C0" w:rsidRPr="00F844C0">
        <w:rPr>
          <w:rFonts w:ascii="Arial" w:hAnsi="Arial" w:cs="Arial"/>
          <w:sz w:val="22"/>
          <w:szCs w:val="22"/>
        </w:rPr>
        <w:t xml:space="preserve"> </w:t>
      </w:r>
      <w:r w:rsidRPr="00F844C0">
        <w:rPr>
          <w:rFonts w:ascii="Arial" w:hAnsi="Arial" w:cs="Arial"/>
          <w:sz w:val="22"/>
          <w:szCs w:val="22"/>
        </w:rPr>
        <w:t xml:space="preserve">community service working groups. </w:t>
      </w:r>
    </w:p>
    <w:tbl>
      <w:tblPr>
        <w:tblW w:w="5000" w:type="pct"/>
        <w:tblLayout w:type="fixed"/>
        <w:tblCellMar>
          <w:left w:w="0" w:type="dxa"/>
          <w:right w:w="0" w:type="dxa"/>
        </w:tblCellMar>
        <w:tblLook w:val="0000" w:firstRow="0" w:lastRow="0" w:firstColumn="0" w:lastColumn="0" w:noHBand="0" w:noVBand="0"/>
      </w:tblPr>
      <w:tblGrid>
        <w:gridCol w:w="1702"/>
        <w:gridCol w:w="7052"/>
        <w:gridCol w:w="35"/>
      </w:tblGrid>
      <w:tr w:rsidR="00A420D4" w:rsidRPr="00F844C0" w:rsidTr="00BD4765">
        <w:trPr>
          <w:gridAfter w:val="1"/>
          <w:wAfter w:w="20" w:type="pct"/>
        </w:trPr>
        <w:tc>
          <w:tcPr>
            <w:tcW w:w="4980" w:type="pct"/>
            <w:gridSpan w:val="2"/>
          </w:tcPr>
          <w:p w:rsidR="00A420D4" w:rsidRPr="00F844C0" w:rsidRDefault="00A420D4" w:rsidP="00CA444C">
            <w:pPr>
              <w:pStyle w:val="TableBodyText"/>
              <w:keepNext w:val="0"/>
              <w:keepLines w:val="0"/>
              <w:widowControl w:val="0"/>
              <w:shd w:val="clear" w:color="auto" w:fill="FFFFFF" w:themeFill="background1"/>
              <w:jc w:val="both"/>
              <w:rPr>
                <w:b/>
                <w:u w:val="single"/>
              </w:rPr>
            </w:pPr>
          </w:p>
          <w:p w:rsidR="00A420D4" w:rsidRPr="00F844C0" w:rsidRDefault="00A420D4" w:rsidP="00CA444C">
            <w:pPr>
              <w:pStyle w:val="TableBodyText"/>
              <w:keepNext w:val="0"/>
              <w:keepLines w:val="0"/>
              <w:widowControl w:val="0"/>
              <w:shd w:val="clear" w:color="auto" w:fill="FFFFFF" w:themeFill="background1"/>
              <w:jc w:val="both"/>
            </w:pPr>
            <w:r w:rsidRPr="00F844C0">
              <w:rPr>
                <w:b/>
                <w:u w:val="single"/>
              </w:rPr>
              <w:t>Indicator definition and description</w:t>
            </w:r>
            <w:r w:rsidRPr="00F844C0">
              <w:rPr>
                <w:rFonts w:cs="Arial"/>
                <w:b/>
                <w:sz w:val="22"/>
                <w:szCs w:val="22"/>
                <w:u w:val="single"/>
              </w:rPr>
              <w:t xml:space="preserve"> </w:t>
            </w:r>
          </w:p>
        </w:tc>
      </w:tr>
      <w:tr w:rsidR="00A420D4"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Element</w:t>
            </w:r>
          </w:p>
        </w:tc>
        <w:tc>
          <w:tcPr>
            <w:tcW w:w="4032" w:type="pct"/>
            <w:gridSpan w:val="2"/>
            <w:tcBorders>
              <w:top w:val="nil"/>
              <w:left w:val="nil"/>
              <w:bottom w:val="nil"/>
              <w:right w:val="nil"/>
            </w:tcBorders>
            <w:shd w:val="clear" w:color="auto" w:fill="auto"/>
          </w:tcPr>
          <w:p w:rsidR="00A420D4" w:rsidRPr="00F844C0" w:rsidRDefault="008A0DAC" w:rsidP="00CA444C">
            <w:pPr>
              <w:pStyle w:val="TableBodyText"/>
              <w:keepNext w:val="0"/>
              <w:keepLines w:val="0"/>
              <w:widowControl w:val="0"/>
              <w:shd w:val="clear" w:color="auto" w:fill="FFFFFF" w:themeFill="background1"/>
              <w:jc w:val="both"/>
              <w:rPr>
                <w:rFonts w:cs="Arial"/>
              </w:rPr>
            </w:pPr>
            <w:r w:rsidRPr="00F844C0">
              <w:rPr>
                <w:rFonts w:cs="Arial"/>
              </w:rPr>
              <w:t>Sector</w:t>
            </w:r>
            <w:r w:rsidR="002A0059">
              <w:rPr>
                <w:rFonts w:cs="Arial"/>
              </w:rPr>
              <w:noBreakHyphen/>
            </w:r>
            <w:r w:rsidRPr="00F844C0">
              <w:rPr>
                <w:rFonts w:cs="Arial"/>
              </w:rPr>
              <w:t>wide indicator</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Indicator </w:t>
            </w:r>
          </w:p>
        </w:tc>
        <w:tc>
          <w:tcPr>
            <w:tcW w:w="4032" w:type="pct"/>
            <w:gridSpan w:val="2"/>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jc w:val="both"/>
              <w:rPr>
                <w:rFonts w:cs="Arial"/>
              </w:rPr>
            </w:pPr>
            <w:r w:rsidRPr="00F844C0">
              <w:rPr>
                <w:rFonts w:cs="Arial"/>
              </w:rPr>
              <w:t>Jobless families with children as a proportion of all families</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t>Measure (computation)</w:t>
            </w:r>
          </w:p>
        </w:tc>
        <w:tc>
          <w:tcPr>
            <w:tcW w:w="4032" w:type="pct"/>
            <w:gridSpan w:val="2"/>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Definition:</w:t>
            </w:r>
          </w:p>
          <w:p w:rsidR="008A0DAC" w:rsidRPr="00F844C0" w:rsidRDefault="008A0DAC" w:rsidP="00CA444C">
            <w:pPr>
              <w:pStyle w:val="TableBodyText"/>
              <w:keepNext w:val="0"/>
              <w:keepLines w:val="0"/>
              <w:widowControl w:val="0"/>
              <w:shd w:val="clear" w:color="auto" w:fill="FFFFFF" w:themeFill="background1"/>
              <w:spacing w:after="60"/>
              <w:jc w:val="both"/>
              <w:rPr>
                <w:rFonts w:cs="Arial"/>
                <w:szCs w:val="18"/>
              </w:rPr>
            </w:pPr>
            <w:r w:rsidRPr="00F844C0">
              <w:rPr>
                <w:rFonts w:cs="Arial"/>
                <w:szCs w:val="18"/>
              </w:rPr>
              <w:t>Jobless families is defined as the number of families without jobs as a proportion of all families. The jobless rate is reported for three measures:</w:t>
            </w:r>
          </w:p>
          <w:p w:rsidR="008A0DAC" w:rsidRPr="00F844C0" w:rsidRDefault="00254B95" w:rsidP="00CA444C">
            <w:pPr>
              <w:pStyle w:val="TableBullet"/>
              <w:numPr>
                <w:ilvl w:val="0"/>
                <w:numId w:val="0"/>
              </w:numPr>
              <w:shd w:val="clear" w:color="auto" w:fill="FFFFFF" w:themeFill="background1"/>
            </w:pPr>
            <w:r w:rsidRPr="00F844C0">
              <w:t xml:space="preserve">1. jobless </w:t>
            </w:r>
            <w:r w:rsidR="008A0DAC" w:rsidRPr="00F844C0">
              <w:t>families</w:t>
            </w:r>
            <w:r w:rsidRPr="00F844C0">
              <w:t>,</w:t>
            </w:r>
            <w:r w:rsidR="008A0DAC" w:rsidRPr="00F844C0">
              <w:t xml:space="preserve"> as a proportion of all families</w:t>
            </w:r>
          </w:p>
          <w:p w:rsidR="008A0DAC" w:rsidRPr="00F844C0" w:rsidRDefault="00254B95" w:rsidP="00CA444C">
            <w:pPr>
              <w:pStyle w:val="TableBullet"/>
              <w:numPr>
                <w:ilvl w:val="0"/>
                <w:numId w:val="0"/>
              </w:numPr>
              <w:shd w:val="clear" w:color="auto" w:fill="FFFFFF" w:themeFill="background1"/>
            </w:pPr>
            <w:r w:rsidRPr="00F844C0">
              <w:t xml:space="preserve">2. jobless </w:t>
            </w:r>
            <w:r w:rsidR="008A0DAC" w:rsidRPr="00F844C0">
              <w:t>families with dependants (including children aged under 15 years)</w:t>
            </w:r>
            <w:r w:rsidRPr="00F844C0">
              <w:t>,</w:t>
            </w:r>
            <w:r w:rsidR="008A0DAC" w:rsidRPr="00F844C0">
              <w:t xml:space="preserve"> as a proportion of all families with dependants (including children aged under 15 years)</w:t>
            </w:r>
          </w:p>
          <w:p w:rsidR="008A0DAC" w:rsidRDefault="00254B95" w:rsidP="00CA444C">
            <w:pPr>
              <w:pStyle w:val="TableBullet"/>
              <w:numPr>
                <w:ilvl w:val="0"/>
                <w:numId w:val="0"/>
              </w:numPr>
              <w:shd w:val="clear" w:color="auto" w:fill="FFFFFF" w:themeFill="background1"/>
            </w:pPr>
            <w:r w:rsidRPr="00F844C0">
              <w:t xml:space="preserve">3. jobless </w:t>
            </w:r>
            <w:r w:rsidR="008A0DAC" w:rsidRPr="00F844C0">
              <w:t>families with children aged under 15 years</w:t>
            </w:r>
            <w:r w:rsidRPr="00F844C0">
              <w:t>,</w:t>
            </w:r>
            <w:r w:rsidR="008A0DAC" w:rsidRPr="00F844C0">
              <w:t xml:space="preserve"> as a proportion of all families with children aged under 15 years.</w:t>
            </w:r>
          </w:p>
          <w:p w:rsidR="001454BC" w:rsidRPr="00F844C0" w:rsidRDefault="001454BC" w:rsidP="00CA444C">
            <w:pPr>
              <w:pStyle w:val="TableBullet"/>
              <w:numPr>
                <w:ilvl w:val="0"/>
                <w:numId w:val="0"/>
              </w:numPr>
              <w:shd w:val="clear" w:color="auto" w:fill="FFFFFF" w:themeFill="background1"/>
            </w:pPr>
          </w:p>
          <w:p w:rsidR="006D1B6A" w:rsidRDefault="006D1B6A" w:rsidP="00CA444C">
            <w:pPr>
              <w:pStyle w:val="TableBodyText"/>
              <w:shd w:val="clear" w:color="auto" w:fill="FFFFFF" w:themeFill="background1"/>
              <w:jc w:val="both"/>
            </w:pPr>
            <w:r w:rsidRPr="00F844C0">
              <w:t>A jobless family is a family where no persons in the family aged 15 years or over are employed. This includes dependants.</w:t>
            </w:r>
            <w:r w:rsidR="00617D91" w:rsidRPr="00F844C0">
              <w:t xml:space="preserve"> </w:t>
            </w:r>
            <w:r w:rsidRPr="00F844C0">
              <w:t>In a jobless family, all of the family members are either unemployed and/or not in the labour force. Families that have no employed members but do have members that are classified as undetermined in the scope of the labour force survey, such as members of the permanent Australian defence force, are not included in the number of jobless families.</w:t>
            </w:r>
          </w:p>
          <w:p w:rsidR="008A0DAC" w:rsidRPr="00F844C0" w:rsidRDefault="008A0DAC"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u w:val="single"/>
              </w:rPr>
              <w:t>Numerators</w:t>
            </w:r>
            <w:r w:rsidRPr="00F844C0">
              <w:rPr>
                <w:rFonts w:ascii="Arial" w:hAnsi="Arial" w:cs="Arial"/>
                <w:sz w:val="18"/>
                <w:szCs w:val="18"/>
              </w:rPr>
              <w:t xml:space="preserve">: </w:t>
            </w:r>
          </w:p>
          <w:p w:rsidR="00214BB1" w:rsidRPr="00F844C0" w:rsidRDefault="00254B95" w:rsidP="00CA444C">
            <w:pPr>
              <w:pStyle w:val="TableBullet"/>
              <w:numPr>
                <w:ilvl w:val="0"/>
                <w:numId w:val="0"/>
              </w:numPr>
              <w:shd w:val="clear" w:color="auto" w:fill="FFFFFF" w:themeFill="background1"/>
            </w:pPr>
            <w:r w:rsidRPr="00F844C0">
              <w:t>1. Number of jobless families</w:t>
            </w:r>
          </w:p>
          <w:p w:rsidR="00254B95" w:rsidRPr="00F844C0" w:rsidRDefault="00254B95" w:rsidP="00CA444C">
            <w:pPr>
              <w:pStyle w:val="TableBullet"/>
              <w:numPr>
                <w:ilvl w:val="0"/>
                <w:numId w:val="0"/>
              </w:numPr>
              <w:shd w:val="clear" w:color="auto" w:fill="FFFFFF" w:themeFill="background1"/>
            </w:pPr>
            <w:r w:rsidRPr="00F844C0">
              <w:t>2. Number of jobless families with dependants (including children aged under 15 years)</w:t>
            </w:r>
          </w:p>
          <w:p w:rsidR="00254B95" w:rsidRPr="00F844C0" w:rsidRDefault="00254B95" w:rsidP="00CA444C">
            <w:pPr>
              <w:pStyle w:val="TableBullet"/>
              <w:numPr>
                <w:ilvl w:val="0"/>
                <w:numId w:val="0"/>
              </w:numPr>
              <w:shd w:val="clear" w:color="auto" w:fill="FFFFFF" w:themeFill="background1"/>
            </w:pPr>
            <w:r w:rsidRPr="00F844C0">
              <w:t>3. Number of jobless families with children aged under 15 years.</w:t>
            </w:r>
          </w:p>
          <w:p w:rsidR="008A0DAC" w:rsidRPr="00F844C0" w:rsidRDefault="008A0DAC"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254B95" w:rsidRPr="00F844C0" w:rsidRDefault="00254B95" w:rsidP="00CA444C">
            <w:pPr>
              <w:pStyle w:val="TableBullet"/>
              <w:numPr>
                <w:ilvl w:val="0"/>
                <w:numId w:val="0"/>
              </w:numPr>
              <w:shd w:val="clear" w:color="auto" w:fill="FFFFFF" w:themeFill="background1"/>
            </w:pPr>
            <w:r w:rsidRPr="00F844C0">
              <w:t>1. Total number of families</w:t>
            </w:r>
          </w:p>
          <w:p w:rsidR="00254B95" w:rsidRPr="00F844C0" w:rsidRDefault="00254B95" w:rsidP="00CA444C">
            <w:pPr>
              <w:pStyle w:val="TableBullet"/>
              <w:numPr>
                <w:ilvl w:val="0"/>
                <w:numId w:val="0"/>
              </w:numPr>
              <w:shd w:val="clear" w:color="auto" w:fill="FFFFFF" w:themeFill="background1"/>
            </w:pPr>
            <w:r w:rsidRPr="00F844C0">
              <w:t>2. Total number of families with dependants (including children aged under 15 years)</w:t>
            </w:r>
          </w:p>
          <w:p w:rsidR="00214BB1" w:rsidRPr="00F844C0" w:rsidRDefault="00254B95"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sz w:val="18"/>
                <w:szCs w:val="20"/>
              </w:rPr>
              <w:t>3. Total number of families with children aged under 15 years.</w:t>
            </w:r>
          </w:p>
          <w:p w:rsidR="008A0DAC" w:rsidRPr="00F844C0" w:rsidRDefault="008A0DAC" w:rsidP="00CA444C">
            <w:pPr>
              <w:keepNext/>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Computation:</w:t>
            </w:r>
          </w:p>
          <w:p w:rsidR="008A0DAC" w:rsidRPr="00F844C0" w:rsidRDefault="008A0DAC"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Expressed as a percentage. Calculation is: (Numerator </w:t>
            </w:r>
            <w:r w:rsidRPr="00F844C0">
              <w:rPr>
                <w:rFonts w:cs="Arial"/>
                <w:szCs w:val="18"/>
              </w:rPr>
              <w:sym w:font="Symbol" w:char="F0B8"/>
            </w:r>
            <w:r w:rsidRPr="00F844C0">
              <w:rPr>
                <w:rFonts w:cs="Arial"/>
                <w:szCs w:val="18"/>
              </w:rPr>
              <w:t xml:space="preserve"> Denominator) x 100.</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t>Data source/s</w:t>
            </w:r>
          </w:p>
        </w:tc>
        <w:tc>
          <w:tcPr>
            <w:tcW w:w="4032" w:type="pct"/>
            <w:gridSpan w:val="2"/>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 xml:space="preserve">Numerators: </w:t>
            </w:r>
          </w:p>
          <w:p w:rsidR="008A0DAC" w:rsidRPr="00F844C0" w:rsidRDefault="008A0DAC"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Pr="00F844C0">
              <w:rPr>
                <w:rFonts w:cs="Arial"/>
                <w:i/>
                <w:szCs w:val="18"/>
              </w:rPr>
              <w:t>Labour Force, Australia: Labour Force Status and Other Characteristics of Families</w:t>
            </w:r>
            <w:r w:rsidRPr="00F844C0">
              <w:rPr>
                <w:rFonts w:cs="Arial"/>
                <w:szCs w:val="18"/>
              </w:rPr>
              <w:t>, June 2012, cat. no. 6224.0.55.001.</w:t>
            </w:r>
          </w:p>
          <w:p w:rsidR="008A0DAC" w:rsidRPr="00F844C0" w:rsidRDefault="008A0DAC"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8A0DAC" w:rsidRPr="00F844C0" w:rsidRDefault="008A0DAC"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Australian Bureau of Statistics, </w:t>
            </w:r>
            <w:r w:rsidRPr="00F844C0">
              <w:rPr>
                <w:rFonts w:cs="Arial"/>
                <w:i/>
                <w:szCs w:val="18"/>
              </w:rPr>
              <w:t>Labour Force, Australia: Labour Force Status and Other Characteristics of Families</w:t>
            </w:r>
            <w:r w:rsidRPr="00F844C0">
              <w:rPr>
                <w:rFonts w:cs="Arial"/>
                <w:szCs w:val="18"/>
              </w:rPr>
              <w:t>, June 2012, cat. no. 6224.0.55.001.</w:t>
            </w:r>
          </w:p>
        </w:tc>
      </w:tr>
      <w:tr w:rsidR="008A0DAC" w:rsidRPr="00F844C0" w:rsidTr="00BD4765">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jc w:val="both"/>
              <w:rPr>
                <w:rFonts w:cs="Arial"/>
                <w:b/>
                <w:u w:val="single"/>
              </w:rPr>
            </w:pPr>
            <w:r w:rsidRPr="00F844C0">
              <w:rPr>
                <w:b/>
                <w:u w:val="single"/>
              </w:rPr>
              <w:t>Data Quality Framework Dimensions</w:t>
            </w:r>
            <w:r w:rsidRPr="00F844C0">
              <w:rPr>
                <w:rFonts w:cs="Arial"/>
                <w:b/>
                <w:u w:val="single"/>
              </w:rPr>
              <w:t xml:space="preserve"> </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Institutional environment </w:t>
            </w:r>
          </w:p>
        </w:tc>
        <w:tc>
          <w:tcPr>
            <w:tcW w:w="4032" w:type="pct"/>
            <w:gridSpan w:val="2"/>
            <w:tcBorders>
              <w:top w:val="nil"/>
              <w:left w:val="nil"/>
              <w:bottom w:val="nil"/>
              <w:right w:val="nil"/>
            </w:tcBorders>
            <w:shd w:val="clear" w:color="auto" w:fill="auto"/>
          </w:tcPr>
          <w:p w:rsidR="008A0DAC" w:rsidRPr="00F844C0" w:rsidRDefault="008A0DAC" w:rsidP="000441C0">
            <w:pPr>
              <w:pStyle w:val="TableBodyText"/>
              <w:keepNext w:val="0"/>
              <w:keepLines w:val="0"/>
              <w:widowControl w:val="0"/>
              <w:shd w:val="clear" w:color="auto" w:fill="FFFFFF" w:themeFill="background1"/>
              <w:jc w:val="both"/>
              <w:rPr>
                <w:rFonts w:cs="Arial"/>
              </w:rPr>
            </w:pPr>
            <w:r w:rsidRPr="00F844C0">
              <w:rPr>
                <w:rFonts w:cs="Arial"/>
              </w:rPr>
              <w:t xml:space="preserve">Data are sourced from the Australian Bureau of Statistics. </w:t>
            </w:r>
            <w:r w:rsidRPr="00F844C0">
              <w:t>For information on the institutional environment of the ABS, including the legislative obligations of the ABS, which cover this collection, please see ABS Institutional Environment (</w:t>
            </w:r>
            <w:r w:rsidR="000441C0" w:rsidRPr="000441C0">
              <w:t>www.</w:t>
            </w:r>
            <w:r w:rsidR="00F844C0" w:rsidRPr="000441C0">
              <w:t>abs.gov.au/Ausstats/abs@.nsf/Latestproducts/4402.0Quality%20Declaration0June%202011?opendocument&amp;tabname=Notes&amp;prodno=4402.0&amp;issue=June%202011&amp;num=&amp;view</w:t>
            </w:r>
            <w:r w:rsidR="00F844C0">
              <w:t xml:space="preserve">=) </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Relevance </w:t>
            </w:r>
          </w:p>
        </w:tc>
        <w:tc>
          <w:tcPr>
            <w:tcW w:w="4032" w:type="pct"/>
            <w:gridSpan w:val="2"/>
            <w:tcBorders>
              <w:top w:val="nil"/>
              <w:left w:val="nil"/>
              <w:bottom w:val="nil"/>
              <w:right w:val="nil"/>
            </w:tcBorders>
            <w:shd w:val="clear" w:color="auto" w:fill="auto"/>
          </w:tcPr>
          <w:p w:rsidR="007E7F3B" w:rsidRDefault="008A0DAC" w:rsidP="00CA444C">
            <w:pPr>
              <w:pStyle w:val="TableBodyText"/>
              <w:widowControl w:val="0"/>
              <w:shd w:val="clear" w:color="auto" w:fill="FFFFFF" w:themeFill="background1"/>
              <w:jc w:val="both"/>
              <w:rPr>
                <w:rFonts w:cs="Arial"/>
              </w:rPr>
            </w:pPr>
            <w:r w:rsidRPr="00F844C0">
              <w:rPr>
                <w:rFonts w:cs="Arial"/>
              </w:rPr>
              <w:t xml:space="preserve">Jobless families with children </w:t>
            </w:r>
            <w:r w:rsidR="00254B95" w:rsidRPr="00F844C0">
              <w:rPr>
                <w:rFonts w:cs="Arial"/>
              </w:rPr>
              <w:t>as a proportion of all families</w:t>
            </w:r>
            <w:r w:rsidRPr="00F844C0">
              <w:rPr>
                <w:rFonts w:cs="Arial"/>
              </w:rPr>
              <w:t xml:space="preserve"> is an indicator of governments’ objective to ensure positive family environments for Australia’s children and young people. </w:t>
            </w:r>
          </w:p>
          <w:p w:rsidR="008A0DAC" w:rsidRPr="00F844C0" w:rsidRDefault="008A0DAC" w:rsidP="00CA444C">
            <w:pPr>
              <w:pStyle w:val="TableBodyText"/>
              <w:widowControl w:val="0"/>
              <w:shd w:val="clear" w:color="auto" w:fill="FFFFFF" w:themeFill="background1"/>
              <w:jc w:val="both"/>
              <w:rPr>
                <w:rFonts w:cs="Arial"/>
              </w:rPr>
            </w:pPr>
            <w:r w:rsidRPr="00F844C0">
              <w:rPr>
                <w:rFonts w:cs="Arial"/>
              </w:rPr>
              <w:t>Family is defined as two or more people, one of whom is at least 15 years of age, who are related by blood, marriage (registered or de facto), adoption, step or fostering, and who are usually resident in the same household. The basis of a family is formed by identifying the presence of a c</w:t>
            </w:r>
            <w:r w:rsidR="00254B95" w:rsidRPr="00F844C0">
              <w:rPr>
                <w:rFonts w:cs="Arial"/>
              </w:rPr>
              <w:t>ouple relationship, lone parent</w:t>
            </w:r>
            <w:r w:rsidR="00254B95" w:rsidRPr="00F844C0">
              <w:rPr>
                <w:rFonts w:cs="Arial"/>
              </w:rPr>
              <w:noBreakHyphen/>
            </w:r>
            <w:r w:rsidRPr="00F844C0">
              <w:rPr>
                <w:rFonts w:cs="Arial"/>
              </w:rPr>
              <w:t xml:space="preserve">child relationship or other blood relationship. Some households will, therefore, contain </w:t>
            </w:r>
            <w:r w:rsidRPr="00F844C0">
              <w:rPr>
                <w:rFonts w:cs="Arial"/>
              </w:rPr>
              <w:lastRenderedPageBreak/>
              <w:t>more than one family</w:t>
            </w:r>
            <w:r w:rsidR="00254B95" w:rsidRPr="00F844C0">
              <w:rPr>
                <w:rFonts w:cs="Arial"/>
              </w:rPr>
              <w:t>.</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lastRenderedPageBreak/>
              <w:t>Timeliness</w:t>
            </w:r>
            <w:r w:rsidRPr="00F844C0">
              <w:rPr>
                <w:rFonts w:cs="Arial"/>
                <w:lang w:val="en-US" w:eastAsia="en-US"/>
              </w:rPr>
              <w:t xml:space="preserve"> </w:t>
            </w:r>
          </w:p>
        </w:tc>
        <w:tc>
          <w:tcPr>
            <w:tcW w:w="4032" w:type="pct"/>
            <w:gridSpan w:val="2"/>
            <w:tcBorders>
              <w:top w:val="nil"/>
              <w:left w:val="nil"/>
              <w:bottom w:val="nil"/>
              <w:right w:val="nil"/>
            </w:tcBorders>
            <w:shd w:val="clear" w:color="auto" w:fill="auto"/>
          </w:tcPr>
          <w:p w:rsidR="008A0DAC" w:rsidRPr="00F844C0" w:rsidRDefault="00E738AA" w:rsidP="00CA444C">
            <w:pPr>
              <w:pStyle w:val="TableBodyText"/>
              <w:keepNext w:val="0"/>
              <w:keepLines w:val="0"/>
              <w:widowControl w:val="0"/>
              <w:shd w:val="clear" w:color="auto" w:fill="FFFFFF" w:themeFill="background1"/>
              <w:jc w:val="both"/>
              <w:rPr>
                <w:rFonts w:cs="Arial"/>
              </w:rPr>
            </w:pPr>
            <w:r w:rsidRPr="00F844C0">
              <w:rPr>
                <w:rFonts w:cs="Arial"/>
              </w:rPr>
              <w:t xml:space="preserve">The </w:t>
            </w:r>
            <w:r w:rsidRPr="00F844C0">
              <w:rPr>
                <w:rFonts w:cs="Arial"/>
                <w:i/>
              </w:rPr>
              <w:t xml:space="preserve">Labour Force Status and Other Characteristics of Families </w:t>
            </w:r>
            <w:r w:rsidRPr="00F844C0">
              <w:rPr>
                <w:rFonts w:cs="Arial"/>
              </w:rPr>
              <w:t xml:space="preserve">is produced </w:t>
            </w:r>
            <w:r w:rsidR="00E053AB" w:rsidRPr="00F844C0">
              <w:rPr>
                <w:rFonts w:cs="Arial"/>
              </w:rPr>
              <w:t>annually</w:t>
            </w:r>
            <w:r w:rsidRPr="00F844C0">
              <w:rPr>
                <w:rFonts w:cs="Arial"/>
              </w:rPr>
              <w:t xml:space="preserve">, based on </w:t>
            </w:r>
            <w:r w:rsidRPr="00F844C0">
              <w:rPr>
                <w:rFonts w:cs="Arial"/>
                <w:i/>
              </w:rPr>
              <w:t>Labour Force, Australia</w:t>
            </w:r>
            <w:r w:rsidRPr="00F844C0">
              <w:rPr>
                <w:rFonts w:cs="Arial"/>
              </w:rPr>
              <w:t xml:space="preserve"> data.</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Accuracy </w:t>
            </w:r>
          </w:p>
        </w:tc>
        <w:tc>
          <w:tcPr>
            <w:tcW w:w="4032" w:type="pct"/>
            <w:gridSpan w:val="2"/>
            <w:tcBorders>
              <w:top w:val="nil"/>
              <w:left w:val="nil"/>
              <w:bottom w:val="nil"/>
              <w:right w:val="nil"/>
            </w:tcBorders>
            <w:shd w:val="clear" w:color="auto" w:fill="auto"/>
          </w:tcPr>
          <w:p w:rsidR="00254B95" w:rsidRPr="00F844C0" w:rsidRDefault="00254B95" w:rsidP="00CA444C">
            <w:pPr>
              <w:pStyle w:val="TableBodyText"/>
              <w:widowControl w:val="0"/>
              <w:shd w:val="clear" w:color="auto" w:fill="FFFFFF" w:themeFill="background1"/>
              <w:jc w:val="both"/>
              <w:rPr>
                <w:rFonts w:cs="Arial"/>
              </w:rPr>
            </w:pPr>
            <w:r w:rsidRPr="00F844C0">
              <w:rPr>
                <w:rFonts w:cs="Arial"/>
                <w:i/>
              </w:rPr>
              <w:t>Labour Force Status and Other Characteristics of Families</w:t>
            </w:r>
            <w:r w:rsidR="00FE77C0">
              <w:rPr>
                <w:rFonts w:cs="Arial"/>
              </w:rPr>
              <w:t xml:space="preserve">, </w:t>
            </w:r>
            <w:r w:rsidRPr="00F844C0">
              <w:rPr>
                <w:rFonts w:cs="Arial"/>
              </w:rPr>
              <w:t xml:space="preserve">is produced from data collected in the June 2012 Labour Force Survey. It includes detailed family data not featured in the monthly </w:t>
            </w:r>
            <w:r w:rsidRPr="00FE77C0">
              <w:rPr>
                <w:rFonts w:cs="Arial"/>
                <w:i/>
              </w:rPr>
              <w:t>Labour Force, Australia</w:t>
            </w:r>
            <w:r w:rsidRPr="00F844C0">
              <w:rPr>
                <w:rFonts w:cs="Arial"/>
              </w:rPr>
              <w:t xml:space="preserve"> (cat. no. 6202.0) or </w:t>
            </w:r>
            <w:r w:rsidRPr="00FE77C0">
              <w:rPr>
                <w:rFonts w:cs="Arial"/>
                <w:i/>
              </w:rPr>
              <w:t>Labour Force Australia, Detailed — Electronic Delivery</w:t>
            </w:r>
            <w:r w:rsidRPr="00F844C0">
              <w:rPr>
                <w:rFonts w:cs="Arial"/>
              </w:rPr>
              <w:t xml:space="preserve"> publications.</w:t>
            </w:r>
          </w:p>
          <w:p w:rsidR="008A0DAC" w:rsidRPr="00F844C0" w:rsidRDefault="00254B95" w:rsidP="00CA444C">
            <w:pPr>
              <w:pStyle w:val="TableBodyText"/>
              <w:keepNext w:val="0"/>
              <w:keepLines w:val="0"/>
              <w:widowControl w:val="0"/>
              <w:shd w:val="clear" w:color="auto" w:fill="FFFFFF" w:themeFill="background1"/>
              <w:jc w:val="both"/>
              <w:rPr>
                <w:rFonts w:cs="Arial"/>
              </w:rPr>
            </w:pPr>
            <w:r w:rsidRPr="00F844C0">
              <w:rPr>
                <w:rFonts w:cs="Arial"/>
              </w:rPr>
              <w:t xml:space="preserve">As these products are all based on data collected in the Labour Force Survey, the Explanatory Notes of publication </w:t>
            </w:r>
            <w:r w:rsidRPr="00FE77C0">
              <w:rPr>
                <w:rFonts w:cs="Arial"/>
                <w:i/>
              </w:rPr>
              <w:t>Labour Force, Australia</w:t>
            </w:r>
            <w:r w:rsidRPr="00F844C0">
              <w:rPr>
                <w:rFonts w:cs="Arial"/>
              </w:rPr>
              <w:t xml:space="preserve"> are relevant to all three publications. Additional information is provided in </w:t>
            </w:r>
            <w:r w:rsidRPr="00FE77C0">
              <w:rPr>
                <w:rFonts w:cs="Arial"/>
                <w:i/>
              </w:rPr>
              <w:t>Labour Statistics: Concepts, Sources and Methods</w:t>
            </w:r>
            <w:r w:rsidR="00FE77C0">
              <w:rPr>
                <w:rFonts w:cs="Arial"/>
              </w:rPr>
              <w:t>.</w:t>
            </w:r>
          </w:p>
          <w:p w:rsidR="00E053AB" w:rsidRPr="00F844C0" w:rsidRDefault="00E053AB" w:rsidP="00CA444C">
            <w:pPr>
              <w:pStyle w:val="TableBodyText"/>
              <w:keepNext w:val="0"/>
              <w:keepLines w:val="0"/>
              <w:widowControl w:val="0"/>
              <w:shd w:val="clear" w:color="auto" w:fill="FFFFFF" w:themeFill="background1"/>
              <w:jc w:val="both"/>
              <w:rPr>
                <w:rFonts w:cs="Arial"/>
              </w:rPr>
            </w:pPr>
            <w:r w:rsidRPr="00F844C0">
              <w:rPr>
                <w:rFonts w:cs="Arial"/>
              </w:rPr>
              <w:t xml:space="preserve">The Labour Force Survey </w:t>
            </w:r>
            <w:r w:rsidR="006D1B6A" w:rsidRPr="00F844C0">
              <w:rPr>
                <w:rFonts w:cs="Arial"/>
              </w:rPr>
              <w:t xml:space="preserve">in 2012 was </w:t>
            </w:r>
            <w:r w:rsidRPr="00F844C0">
              <w:rPr>
                <w:rFonts w:cs="Arial"/>
              </w:rPr>
              <w:t>based on a sample of priv</w:t>
            </w:r>
            <w:r w:rsidR="00DD62D7">
              <w:rPr>
                <w:rFonts w:cs="Arial"/>
              </w:rPr>
              <w:t>ate dwellings (approximately 29 </w:t>
            </w:r>
            <w:r w:rsidRPr="00F844C0">
              <w:rPr>
                <w:rFonts w:cs="Arial"/>
              </w:rPr>
              <w:t>000 houses, flats etc) and non</w:t>
            </w:r>
            <w:r w:rsidR="002A0059">
              <w:rPr>
                <w:rFonts w:cs="Arial"/>
              </w:rPr>
              <w:noBreakHyphen/>
            </w:r>
            <w:r w:rsidRPr="00F844C0">
              <w:rPr>
                <w:rFonts w:cs="Arial"/>
              </w:rPr>
              <w:t>private dwellings, such as hotels and motels. The sample covers about 0.33</w:t>
            </w:r>
            <w:r w:rsidR="00DD62D7" w:rsidRPr="00F844C0">
              <w:rPr>
                <w:rFonts w:cs="Arial"/>
              </w:rPr>
              <w:t xml:space="preserve"> per cent</w:t>
            </w:r>
            <w:r w:rsidRPr="00F844C0">
              <w:rPr>
                <w:rFonts w:cs="Arial"/>
              </w:rPr>
              <w:t xml:space="preserve"> of the Australian civilian population aged 15 years or over. The Labour Force Survey is designed primarily to provide estimates of key labour force statistics for the whole of Australia and, secondarily, for each </w:t>
            </w:r>
            <w:r w:rsidR="000441C0">
              <w:rPr>
                <w:rFonts w:cs="Arial"/>
              </w:rPr>
              <w:t>S</w:t>
            </w:r>
            <w:r w:rsidRPr="00F844C0">
              <w:rPr>
                <w:rFonts w:cs="Arial"/>
              </w:rPr>
              <w:t xml:space="preserve">tate and </w:t>
            </w:r>
            <w:r w:rsidR="000441C0">
              <w:rPr>
                <w:rFonts w:cs="Arial"/>
              </w:rPr>
              <w:t>T</w:t>
            </w:r>
            <w:r w:rsidRPr="00F844C0">
              <w:rPr>
                <w:rFonts w:cs="Arial"/>
              </w:rPr>
              <w:t>erritory.</w:t>
            </w:r>
          </w:p>
          <w:p w:rsidR="003248D9" w:rsidRPr="00F844C0" w:rsidRDefault="00C12E81" w:rsidP="00FE77C0">
            <w:pPr>
              <w:pStyle w:val="TableBodyText"/>
              <w:keepNext w:val="0"/>
              <w:keepLines w:val="0"/>
              <w:widowControl w:val="0"/>
              <w:shd w:val="clear" w:color="auto" w:fill="FFFFFF" w:themeFill="background1"/>
              <w:jc w:val="both"/>
              <w:rPr>
                <w:rFonts w:cs="Arial"/>
              </w:rPr>
            </w:pPr>
            <w:r w:rsidRPr="00F844C0">
              <w:rPr>
                <w:rFonts w:cs="Arial"/>
              </w:rPr>
              <w:t>The Labour Force Survey is a sample survey</w:t>
            </w:r>
            <w:r w:rsidR="003248D9" w:rsidRPr="00F844C0">
              <w:rPr>
                <w:rFonts w:cs="Arial"/>
              </w:rPr>
              <w:t>. All sample surveys are subject to sampling and non</w:t>
            </w:r>
            <w:r w:rsidR="002A0059">
              <w:rPr>
                <w:rFonts w:cs="Arial"/>
              </w:rPr>
              <w:noBreakHyphen/>
            </w:r>
            <w:r w:rsidR="003248D9" w:rsidRPr="00F844C0">
              <w:rPr>
                <w:rFonts w:cs="Arial"/>
              </w:rPr>
              <w:t xml:space="preserve">sampling error. The </w:t>
            </w:r>
            <w:r w:rsidR="00FE77C0">
              <w:rPr>
                <w:rFonts w:cs="Arial"/>
              </w:rPr>
              <w:t>Report</w:t>
            </w:r>
            <w:r w:rsidR="003248D9" w:rsidRPr="00F844C0">
              <w:rPr>
                <w:rFonts w:cs="Arial"/>
              </w:rPr>
              <w:t xml:space="preserve"> includes information on Relative Standard Errors (RSEs) of estimates. RSEs indicate the reliability of an estimate. RSEs show the size of the error relative to the estimate. The higher the RSE, the less confidence there is that the estimate from the sample is close to the true value of the population mean. Where an estimate or proportion has a RSE between 25 per cent and 50 per cent, the estimate or proportion is annotated to indicate that it is subject to a high RSE and should be used with caution. Where an estimate or proportion has an RSE above 50 per cent, the estimate or proportion is annotated to indicate that it is not reliable for general use, and the RSE is not published.</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Coherence </w:t>
            </w:r>
          </w:p>
        </w:tc>
        <w:tc>
          <w:tcPr>
            <w:tcW w:w="4032" w:type="pct"/>
            <w:gridSpan w:val="2"/>
            <w:tcBorders>
              <w:top w:val="nil"/>
              <w:left w:val="nil"/>
              <w:bottom w:val="nil"/>
              <w:right w:val="nil"/>
            </w:tcBorders>
            <w:shd w:val="clear" w:color="auto" w:fill="auto"/>
          </w:tcPr>
          <w:p w:rsidR="00E053AB" w:rsidRPr="00F844C0" w:rsidRDefault="00E053AB" w:rsidP="00CA444C">
            <w:pPr>
              <w:pStyle w:val="TableBodyText"/>
              <w:widowControl w:val="0"/>
              <w:shd w:val="clear" w:color="auto" w:fill="FFFFFF" w:themeFill="background1"/>
              <w:jc w:val="both"/>
              <w:rPr>
                <w:rFonts w:cs="Arial"/>
              </w:rPr>
            </w:pPr>
            <w:r w:rsidRPr="00F844C0">
              <w:rPr>
                <w:rFonts w:cs="Arial"/>
              </w:rPr>
              <w:t xml:space="preserve">The ABS has been conducting the Labour Force Survey each month since February 1978. While seeking to provide a high degree of consistency and comparability over time by minimising changes to the survey, sound survey practice requires careful and continuing maintenance and development to maintain the integrity of the data and the efficiency of the collection. </w:t>
            </w:r>
          </w:p>
          <w:p w:rsidR="008A0DAC" w:rsidRPr="00F844C0" w:rsidRDefault="00E053AB" w:rsidP="00CA444C">
            <w:pPr>
              <w:pStyle w:val="TableBodyText"/>
              <w:keepNext w:val="0"/>
              <w:keepLines w:val="0"/>
              <w:widowControl w:val="0"/>
              <w:shd w:val="clear" w:color="auto" w:fill="FFFFFF" w:themeFill="background1"/>
              <w:jc w:val="both"/>
              <w:rPr>
                <w:rFonts w:cs="Arial"/>
              </w:rPr>
            </w:pPr>
            <w:r w:rsidRPr="00F844C0">
              <w:rPr>
                <w:rFonts w:cs="Arial"/>
              </w:rPr>
              <w:t xml:space="preserve">The changes which have been made to the Labour Force Survey have included changes in sampling methods, estimation methods, concepts, data item definitions, classifications, and time series analysis techniques. In introducing these changes the ABS has generally revised previous estimates to ensure consistency and coherence with current estimates. For a full list of changes made to the Labour Force Survey see </w:t>
            </w:r>
            <w:r w:rsidR="002A0059">
              <w:rPr>
                <w:rFonts w:cs="Arial"/>
              </w:rPr>
              <w:t>c</w:t>
            </w:r>
            <w:r w:rsidRPr="00F844C0">
              <w:rPr>
                <w:rFonts w:cs="Arial"/>
              </w:rPr>
              <w:t>hapter</w:t>
            </w:r>
            <w:r w:rsidR="002A0059">
              <w:rPr>
                <w:rFonts w:cs="Arial"/>
              </w:rPr>
              <w:t> </w:t>
            </w:r>
            <w:r w:rsidRPr="00F844C0">
              <w:rPr>
                <w:rFonts w:cs="Arial"/>
              </w:rPr>
              <w:t xml:space="preserve">20 in </w:t>
            </w:r>
            <w:r w:rsidRPr="00FE77C0">
              <w:rPr>
                <w:rFonts w:cs="Arial"/>
                <w:i/>
              </w:rPr>
              <w:t xml:space="preserve">Labour Statistics: Concepts, Sources and Methods </w:t>
            </w:r>
            <w:r w:rsidRPr="00F844C0">
              <w:rPr>
                <w:rFonts w:cs="Arial"/>
              </w:rPr>
              <w:t>(cat. no. 6102.0.55.001).</w:t>
            </w:r>
          </w:p>
          <w:p w:rsidR="00E053AB" w:rsidRPr="00F844C0" w:rsidRDefault="00E053AB" w:rsidP="00CA444C">
            <w:pPr>
              <w:pStyle w:val="TableBodyText"/>
              <w:keepNext w:val="0"/>
              <w:keepLines w:val="0"/>
              <w:widowControl w:val="0"/>
              <w:shd w:val="clear" w:color="auto" w:fill="FFFFFF" w:themeFill="background1"/>
              <w:jc w:val="both"/>
              <w:rPr>
                <w:rFonts w:cs="Arial"/>
              </w:rPr>
            </w:pPr>
            <w:r w:rsidRPr="00F844C0">
              <w:rPr>
                <w:rFonts w:cs="Arial"/>
                <w:i/>
              </w:rPr>
              <w:t xml:space="preserve">Labour Force Status and Other Characteristics of Families </w:t>
            </w:r>
            <w:r w:rsidRPr="00F844C0">
              <w:rPr>
                <w:rFonts w:cs="Arial"/>
              </w:rPr>
              <w:t xml:space="preserve">data are based on data collected via the Labour Force Survey and population data collected as part of Australian Demographic </w:t>
            </w:r>
            <w:r w:rsidR="00271893" w:rsidRPr="00F844C0">
              <w:rPr>
                <w:rFonts w:cs="Arial"/>
              </w:rPr>
              <w:t>Statistics</w:t>
            </w:r>
            <w:r w:rsidRPr="00F844C0">
              <w:rPr>
                <w:rFonts w:cs="Arial"/>
              </w:rPr>
              <w:t xml:space="preserve"> (cat. no. 3101.0).</w:t>
            </w:r>
            <w:r w:rsidR="00271893" w:rsidRPr="00F844C0">
              <w:rPr>
                <w:rFonts w:cs="Arial"/>
              </w:rPr>
              <w:t xml:space="preserve"> </w:t>
            </w:r>
            <w:r w:rsidR="009B45AF" w:rsidRPr="00F844C0">
              <w:rPr>
                <w:rFonts w:cs="Arial"/>
              </w:rPr>
              <w:t>Since the most recently released ERP estimates lag the current time period for labour force survey estimates by nine months, the population benchmarks for the Labour Force Survey are created by projecting forward three quarters past the most recently released quarterly ERP estimates.</w:t>
            </w:r>
          </w:p>
          <w:p w:rsidR="0024678B" w:rsidRPr="00F844C0" w:rsidRDefault="0024678B" w:rsidP="00FE77C0">
            <w:pPr>
              <w:pStyle w:val="TableBodyText"/>
              <w:keepNext w:val="0"/>
              <w:keepLines w:val="0"/>
              <w:widowControl w:val="0"/>
              <w:shd w:val="clear" w:color="auto" w:fill="FFFFFF" w:themeFill="background1"/>
              <w:jc w:val="both"/>
              <w:rPr>
                <w:rFonts w:cs="Arial"/>
              </w:rPr>
            </w:pPr>
            <w:r w:rsidRPr="00F844C0">
              <w:rPr>
                <w:rFonts w:cs="Arial"/>
              </w:rPr>
              <w:t xml:space="preserve">Every five years, the ERP series are revised to incorporate additional information available from the latest </w:t>
            </w:r>
            <w:r w:rsidR="00FE77C0">
              <w:rPr>
                <w:rFonts w:cs="Arial"/>
              </w:rPr>
              <w:t>Census</w:t>
            </w:r>
            <w:r w:rsidRPr="00F844C0">
              <w:rPr>
                <w:rFonts w:cs="Arial"/>
              </w:rPr>
              <w:t>. Labour Force Survey population benchmarks, and the estimates, are revised following this five</w:t>
            </w:r>
            <w:r w:rsidR="002A0059">
              <w:rPr>
                <w:rFonts w:cs="Arial"/>
              </w:rPr>
              <w:noBreakHyphen/>
            </w:r>
            <w:r w:rsidRPr="00F844C0">
              <w:rPr>
                <w:rFonts w:cs="Arial"/>
              </w:rPr>
              <w:t xml:space="preserve">yearly revision in the ERP. The process of incorporating the revised population benchmarks is referred to as </w:t>
            </w:r>
            <w:r w:rsidR="002A0059">
              <w:rPr>
                <w:rFonts w:cs="Arial"/>
              </w:rPr>
              <w:t>‘</w:t>
            </w:r>
            <w:r w:rsidRPr="00F844C0">
              <w:rPr>
                <w:rFonts w:cs="Arial"/>
              </w:rPr>
              <w:t>rebasing</w:t>
            </w:r>
            <w:r w:rsidR="002A0059">
              <w:rPr>
                <w:rFonts w:cs="Arial"/>
              </w:rPr>
              <w:t>’</w:t>
            </w:r>
            <w:r w:rsidRPr="00F844C0">
              <w:rPr>
                <w:rFonts w:cs="Arial"/>
              </w:rPr>
              <w:t>. From the January 2014, labour force estimates have been compiled using population benchmarks based on the results of the 2011 Census. Revisions were made to historical Labour Force estimates from June 1991 to December 2013. However the estimates in this indicator have not been rebased and therefore do not reflect the latest revisions to labour force released in February 2014.</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Accessibility </w:t>
            </w:r>
          </w:p>
        </w:tc>
        <w:tc>
          <w:tcPr>
            <w:tcW w:w="4032" w:type="pct"/>
            <w:gridSpan w:val="2"/>
            <w:tcBorders>
              <w:top w:val="nil"/>
              <w:left w:val="nil"/>
              <w:bottom w:val="nil"/>
              <w:right w:val="nil"/>
            </w:tcBorders>
            <w:shd w:val="clear" w:color="auto" w:fill="auto"/>
          </w:tcPr>
          <w:p w:rsidR="008A0DAC" w:rsidRPr="00F844C0" w:rsidRDefault="009B45AF" w:rsidP="00FE77C0">
            <w:pPr>
              <w:pStyle w:val="TableBodyText"/>
              <w:keepNext w:val="0"/>
              <w:keepLines w:val="0"/>
              <w:widowControl w:val="0"/>
              <w:shd w:val="clear" w:color="auto" w:fill="FFFFFF" w:themeFill="background1"/>
              <w:jc w:val="both"/>
              <w:rPr>
                <w:rFonts w:cs="Arial"/>
              </w:rPr>
            </w:pPr>
            <w:r w:rsidRPr="00F844C0">
              <w:rPr>
                <w:rFonts w:cs="Arial"/>
              </w:rPr>
              <w:t>A range of data drawn from the Labour Force Survey are available on the ABS website</w:t>
            </w:r>
            <w:r w:rsidR="00FE77C0">
              <w:rPr>
                <w:rFonts w:cs="Arial"/>
              </w:rPr>
              <w:t xml:space="preserve">. </w:t>
            </w:r>
            <w:r w:rsidRPr="00F844C0">
              <w:rPr>
                <w:rFonts w:cs="Arial"/>
              </w:rPr>
              <w:t>Additional data can be accessed from the ABS. Costs are associated with additional data and vary depending on the type of request.</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Interpretability </w:t>
            </w:r>
          </w:p>
        </w:tc>
        <w:tc>
          <w:tcPr>
            <w:tcW w:w="4032" w:type="pct"/>
            <w:gridSpan w:val="2"/>
            <w:tcBorders>
              <w:top w:val="nil"/>
              <w:left w:val="nil"/>
              <w:bottom w:val="nil"/>
              <w:right w:val="nil"/>
            </w:tcBorders>
            <w:shd w:val="clear" w:color="auto" w:fill="auto"/>
          </w:tcPr>
          <w:p w:rsidR="008A0DAC" w:rsidRPr="00F844C0" w:rsidRDefault="008A0DAC" w:rsidP="000441C0">
            <w:pPr>
              <w:pStyle w:val="TableBodyText"/>
              <w:keepNext w:val="0"/>
              <w:keepLines w:val="0"/>
              <w:widowControl w:val="0"/>
              <w:shd w:val="clear" w:color="auto" w:fill="FFFFFF" w:themeFill="background1"/>
              <w:jc w:val="both"/>
              <w:rPr>
                <w:rFonts w:cs="Arial"/>
              </w:rPr>
            </w:pPr>
            <w:r w:rsidRPr="00F844C0">
              <w:rPr>
                <w:rFonts w:cs="Arial"/>
              </w:rPr>
              <w:t>Further</w:t>
            </w:r>
            <w:r w:rsidRPr="00F844C0">
              <w:rPr>
                <w:rFonts w:cs="Arial"/>
                <w:szCs w:val="18"/>
              </w:rPr>
              <w:t xml:space="preserve"> technical details are available </w:t>
            </w:r>
            <w:r w:rsidR="009B45AF" w:rsidRPr="00F844C0">
              <w:rPr>
                <w:rFonts w:cs="Arial"/>
                <w:szCs w:val="18"/>
              </w:rPr>
              <w:t>on</w:t>
            </w:r>
            <w:r w:rsidRPr="00F844C0">
              <w:rPr>
                <w:rFonts w:cs="Arial"/>
                <w:szCs w:val="18"/>
              </w:rPr>
              <w:t xml:space="preserve"> the </w:t>
            </w:r>
            <w:r w:rsidR="009B45AF" w:rsidRPr="00F844C0">
              <w:rPr>
                <w:rFonts w:cs="Arial"/>
                <w:szCs w:val="18"/>
              </w:rPr>
              <w:t xml:space="preserve">ABS website: </w:t>
            </w:r>
            <w:r w:rsidR="000441C0" w:rsidRPr="00B12091">
              <w:rPr>
                <w:rFonts w:cs="Arial"/>
                <w:szCs w:val="18"/>
              </w:rPr>
              <w:t>www.abs.gov.au/ausstats/abs@.nsf/exnote/6224.0.55.001/</w:t>
            </w:r>
          </w:p>
        </w:tc>
      </w:tr>
      <w:tr w:rsidR="008A0DAC" w:rsidRPr="00F844C0" w:rsidTr="00BD4765">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jc w:val="both"/>
              <w:rPr>
                <w:b/>
              </w:rPr>
            </w:pPr>
            <w:r w:rsidRPr="00F844C0">
              <w:rPr>
                <w:b/>
                <w:u w:val="single"/>
              </w:rPr>
              <w:t>Data Gaps/Issues Analysis</w:t>
            </w:r>
          </w:p>
        </w:tc>
      </w:tr>
      <w:tr w:rsidR="008A0DAC" w:rsidRPr="00F844C0" w:rsidTr="00416BA2">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shd w:val="clear" w:color="auto" w:fill="auto"/>
          </w:tcPr>
          <w:p w:rsidR="008A0DAC" w:rsidRPr="00F844C0" w:rsidRDefault="008A0DAC" w:rsidP="00CA444C">
            <w:pPr>
              <w:pStyle w:val="TableBodyText"/>
              <w:keepNext w:val="0"/>
              <w:keepLines w:val="0"/>
              <w:widowControl w:val="0"/>
              <w:shd w:val="clear" w:color="auto" w:fill="FFFFFF" w:themeFill="background1"/>
              <w:spacing w:before="120"/>
              <w:ind w:left="0"/>
              <w:jc w:val="left"/>
              <w:rPr>
                <w:rFonts w:cs="Arial"/>
                <w:b/>
                <w:szCs w:val="22"/>
              </w:rPr>
            </w:pPr>
            <w:r w:rsidRPr="00F844C0">
              <w:rPr>
                <w:rFonts w:cs="Arial"/>
                <w:b/>
                <w:szCs w:val="22"/>
              </w:rPr>
              <w:t xml:space="preserve">Key data </w:t>
            </w:r>
            <w:r w:rsidRPr="00F844C0">
              <w:rPr>
                <w:rFonts w:cs="Arial"/>
                <w:b/>
                <w:szCs w:val="22"/>
              </w:rPr>
              <w:lastRenderedPageBreak/>
              <w:t>gaps/issues</w:t>
            </w:r>
          </w:p>
        </w:tc>
        <w:tc>
          <w:tcPr>
            <w:tcW w:w="4032" w:type="pct"/>
            <w:gridSpan w:val="2"/>
            <w:tcBorders>
              <w:top w:val="nil"/>
              <w:left w:val="nil"/>
              <w:bottom w:val="nil"/>
              <w:right w:val="nil"/>
            </w:tcBorders>
            <w:shd w:val="clear" w:color="auto" w:fill="auto"/>
          </w:tcPr>
          <w:p w:rsidR="008A0DAC" w:rsidRDefault="008A0DAC" w:rsidP="00CA444C">
            <w:pPr>
              <w:pStyle w:val="TableBodyText"/>
              <w:keepNext w:val="0"/>
              <w:keepLines w:val="0"/>
              <w:widowControl w:val="0"/>
              <w:shd w:val="clear" w:color="auto" w:fill="FFFFFF" w:themeFill="background1"/>
              <w:spacing w:after="60"/>
              <w:jc w:val="both"/>
              <w:rPr>
                <w:rFonts w:cs="Arial"/>
              </w:rPr>
            </w:pPr>
            <w:r w:rsidRPr="00F844C0">
              <w:rPr>
                <w:rFonts w:cs="Arial"/>
              </w:rPr>
              <w:lastRenderedPageBreak/>
              <w:t>The Steering Committee notes the following issues:</w:t>
            </w:r>
          </w:p>
          <w:p w:rsidR="00672EE6" w:rsidRDefault="00672EE6" w:rsidP="00CA444C">
            <w:pPr>
              <w:pStyle w:val="TableBullet"/>
              <w:shd w:val="clear" w:color="auto" w:fill="FFFFFF" w:themeFill="background1"/>
              <w:rPr>
                <w:rFonts w:cs="Arial"/>
              </w:rPr>
            </w:pPr>
            <w:r>
              <w:rPr>
                <w:rFonts w:cs="Arial"/>
              </w:rPr>
              <w:lastRenderedPageBreak/>
              <w:t xml:space="preserve">data are </w:t>
            </w:r>
            <w:r w:rsidRPr="00CA444C">
              <w:rPr>
                <w:shd w:val="clear" w:color="auto" w:fill="FFFFFF" w:themeFill="background1"/>
              </w:rPr>
              <w:t>comparable</w:t>
            </w:r>
            <w:r w:rsidRPr="00672EE6">
              <w:rPr>
                <w:rFonts w:cs="Arial"/>
              </w:rPr>
              <w:t xml:space="preserve"> (subject to caveats) for 2012</w:t>
            </w:r>
          </w:p>
          <w:p w:rsidR="00672EE6" w:rsidRDefault="00672EE6" w:rsidP="00CA444C">
            <w:pPr>
              <w:pStyle w:val="TableBullet"/>
              <w:shd w:val="clear" w:color="auto" w:fill="FFFFFF" w:themeFill="background1"/>
              <w:rPr>
                <w:rFonts w:cs="Arial"/>
              </w:rPr>
            </w:pPr>
            <w:r w:rsidRPr="00672EE6">
              <w:rPr>
                <w:rFonts w:cs="Arial"/>
              </w:rPr>
              <w:t>2013 data were not available for reporting this year.</w:t>
            </w:r>
          </w:p>
          <w:p w:rsidR="008A0DAC" w:rsidRPr="00672EE6" w:rsidRDefault="00672EE6" w:rsidP="00CA444C">
            <w:pPr>
              <w:pStyle w:val="TableBullet"/>
              <w:shd w:val="clear" w:color="auto" w:fill="FFFFFF" w:themeFill="background1"/>
              <w:rPr>
                <w:rStyle w:val="DraftingNote0"/>
                <w:color w:val="auto"/>
                <w:sz w:val="20"/>
              </w:rPr>
            </w:pPr>
            <w:r w:rsidRPr="003B7AD8">
              <w:t>disaggregation of this indicator by State and Territory is a priority.</w:t>
            </w:r>
            <w:r>
              <w:rPr>
                <w:shd w:val="clear" w:color="auto" w:fill="A6A6A6" w:themeFill="background1" w:themeFillShade="A6"/>
              </w:rPr>
              <w:t xml:space="preserve"> </w:t>
            </w:r>
          </w:p>
        </w:tc>
      </w:tr>
    </w:tbl>
    <w:p w:rsidR="00F844C0" w:rsidRPr="00F844C0" w:rsidRDefault="00F844C0" w:rsidP="00CA444C">
      <w:pPr>
        <w:pStyle w:val="BodyText"/>
        <w:shd w:val="clear" w:color="auto" w:fill="FFFFFF" w:themeFill="background1"/>
        <w:rPr>
          <w:rFonts w:ascii="Arial" w:hAnsi="Arial"/>
          <w:sz w:val="26"/>
        </w:rPr>
      </w:pPr>
      <w:r w:rsidRPr="00F844C0">
        <w:lastRenderedPageBreak/>
        <w:br w:type="page"/>
      </w:r>
    </w:p>
    <w:p w:rsidR="00A420D4" w:rsidRPr="00F844C0" w:rsidRDefault="00370A5F" w:rsidP="00CA444C">
      <w:pPr>
        <w:pStyle w:val="Heading2nosectionno"/>
        <w:shd w:val="clear" w:color="auto" w:fill="FFFFFF" w:themeFill="background1"/>
        <w:rPr>
          <w:szCs w:val="24"/>
        </w:rPr>
      </w:pPr>
      <w:bookmarkStart w:id="26" w:name="_Toc404867670"/>
      <w:r w:rsidRPr="00F844C0">
        <w:rPr>
          <w:szCs w:val="24"/>
        </w:rPr>
        <w:lastRenderedPageBreak/>
        <w:t>Improving child development</w:t>
      </w:r>
      <w:bookmarkEnd w:id="26"/>
    </w:p>
    <w:p w:rsidR="00A420D4" w:rsidRPr="00F844C0" w:rsidRDefault="00A420D4" w:rsidP="00CA444C">
      <w:pPr>
        <w:pStyle w:val="BodyText"/>
        <w:widowControl w:val="0"/>
        <w:shd w:val="clear" w:color="auto" w:fill="FFFFFF" w:themeFill="background1"/>
        <w:spacing w:before="120"/>
        <w:rPr>
          <w:rFonts w:ascii="Arial" w:hAnsi="Arial" w:cs="Arial"/>
          <w:sz w:val="22"/>
          <w:szCs w:val="22"/>
        </w:rPr>
      </w:pPr>
      <w:r w:rsidRPr="00F844C0">
        <w:rPr>
          <w:rFonts w:ascii="Arial" w:hAnsi="Arial" w:cs="Arial"/>
          <w:sz w:val="22"/>
          <w:szCs w:val="22"/>
        </w:rPr>
        <w:t xml:space="preserve">Data quality information for this indicator has been drafted by </w:t>
      </w:r>
      <w:r w:rsidR="00FE77C0">
        <w:rPr>
          <w:rFonts w:ascii="Arial" w:hAnsi="Arial" w:cs="Arial"/>
          <w:sz w:val="22"/>
          <w:szCs w:val="22"/>
        </w:rPr>
        <w:t>the Report’s</w:t>
      </w:r>
      <w:r w:rsidR="00FE77C0" w:rsidRPr="00F844C0">
        <w:rPr>
          <w:rFonts w:ascii="Arial" w:hAnsi="Arial" w:cs="Arial"/>
          <w:sz w:val="22"/>
          <w:szCs w:val="22"/>
        </w:rPr>
        <w:t xml:space="preserve"> </w:t>
      </w:r>
      <w:r w:rsidRPr="00F844C0">
        <w:rPr>
          <w:rFonts w:ascii="Arial" w:hAnsi="Arial" w:cs="Arial"/>
          <w:sz w:val="22"/>
          <w:szCs w:val="22"/>
        </w:rPr>
        <w:t xml:space="preserve">community service working groups. </w:t>
      </w:r>
    </w:p>
    <w:tbl>
      <w:tblPr>
        <w:tblW w:w="5018" w:type="pct"/>
        <w:tblCellMar>
          <w:left w:w="0" w:type="dxa"/>
          <w:right w:w="0" w:type="dxa"/>
        </w:tblCellMar>
        <w:tblLook w:val="0000" w:firstRow="0" w:lastRow="0" w:firstColumn="0" w:lastColumn="0" w:noHBand="0" w:noVBand="0"/>
      </w:tblPr>
      <w:tblGrid>
        <w:gridCol w:w="1799"/>
        <w:gridCol w:w="6990"/>
        <w:gridCol w:w="32"/>
      </w:tblGrid>
      <w:tr w:rsidR="00A420D4" w:rsidRPr="00F844C0" w:rsidTr="000D59CA">
        <w:trPr>
          <w:gridAfter w:val="1"/>
          <w:wAfter w:w="18" w:type="pct"/>
        </w:trPr>
        <w:tc>
          <w:tcPr>
            <w:tcW w:w="4982" w:type="pct"/>
            <w:gridSpan w:val="2"/>
          </w:tcPr>
          <w:p w:rsidR="00A420D4" w:rsidRPr="00F844C0" w:rsidRDefault="00A420D4" w:rsidP="00CA444C">
            <w:pPr>
              <w:pStyle w:val="TableBodyText"/>
              <w:keepNext w:val="0"/>
              <w:keepLines w:val="0"/>
              <w:widowControl w:val="0"/>
              <w:shd w:val="clear" w:color="auto" w:fill="FFFFFF" w:themeFill="background1"/>
              <w:jc w:val="both"/>
              <w:rPr>
                <w:b/>
                <w:u w:val="single"/>
              </w:rPr>
            </w:pPr>
          </w:p>
          <w:p w:rsidR="00A420D4" w:rsidRPr="00F844C0" w:rsidRDefault="00A420D4" w:rsidP="00CA444C">
            <w:pPr>
              <w:pStyle w:val="TableBodyText"/>
              <w:keepNext w:val="0"/>
              <w:keepLines w:val="0"/>
              <w:widowControl w:val="0"/>
              <w:shd w:val="clear" w:color="auto" w:fill="FFFFFF" w:themeFill="background1"/>
              <w:jc w:val="both"/>
            </w:pPr>
            <w:r w:rsidRPr="00F844C0">
              <w:rPr>
                <w:b/>
                <w:u w:val="single"/>
              </w:rPr>
              <w:t>Indicator definition and description</w:t>
            </w:r>
            <w:r w:rsidRPr="00F844C0">
              <w:rPr>
                <w:rFonts w:cs="Arial"/>
                <w:b/>
                <w:sz w:val="22"/>
                <w:szCs w:val="22"/>
                <w:u w:val="single"/>
              </w:rPr>
              <w:t xml:space="preserve"> </w:t>
            </w:r>
          </w:p>
        </w:tc>
      </w:tr>
      <w:tr w:rsidR="00A420D4"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A420D4" w:rsidRPr="00F844C0" w:rsidRDefault="00A420D4" w:rsidP="00CA444C">
            <w:pPr>
              <w:pStyle w:val="TableBodyText"/>
              <w:keepNext w:val="0"/>
              <w:keepLines w:val="0"/>
              <w:widowControl w:val="0"/>
              <w:shd w:val="clear" w:color="auto" w:fill="FFFFFF" w:themeFill="background1"/>
              <w:ind w:left="0"/>
              <w:jc w:val="left"/>
              <w:rPr>
                <w:rFonts w:cs="Arial"/>
                <w:b/>
              </w:rPr>
            </w:pPr>
            <w:r w:rsidRPr="00F844C0">
              <w:rPr>
                <w:rFonts w:cs="Arial"/>
                <w:b/>
              </w:rPr>
              <w:t>Element</w:t>
            </w:r>
          </w:p>
        </w:tc>
        <w:tc>
          <w:tcPr>
            <w:tcW w:w="3980" w:type="pct"/>
            <w:gridSpan w:val="2"/>
            <w:tcBorders>
              <w:top w:val="nil"/>
              <w:left w:val="nil"/>
              <w:bottom w:val="nil"/>
              <w:right w:val="nil"/>
            </w:tcBorders>
            <w:shd w:val="clear" w:color="auto" w:fill="auto"/>
          </w:tcPr>
          <w:p w:rsidR="00A420D4"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Sector</w:t>
            </w:r>
            <w:r w:rsidR="002A0059">
              <w:rPr>
                <w:rFonts w:cs="Arial"/>
              </w:rPr>
              <w:noBreakHyphen/>
            </w:r>
            <w:r w:rsidRPr="00F844C0">
              <w:rPr>
                <w:rFonts w:cs="Arial"/>
              </w:rPr>
              <w:t>wide indicator</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Indicator </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Improving child development</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Measure (computation)</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spacing w:after="60"/>
              <w:jc w:val="both"/>
              <w:rPr>
                <w:rFonts w:cs="Arial"/>
                <w:szCs w:val="18"/>
                <w:u w:val="single"/>
              </w:rPr>
            </w:pPr>
            <w:r w:rsidRPr="00F844C0">
              <w:rPr>
                <w:rFonts w:cs="Arial"/>
                <w:szCs w:val="18"/>
                <w:u w:val="single"/>
              </w:rPr>
              <w:t>Definition:</w:t>
            </w:r>
          </w:p>
          <w:p w:rsidR="00DD62D7" w:rsidRDefault="00F33F3E" w:rsidP="00CA444C">
            <w:pPr>
              <w:widowControl w:val="0"/>
              <w:shd w:val="clear" w:color="auto" w:fill="FFFFFF" w:themeFill="background1"/>
              <w:spacing w:before="120" w:after="60"/>
              <w:jc w:val="both"/>
              <w:rPr>
                <w:rFonts w:ascii="Arial" w:hAnsi="Arial" w:cs="Arial"/>
                <w:sz w:val="18"/>
                <w:szCs w:val="18"/>
              </w:rPr>
            </w:pPr>
            <w:r w:rsidRPr="00DD62D7">
              <w:rPr>
                <w:rFonts w:ascii="Arial" w:hAnsi="Arial" w:cs="Arial"/>
                <w:sz w:val="18"/>
                <w:szCs w:val="18"/>
              </w:rPr>
              <w:t xml:space="preserve">Improving child development is defined as the proportion of children who are developmentally vulnerable on one or more </w:t>
            </w:r>
            <w:r w:rsidR="00DD62D7" w:rsidRPr="00DD62D7">
              <w:rPr>
                <w:rFonts w:ascii="Arial" w:hAnsi="Arial" w:cs="Arial"/>
                <w:sz w:val="18"/>
                <w:szCs w:val="18"/>
              </w:rPr>
              <w:t>Australian Early Development Census (AEDC)</w:t>
            </w:r>
            <w:r w:rsidR="00DD62D7">
              <w:rPr>
                <w:rFonts w:ascii="Arial" w:hAnsi="Arial" w:cs="Arial"/>
                <w:sz w:val="18"/>
                <w:szCs w:val="18"/>
              </w:rPr>
              <w:t>.</w:t>
            </w:r>
          </w:p>
          <w:p w:rsidR="00F33F3E" w:rsidRPr="00F844C0" w:rsidRDefault="00F33F3E"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u w:val="single"/>
              </w:rPr>
              <w:t>Numerators</w:t>
            </w:r>
            <w:r w:rsidRPr="00F844C0">
              <w:rPr>
                <w:rFonts w:ascii="Arial" w:hAnsi="Arial" w:cs="Arial"/>
                <w:sz w:val="18"/>
                <w:szCs w:val="18"/>
              </w:rPr>
              <w:t xml:space="preserve">: </w:t>
            </w:r>
          </w:p>
          <w:p w:rsidR="00F33F3E" w:rsidRPr="00F844C0" w:rsidRDefault="00F33F3E"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 xml:space="preserve">The number of children who are developmentally vulnerable on one or more </w:t>
            </w:r>
            <w:r w:rsidR="00DD62D7">
              <w:rPr>
                <w:rFonts w:ascii="Arial" w:hAnsi="Arial" w:cs="Arial"/>
                <w:sz w:val="18"/>
                <w:szCs w:val="18"/>
              </w:rPr>
              <w:t>AEDC</w:t>
            </w:r>
            <w:r w:rsidRPr="00F844C0">
              <w:rPr>
                <w:rFonts w:ascii="Arial" w:hAnsi="Arial" w:cs="Arial"/>
                <w:sz w:val="18"/>
                <w:szCs w:val="18"/>
              </w:rPr>
              <w:t xml:space="preserve"> domains. </w:t>
            </w:r>
          </w:p>
          <w:p w:rsidR="00F33F3E" w:rsidRPr="00F844C0" w:rsidRDefault="00F33F3E"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 xml:space="preserve">Denominators: </w:t>
            </w:r>
          </w:p>
          <w:p w:rsidR="00F33F3E" w:rsidRPr="00F844C0" w:rsidRDefault="00F33F3E" w:rsidP="00CA444C">
            <w:pPr>
              <w:widowControl w:val="0"/>
              <w:shd w:val="clear" w:color="auto" w:fill="FFFFFF" w:themeFill="background1"/>
              <w:spacing w:before="120" w:after="60"/>
              <w:jc w:val="both"/>
              <w:rPr>
                <w:rFonts w:ascii="Arial" w:hAnsi="Arial" w:cs="Arial"/>
                <w:sz w:val="18"/>
                <w:szCs w:val="18"/>
              </w:rPr>
            </w:pPr>
            <w:r w:rsidRPr="00F844C0">
              <w:rPr>
                <w:rFonts w:ascii="Arial" w:hAnsi="Arial" w:cs="Arial"/>
                <w:sz w:val="18"/>
                <w:szCs w:val="18"/>
              </w:rPr>
              <w:t xml:space="preserve">Total number of children who participated in the </w:t>
            </w:r>
            <w:r w:rsidR="00DD62D7">
              <w:rPr>
                <w:rFonts w:ascii="Arial" w:hAnsi="Arial" w:cs="Arial"/>
                <w:sz w:val="18"/>
                <w:szCs w:val="18"/>
              </w:rPr>
              <w:t>AEDC</w:t>
            </w:r>
            <w:r w:rsidRPr="00F844C0">
              <w:rPr>
                <w:rFonts w:ascii="Arial" w:hAnsi="Arial" w:cs="Arial"/>
                <w:sz w:val="18"/>
                <w:szCs w:val="18"/>
              </w:rPr>
              <w:t>.</w:t>
            </w:r>
          </w:p>
          <w:p w:rsidR="00F33F3E" w:rsidRPr="00F844C0" w:rsidRDefault="00F33F3E" w:rsidP="00CA444C">
            <w:pPr>
              <w:widowControl w:val="0"/>
              <w:shd w:val="clear" w:color="auto" w:fill="FFFFFF" w:themeFill="background1"/>
              <w:spacing w:before="120" w:after="60"/>
              <w:jc w:val="both"/>
              <w:rPr>
                <w:rFonts w:ascii="Arial" w:hAnsi="Arial" w:cs="Arial"/>
                <w:sz w:val="18"/>
                <w:szCs w:val="18"/>
                <w:u w:val="single"/>
              </w:rPr>
            </w:pPr>
            <w:r w:rsidRPr="00F844C0">
              <w:rPr>
                <w:rFonts w:ascii="Arial" w:hAnsi="Arial" w:cs="Arial"/>
                <w:sz w:val="18"/>
                <w:szCs w:val="18"/>
                <w:u w:val="single"/>
              </w:rPr>
              <w:t>Computation:</w:t>
            </w:r>
          </w:p>
          <w:p w:rsidR="00F33F3E" w:rsidRPr="00F844C0" w:rsidRDefault="00F33F3E" w:rsidP="00CA444C">
            <w:pPr>
              <w:pStyle w:val="TableBodyText"/>
              <w:keepNext w:val="0"/>
              <w:keepLines w:val="0"/>
              <w:widowControl w:val="0"/>
              <w:shd w:val="clear" w:color="auto" w:fill="FFFFFF" w:themeFill="background1"/>
              <w:jc w:val="both"/>
              <w:rPr>
                <w:rFonts w:cs="Arial"/>
                <w:szCs w:val="18"/>
              </w:rPr>
            </w:pPr>
            <w:r w:rsidRPr="00F844C0">
              <w:rPr>
                <w:rFonts w:cs="Arial"/>
                <w:szCs w:val="18"/>
              </w:rPr>
              <w:t xml:space="preserve">Expressed as a percentage. Calculation is: (Numerator </w:t>
            </w:r>
            <w:r w:rsidRPr="00F844C0">
              <w:rPr>
                <w:rFonts w:cs="Arial"/>
                <w:szCs w:val="18"/>
              </w:rPr>
              <w:sym w:font="Symbol" w:char="F0B8"/>
            </w:r>
            <w:r w:rsidRPr="00F844C0">
              <w:rPr>
                <w:rFonts w:cs="Arial"/>
                <w:szCs w:val="18"/>
              </w:rPr>
              <w:t xml:space="preserve"> Denominator) x 100.</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Data source/s</w:t>
            </w:r>
          </w:p>
        </w:tc>
        <w:tc>
          <w:tcPr>
            <w:tcW w:w="3980" w:type="pct"/>
            <w:gridSpan w:val="2"/>
            <w:tcBorders>
              <w:top w:val="nil"/>
              <w:left w:val="nil"/>
              <w:bottom w:val="nil"/>
              <w:right w:val="nil"/>
            </w:tcBorders>
            <w:shd w:val="clear" w:color="auto" w:fill="auto"/>
          </w:tcPr>
          <w:p w:rsidR="00F33F3E" w:rsidRPr="00F844C0" w:rsidRDefault="00F33F3E" w:rsidP="00CA444C">
            <w:pPr>
              <w:keepNext/>
              <w:keepLines/>
              <w:shd w:val="clear" w:color="auto" w:fill="FFFFFF" w:themeFill="background1"/>
              <w:spacing w:after="40" w:line="220" w:lineRule="atLeast"/>
              <w:ind w:left="6" w:right="113"/>
              <w:jc w:val="both"/>
              <w:rPr>
                <w:rFonts w:ascii="Arial" w:hAnsi="Arial"/>
                <w:i/>
                <w:sz w:val="20"/>
                <w:szCs w:val="20"/>
              </w:rPr>
            </w:pPr>
            <w:r w:rsidRPr="00F844C0">
              <w:rPr>
                <w:rFonts w:ascii="Arial" w:hAnsi="Arial" w:cs="Arial"/>
                <w:sz w:val="18"/>
                <w:szCs w:val="18"/>
              </w:rPr>
              <w:t xml:space="preserve">Department of Education, </w:t>
            </w:r>
            <w:r w:rsidRPr="00F844C0">
              <w:rPr>
                <w:rFonts w:ascii="Arial" w:hAnsi="Arial" w:cs="Arial"/>
                <w:i/>
                <w:sz w:val="18"/>
                <w:szCs w:val="18"/>
              </w:rPr>
              <w:t>Australian Early Development Index</w:t>
            </w:r>
            <w:r w:rsidRPr="00F844C0">
              <w:rPr>
                <w:rFonts w:ascii="Arial" w:hAnsi="Arial" w:cs="Arial"/>
                <w:sz w:val="18"/>
                <w:szCs w:val="18"/>
              </w:rPr>
              <w:t>.</w:t>
            </w:r>
            <w:r w:rsidRPr="00F844C0">
              <w:rPr>
                <w:rFonts w:ascii="Arial" w:hAnsi="Arial"/>
                <w:i/>
                <w:sz w:val="20"/>
                <w:szCs w:val="20"/>
              </w:rPr>
              <w:t xml:space="preserve"> </w:t>
            </w:r>
          </w:p>
        </w:tc>
      </w:tr>
      <w:tr w:rsidR="00F33F3E" w:rsidRPr="00F844C0" w:rsidTr="000D59CA">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F33F3E" w:rsidRPr="00F844C0" w:rsidRDefault="00F33F3E" w:rsidP="00CA444C">
            <w:pPr>
              <w:pStyle w:val="TableBodyText"/>
              <w:keepLines w:val="0"/>
              <w:widowControl w:val="0"/>
              <w:shd w:val="clear" w:color="auto" w:fill="FFFFFF" w:themeFill="background1"/>
              <w:jc w:val="both"/>
              <w:rPr>
                <w:rFonts w:cs="Arial"/>
                <w:b/>
                <w:u w:val="single"/>
              </w:rPr>
            </w:pPr>
            <w:r w:rsidRPr="00F844C0">
              <w:rPr>
                <w:b/>
                <w:u w:val="single"/>
              </w:rPr>
              <w:t>Data Quality Framework Dimensions</w:t>
            </w:r>
            <w:r w:rsidRPr="00F844C0">
              <w:rPr>
                <w:rFonts w:cs="Arial"/>
                <w:b/>
                <w:u w:val="single"/>
              </w:rPr>
              <w:t xml:space="preserve"> </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Institutional environment </w:t>
            </w:r>
          </w:p>
        </w:tc>
        <w:tc>
          <w:tcPr>
            <w:tcW w:w="3980" w:type="pct"/>
            <w:gridSpan w:val="2"/>
            <w:tcBorders>
              <w:top w:val="nil"/>
              <w:left w:val="nil"/>
              <w:bottom w:val="nil"/>
              <w:right w:val="nil"/>
            </w:tcBorders>
            <w:shd w:val="clear" w:color="auto" w:fill="auto"/>
          </w:tcPr>
          <w:p w:rsidR="00F33F3E" w:rsidRPr="00F844C0" w:rsidRDefault="00DD62D7" w:rsidP="00CA444C">
            <w:pPr>
              <w:pStyle w:val="TableBodyText"/>
              <w:keepNext w:val="0"/>
              <w:keepLines w:val="0"/>
              <w:widowControl w:val="0"/>
              <w:shd w:val="clear" w:color="auto" w:fill="FFFFFF" w:themeFill="background1"/>
              <w:jc w:val="both"/>
              <w:rPr>
                <w:rFonts w:cs="Arial"/>
              </w:rPr>
            </w:pPr>
            <w:r>
              <w:rPr>
                <w:rFonts w:cs="Arial"/>
              </w:rPr>
              <w:t>AEDC</w:t>
            </w:r>
            <w:r w:rsidR="00F33F3E" w:rsidRPr="00F844C0">
              <w:rPr>
                <w:rFonts w:cs="Arial"/>
              </w:rPr>
              <w:t xml:space="preserve"> data are reported by teachers in the first year of full time school. It is a national collection of all children in the first year of primary school.</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Relevance </w:t>
            </w:r>
          </w:p>
        </w:tc>
        <w:tc>
          <w:tcPr>
            <w:tcW w:w="3980" w:type="pct"/>
            <w:gridSpan w:val="2"/>
            <w:tcBorders>
              <w:top w:val="nil"/>
              <w:left w:val="nil"/>
              <w:bottom w:val="nil"/>
              <w:right w:val="nil"/>
            </w:tcBorders>
            <w:shd w:val="clear" w:color="auto" w:fill="auto"/>
          </w:tcPr>
          <w:p w:rsidR="00F33F3E" w:rsidRPr="00F844C0" w:rsidRDefault="009B45AF" w:rsidP="00CA444C">
            <w:pPr>
              <w:pStyle w:val="TableBodyText"/>
              <w:keepNext w:val="0"/>
              <w:keepLines w:val="0"/>
              <w:widowControl w:val="0"/>
              <w:shd w:val="clear" w:color="auto" w:fill="FFFFFF" w:themeFill="background1"/>
              <w:jc w:val="both"/>
              <w:rPr>
                <w:rFonts w:cs="Arial"/>
              </w:rPr>
            </w:pPr>
            <w:r w:rsidRPr="00F844C0">
              <w:rPr>
                <w:rFonts w:cs="Arial"/>
              </w:rPr>
              <w:t>Improving child development</w:t>
            </w:r>
            <w:r w:rsidR="00F33F3E" w:rsidRPr="00F844C0">
              <w:rPr>
                <w:rFonts w:cs="Arial"/>
              </w:rPr>
              <w:t xml:space="preserve"> is an indicator of governments’ objective to ensure that Australia’s children and young people are safe and well. Data are available on the basis of specific </w:t>
            </w:r>
            <w:r w:rsidR="00DD62D7">
              <w:rPr>
                <w:rFonts w:cs="Arial"/>
              </w:rPr>
              <w:t>AEDC</w:t>
            </w:r>
            <w:r w:rsidR="00F33F3E" w:rsidRPr="00F844C0">
              <w:rPr>
                <w:rFonts w:cs="Arial"/>
              </w:rPr>
              <w:t xml:space="preserve"> local communities, as well as state level.</w:t>
            </w:r>
          </w:p>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 xml:space="preserve">The </w:t>
            </w:r>
            <w:r w:rsidR="00DD62D7">
              <w:rPr>
                <w:rFonts w:cs="Arial"/>
              </w:rPr>
              <w:t>AEDC</w:t>
            </w:r>
            <w:r w:rsidRPr="00F844C0">
              <w:rPr>
                <w:rFonts w:cs="Arial"/>
              </w:rPr>
              <w:t xml:space="preserve"> is a population measure of young children</w:t>
            </w:r>
            <w:r w:rsidR="002A0059">
              <w:rPr>
                <w:rFonts w:cs="Arial"/>
              </w:rPr>
              <w:t>’</w:t>
            </w:r>
            <w:r w:rsidRPr="00F844C0">
              <w:rPr>
                <w:rFonts w:cs="Arial"/>
              </w:rPr>
              <w:t xml:space="preserve">s development as they enter school. A population measure places the focus on all children in the community and therefore the </w:t>
            </w:r>
            <w:r w:rsidR="00DD62D7">
              <w:rPr>
                <w:rFonts w:cs="Arial"/>
              </w:rPr>
              <w:t>AEDC</w:t>
            </w:r>
            <w:r w:rsidRPr="00F844C0">
              <w:rPr>
                <w:rFonts w:cs="Arial"/>
              </w:rPr>
              <w:t xml:space="preserve"> reports on early childhood development across the whole community. Every three years, teachers complete a checklist for children in their first year of full</w:t>
            </w:r>
            <w:r w:rsidR="002A0059">
              <w:rPr>
                <w:rFonts w:cs="Arial"/>
              </w:rPr>
              <w:noBreakHyphen/>
            </w:r>
            <w:r w:rsidRPr="00F844C0">
              <w:rPr>
                <w:rFonts w:cs="Arial"/>
              </w:rPr>
              <w:t>time school. The checklist measures five key areas, or domains,</w:t>
            </w:r>
            <w:r w:rsidR="00DD62D7">
              <w:rPr>
                <w:rFonts w:cs="Arial"/>
              </w:rPr>
              <w:t xml:space="preserve"> of early childhood development.</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Timeliness</w:t>
            </w:r>
            <w:r w:rsidRPr="00F844C0">
              <w:rPr>
                <w:rFonts w:cs="Arial"/>
                <w:lang w:val="en-US" w:eastAsia="en-US"/>
              </w:rPr>
              <w:t xml:space="preserve"> </w:t>
            </w:r>
          </w:p>
        </w:tc>
        <w:tc>
          <w:tcPr>
            <w:tcW w:w="3980" w:type="pct"/>
            <w:gridSpan w:val="2"/>
            <w:tcBorders>
              <w:top w:val="nil"/>
              <w:left w:val="nil"/>
              <w:bottom w:val="nil"/>
              <w:right w:val="nil"/>
            </w:tcBorders>
            <w:shd w:val="clear" w:color="auto" w:fill="auto"/>
          </w:tcPr>
          <w:p w:rsidR="00F33F3E" w:rsidRPr="00F844C0" w:rsidRDefault="009B45AF" w:rsidP="00CA444C">
            <w:pPr>
              <w:pStyle w:val="TableBodyText"/>
              <w:keepNext w:val="0"/>
              <w:keepLines w:val="0"/>
              <w:widowControl w:val="0"/>
              <w:shd w:val="clear" w:color="auto" w:fill="FFFFFF" w:themeFill="background1"/>
              <w:jc w:val="both"/>
              <w:rPr>
                <w:rFonts w:cs="Arial"/>
              </w:rPr>
            </w:pPr>
            <w:r w:rsidRPr="00F844C0">
              <w:rPr>
                <w:rFonts w:cs="Arial"/>
              </w:rPr>
              <w:t>Data are collected every three years. The most recent d</w:t>
            </w:r>
            <w:r w:rsidR="00F33F3E" w:rsidRPr="00F844C0">
              <w:rPr>
                <w:rFonts w:cs="Arial"/>
              </w:rPr>
              <w:t>ata were collected between May and July 2012.</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Accuracy </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Teachers completed a checklist for each child in the first year of school. This was a census, which assessed almost 290 000 children.</w:t>
            </w:r>
            <w:r w:rsidR="00EB7666" w:rsidRPr="00F844C0">
              <w:rPr>
                <w:rFonts w:cs="Arial"/>
              </w:rPr>
              <w:t xml:space="preserve"> </w:t>
            </w:r>
          </w:p>
          <w:p w:rsidR="00342EEF" w:rsidRPr="00F844C0" w:rsidRDefault="00263A2D" w:rsidP="00CA444C">
            <w:pPr>
              <w:pStyle w:val="TableBodyText"/>
              <w:keepNext w:val="0"/>
              <w:keepLines w:val="0"/>
              <w:widowControl w:val="0"/>
              <w:shd w:val="clear" w:color="auto" w:fill="FFFFFF" w:themeFill="background1"/>
              <w:jc w:val="both"/>
              <w:rPr>
                <w:rFonts w:cs="Arial"/>
              </w:rPr>
            </w:pPr>
            <w:r w:rsidRPr="00F844C0">
              <w:rPr>
                <w:rFonts w:cs="Arial"/>
              </w:rPr>
              <w:t>Some</w:t>
            </w:r>
            <w:r w:rsidR="00342EEF" w:rsidRPr="00F844C0">
              <w:rPr>
                <w:rFonts w:cs="Arial"/>
              </w:rPr>
              <w:t xml:space="preserve"> </w:t>
            </w:r>
            <w:r w:rsidR="00DD62D7">
              <w:rPr>
                <w:rFonts w:cs="Arial"/>
              </w:rPr>
              <w:t>AEDC</w:t>
            </w:r>
            <w:r w:rsidRPr="00F844C0">
              <w:rPr>
                <w:rFonts w:cs="Arial"/>
              </w:rPr>
              <w:t xml:space="preserve"> </w:t>
            </w:r>
            <w:r w:rsidR="00342EEF" w:rsidRPr="00F844C0">
              <w:rPr>
                <w:rFonts w:cs="Arial"/>
              </w:rPr>
              <w:t>items</w:t>
            </w:r>
            <w:r w:rsidRPr="00F844C0">
              <w:rPr>
                <w:rFonts w:cs="Arial"/>
              </w:rPr>
              <w:t xml:space="preserve">, particularly items requiring teachers to know about a child’s experiences outside school (such as a child’s fluency in his or her second language and a child’s early childcare and education experiences) </w:t>
            </w:r>
            <w:r w:rsidR="00342EEF" w:rsidRPr="00F844C0">
              <w:rPr>
                <w:rFonts w:cs="Arial"/>
              </w:rPr>
              <w:t xml:space="preserve">recorded high </w:t>
            </w:r>
            <w:r w:rsidR="002A0059">
              <w:rPr>
                <w:rFonts w:cs="Arial"/>
              </w:rPr>
              <w:t>‘</w:t>
            </w:r>
            <w:r w:rsidR="00342EEF" w:rsidRPr="00F844C0">
              <w:rPr>
                <w:rFonts w:cs="Arial"/>
              </w:rPr>
              <w:t>don’t know</w:t>
            </w:r>
            <w:r w:rsidR="002A0059">
              <w:rPr>
                <w:rFonts w:cs="Arial"/>
              </w:rPr>
              <w:t>’</w:t>
            </w:r>
            <w:r w:rsidR="00342EEF" w:rsidRPr="00F844C0">
              <w:rPr>
                <w:rFonts w:cs="Arial"/>
              </w:rPr>
              <w:t xml:space="preserve"> rates among teachers.</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Coherence </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The numerator and denominator are from the same collection.</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Accessibility </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rFonts w:cs="Arial"/>
              </w:rPr>
            </w:pPr>
            <w:r w:rsidRPr="00F844C0">
              <w:rPr>
                <w:rFonts w:cs="Arial"/>
              </w:rPr>
              <w:t xml:space="preserve">Summary data are available on the </w:t>
            </w:r>
            <w:r w:rsidR="00DD62D7">
              <w:rPr>
                <w:rFonts w:cs="Arial"/>
              </w:rPr>
              <w:t>AEDC</w:t>
            </w:r>
            <w:r w:rsidRPr="00F844C0">
              <w:rPr>
                <w:rFonts w:cs="Arial"/>
              </w:rPr>
              <w:t xml:space="preserve"> website:</w:t>
            </w:r>
            <w:r w:rsidR="009B45AF" w:rsidRPr="00F844C0">
              <w:rPr>
                <w:rFonts w:cs="Arial"/>
              </w:rPr>
              <w:t xml:space="preserve"> </w:t>
            </w:r>
            <w:r w:rsidR="000441C0" w:rsidRPr="00B12091">
              <w:rPr>
                <w:rFonts w:cs="Arial"/>
              </w:rPr>
              <w:t>www.aedc.gov.au/data</w:t>
            </w:r>
            <w:r w:rsidR="00DD62D7">
              <w:rPr>
                <w:rFonts w:cs="Arial"/>
              </w:rPr>
              <w:t xml:space="preserve"> </w:t>
            </w:r>
          </w:p>
          <w:p w:rsidR="00F33F3E" w:rsidRPr="00F844C0" w:rsidRDefault="00F33F3E" w:rsidP="00CA444C">
            <w:pPr>
              <w:keepNext/>
              <w:keepLines/>
              <w:shd w:val="clear" w:color="auto" w:fill="FFFFFF" w:themeFill="background1"/>
              <w:spacing w:after="40" w:line="220" w:lineRule="atLeast"/>
              <w:ind w:left="6" w:right="113"/>
              <w:jc w:val="both"/>
              <w:rPr>
                <w:rFonts w:cs="Arial"/>
              </w:rPr>
            </w:pPr>
            <w:r w:rsidRPr="00F844C0">
              <w:rPr>
                <w:rFonts w:ascii="Arial" w:hAnsi="Arial" w:cs="Arial"/>
                <w:sz w:val="18"/>
                <w:szCs w:val="20"/>
              </w:rPr>
              <w:t xml:space="preserve">Additional, unpublished data can be requested from the </w:t>
            </w:r>
            <w:r w:rsidR="00DD62D7">
              <w:rPr>
                <w:rFonts w:ascii="Arial" w:hAnsi="Arial" w:cs="Arial"/>
                <w:sz w:val="18"/>
                <w:szCs w:val="20"/>
              </w:rPr>
              <w:t>AEDC</w:t>
            </w:r>
            <w:r w:rsidRPr="00F844C0">
              <w:rPr>
                <w:rFonts w:ascii="Arial" w:hAnsi="Arial" w:cs="Arial"/>
                <w:sz w:val="18"/>
                <w:szCs w:val="20"/>
              </w:rPr>
              <w:t xml:space="preserve"> Data Manager, as long as requests meet the requirements of the </w:t>
            </w:r>
            <w:r w:rsidR="00DD62D7">
              <w:rPr>
                <w:rFonts w:ascii="Arial" w:hAnsi="Arial" w:cs="Arial"/>
                <w:sz w:val="18"/>
                <w:szCs w:val="20"/>
              </w:rPr>
              <w:t>AEDC</w:t>
            </w:r>
            <w:r w:rsidRPr="00F844C0">
              <w:rPr>
                <w:rFonts w:ascii="Arial" w:hAnsi="Arial" w:cs="Arial"/>
                <w:sz w:val="18"/>
                <w:szCs w:val="20"/>
              </w:rPr>
              <w:t xml:space="preserve"> data protocol. This is on a fee for service basis. The </w:t>
            </w:r>
            <w:r w:rsidR="00DD62D7">
              <w:rPr>
                <w:rFonts w:ascii="Arial" w:hAnsi="Arial" w:cs="Arial"/>
                <w:sz w:val="18"/>
                <w:szCs w:val="20"/>
              </w:rPr>
              <w:t>AEDC</w:t>
            </w:r>
            <w:r w:rsidRPr="00F844C0">
              <w:rPr>
                <w:rFonts w:ascii="Arial" w:hAnsi="Arial" w:cs="Arial"/>
                <w:sz w:val="18"/>
                <w:szCs w:val="20"/>
              </w:rPr>
              <w:t xml:space="preserve"> data protocol details the requirements for public release of data.</w:t>
            </w:r>
          </w:p>
        </w:tc>
      </w:tr>
      <w:tr w:rsidR="00F33F3E" w:rsidRPr="00F844C0"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ind w:left="0"/>
              <w:jc w:val="left"/>
              <w:rPr>
                <w:rFonts w:cs="Arial"/>
                <w:b/>
              </w:rPr>
            </w:pPr>
            <w:r w:rsidRPr="00F844C0">
              <w:rPr>
                <w:rFonts w:cs="Arial"/>
                <w:b/>
              </w:rPr>
              <w:t xml:space="preserve">Interpretability </w:t>
            </w:r>
          </w:p>
        </w:tc>
        <w:tc>
          <w:tcPr>
            <w:tcW w:w="3980" w:type="pct"/>
            <w:gridSpan w:val="2"/>
            <w:tcBorders>
              <w:top w:val="nil"/>
              <w:left w:val="nil"/>
              <w:bottom w:val="nil"/>
              <w:right w:val="nil"/>
            </w:tcBorders>
            <w:shd w:val="clear" w:color="auto" w:fill="auto"/>
          </w:tcPr>
          <w:p w:rsidR="00F33F3E" w:rsidRPr="00F844C0" w:rsidRDefault="00F33F3E" w:rsidP="000441C0">
            <w:pPr>
              <w:pStyle w:val="TableBodyText"/>
              <w:keepNext w:val="0"/>
              <w:keepLines w:val="0"/>
              <w:widowControl w:val="0"/>
              <w:shd w:val="clear" w:color="auto" w:fill="FFFFFF" w:themeFill="background1"/>
              <w:jc w:val="both"/>
              <w:rPr>
                <w:rFonts w:cs="Arial"/>
              </w:rPr>
            </w:pPr>
            <w:r w:rsidRPr="00F844C0">
              <w:rPr>
                <w:rFonts w:cs="Arial"/>
              </w:rPr>
              <w:t>User guides and explanatory material ar</w:t>
            </w:r>
            <w:r w:rsidR="009B45AF" w:rsidRPr="00F844C0">
              <w:rPr>
                <w:rFonts w:cs="Arial"/>
              </w:rPr>
              <w:t xml:space="preserve">e available on the </w:t>
            </w:r>
            <w:r w:rsidR="00DD62D7">
              <w:rPr>
                <w:rFonts w:cs="Arial"/>
              </w:rPr>
              <w:t>AEDC</w:t>
            </w:r>
            <w:r w:rsidR="009B45AF" w:rsidRPr="00F844C0">
              <w:rPr>
                <w:rFonts w:cs="Arial"/>
              </w:rPr>
              <w:t xml:space="preserve"> website: </w:t>
            </w:r>
            <w:r w:rsidR="000441C0" w:rsidRPr="00B12091">
              <w:rPr>
                <w:rFonts w:cs="Arial"/>
              </w:rPr>
              <w:t>www.aedc.gov.au/</w:t>
            </w:r>
            <w:r w:rsidR="009B45AF" w:rsidRPr="00F844C0">
              <w:rPr>
                <w:rFonts w:cs="Arial"/>
              </w:rPr>
              <w:t xml:space="preserve"> </w:t>
            </w:r>
          </w:p>
        </w:tc>
      </w:tr>
      <w:tr w:rsidR="00F33F3E" w:rsidRPr="00F844C0" w:rsidTr="000D59CA">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jc w:val="both"/>
              <w:rPr>
                <w:b/>
              </w:rPr>
            </w:pPr>
            <w:r w:rsidRPr="00F844C0">
              <w:rPr>
                <w:b/>
                <w:u w:val="single"/>
              </w:rPr>
              <w:t>Data Gaps/Issues Analysis</w:t>
            </w:r>
          </w:p>
        </w:tc>
      </w:tr>
      <w:tr w:rsidR="00F33F3E" w:rsidRPr="001A085B" w:rsidTr="000D59CA">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spacing w:before="120"/>
              <w:ind w:left="0"/>
              <w:jc w:val="left"/>
              <w:rPr>
                <w:rFonts w:cs="Arial"/>
                <w:b/>
                <w:szCs w:val="22"/>
              </w:rPr>
            </w:pPr>
            <w:r w:rsidRPr="00F844C0">
              <w:rPr>
                <w:rFonts w:cs="Arial"/>
                <w:b/>
                <w:szCs w:val="22"/>
              </w:rPr>
              <w:t>Key data gaps/issues</w:t>
            </w:r>
          </w:p>
        </w:tc>
        <w:tc>
          <w:tcPr>
            <w:tcW w:w="3980" w:type="pct"/>
            <w:gridSpan w:val="2"/>
            <w:tcBorders>
              <w:top w:val="nil"/>
              <w:left w:val="nil"/>
              <w:bottom w:val="nil"/>
              <w:right w:val="nil"/>
            </w:tcBorders>
            <w:shd w:val="clear" w:color="auto" w:fill="auto"/>
          </w:tcPr>
          <w:p w:rsidR="00F33F3E" w:rsidRPr="00F844C0" w:rsidRDefault="00F33F3E" w:rsidP="00CA444C">
            <w:pPr>
              <w:pStyle w:val="TableBodyText"/>
              <w:keepNext w:val="0"/>
              <w:keepLines w:val="0"/>
              <w:widowControl w:val="0"/>
              <w:shd w:val="clear" w:color="auto" w:fill="FFFFFF" w:themeFill="background1"/>
              <w:spacing w:after="60"/>
              <w:jc w:val="both"/>
              <w:rPr>
                <w:rFonts w:cs="Arial"/>
              </w:rPr>
            </w:pPr>
            <w:r w:rsidRPr="00F844C0">
              <w:rPr>
                <w:rFonts w:cs="Arial"/>
              </w:rPr>
              <w:t>The Steering Committee notes the following issues:</w:t>
            </w:r>
          </w:p>
          <w:p w:rsidR="00CA5932" w:rsidRPr="00F844C0" w:rsidRDefault="00F33F3E" w:rsidP="00CA444C">
            <w:pPr>
              <w:pStyle w:val="TableBullet"/>
              <w:shd w:val="clear" w:color="auto" w:fill="FFFFFF" w:themeFill="background1"/>
            </w:pPr>
            <w:r w:rsidRPr="00F844C0">
              <w:t xml:space="preserve">the five </w:t>
            </w:r>
            <w:r w:rsidR="00DD62D7">
              <w:t>AEDC</w:t>
            </w:r>
            <w:r w:rsidRPr="00F844C0">
              <w:t xml:space="preserve"> domains include: language and cognitive skills; physical health and wellbeing; social competence; emotional maturity and communication skills and general knowledge. These domains are all interrelated aspects of child development</w:t>
            </w:r>
          </w:p>
          <w:p w:rsidR="00CA5932" w:rsidRPr="00F844C0" w:rsidRDefault="00CA5932" w:rsidP="00CA444C">
            <w:pPr>
              <w:pStyle w:val="TableBullet"/>
              <w:shd w:val="clear" w:color="auto" w:fill="FFFFFF" w:themeFill="background1"/>
            </w:pPr>
            <w:r w:rsidRPr="00F844C0">
              <w:t xml:space="preserve">data reported for this indicator are comparable (subject to caveats) across </w:t>
            </w:r>
            <w:r w:rsidRPr="00F844C0">
              <w:lastRenderedPageBreak/>
              <w:t>jurisdictions and over time</w:t>
            </w:r>
          </w:p>
          <w:p w:rsidR="00F33F3E" w:rsidRPr="00F844C0" w:rsidRDefault="00CA5932" w:rsidP="00CA444C">
            <w:pPr>
              <w:pStyle w:val="TableBullet"/>
              <w:shd w:val="clear" w:color="auto" w:fill="FFFFFF" w:themeFill="background1"/>
            </w:pPr>
            <w:r w:rsidRPr="00F844C0">
              <w:t>data reported for this indicator are complete for the current reporting period.</w:t>
            </w:r>
          </w:p>
        </w:tc>
      </w:tr>
    </w:tbl>
    <w:p w:rsidR="00A420D4" w:rsidRPr="00A420D4" w:rsidRDefault="00A420D4" w:rsidP="00CA444C">
      <w:pPr>
        <w:pStyle w:val="BodyText"/>
        <w:shd w:val="clear" w:color="auto" w:fill="FFFFFF" w:themeFill="background1"/>
      </w:pPr>
    </w:p>
    <w:sectPr w:rsidR="00A420D4" w:rsidRPr="00A420D4" w:rsidSect="006F6D61">
      <w:headerReference w:type="even" r:id="rId9"/>
      <w:headerReference w:type="default" r:id="rId10"/>
      <w:footerReference w:type="even" r:id="rId11"/>
      <w:footerReference w:type="default" r:id="rId12"/>
      <w:footerReference w:type="first" r:id="rId1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D61" w:rsidRDefault="006F6D61">
      <w:r>
        <w:separator/>
      </w:r>
    </w:p>
  </w:endnote>
  <w:endnote w:type="continuationSeparator" w:id="0">
    <w:p w:rsidR="006F6D61" w:rsidRDefault="006F6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F6D61" w:rsidTr="006F6D61">
      <w:trPr>
        <w:trHeight w:hRule="exact" w:val="567"/>
      </w:trPr>
      <w:tc>
        <w:tcPr>
          <w:tcW w:w="510" w:type="dxa"/>
        </w:tcPr>
        <w:p w:rsidR="006F6D61" w:rsidRPr="00A24443" w:rsidRDefault="006F6D61" w:rsidP="006F6D61">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F703F">
            <w:rPr>
              <w:rStyle w:val="PageNumber"/>
              <w:caps w:val="0"/>
              <w:noProof/>
            </w:rPr>
            <w:t>18</w:t>
          </w:r>
          <w:r w:rsidRPr="00A24443">
            <w:rPr>
              <w:rStyle w:val="PageNumber"/>
              <w:caps w:val="0"/>
            </w:rPr>
            <w:fldChar w:fldCharType="end"/>
          </w:r>
        </w:p>
      </w:tc>
      <w:tc>
        <w:tcPr>
          <w:tcW w:w="7767" w:type="dxa"/>
        </w:tcPr>
        <w:p w:rsidR="006F6D61" w:rsidRPr="0013739A" w:rsidRDefault="006F6D61" w:rsidP="006F6D61">
          <w:pPr>
            <w:pStyle w:val="Footer"/>
            <w:rPr>
              <w:rFonts w:cs="Arial"/>
            </w:rPr>
          </w:pPr>
          <w:r w:rsidRPr="006F6D61">
            <w:rPr>
              <w:rFonts w:cs="Arial"/>
            </w:rPr>
            <w:t xml:space="preserve">REPORT ON GOVERNMENT SERVICES 2015 </w:t>
          </w:r>
          <w:r w:rsidRPr="00BA5B14">
            <w:rPr>
              <w:rFonts w:cs="Arial"/>
            </w:rPr>
            <w:fldChar w:fldCharType="begin"/>
          </w:r>
          <w:r w:rsidRPr="00BA5B14">
            <w:rPr>
              <w:rFonts w:cs="Arial"/>
            </w:rPr>
            <w:instrText xml:space="preserve"> SUBJECT  \* MERGEFORMAT </w:instrText>
          </w:r>
          <w:r w:rsidRPr="00BA5B14">
            <w:rPr>
              <w:rFonts w:cs="Arial"/>
            </w:rPr>
            <w:fldChar w:fldCharType="end"/>
          </w:r>
          <w:bookmarkStart w:id="27" w:name="DraftReportEven"/>
          <w:bookmarkEnd w:id="27"/>
        </w:p>
      </w:tc>
      <w:tc>
        <w:tcPr>
          <w:tcW w:w="510" w:type="dxa"/>
        </w:tcPr>
        <w:p w:rsidR="006F6D61" w:rsidRDefault="006F6D61" w:rsidP="006F6D61">
          <w:pPr>
            <w:pStyle w:val="Footer"/>
          </w:pPr>
        </w:p>
      </w:tc>
    </w:tr>
  </w:tbl>
  <w:p w:rsidR="006F6D61" w:rsidRDefault="006F6D61" w:rsidP="006F6D61">
    <w:pPr>
      <w:pStyle w:val="FooterEnd"/>
    </w:pPr>
  </w:p>
  <w:p w:rsidR="006F6D61" w:rsidRDefault="006F6D6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F6D61" w:rsidTr="006F6D61">
      <w:trPr>
        <w:trHeight w:hRule="exact" w:val="567"/>
      </w:trPr>
      <w:tc>
        <w:tcPr>
          <w:tcW w:w="510" w:type="dxa"/>
        </w:tcPr>
        <w:p w:rsidR="006F6D61" w:rsidRDefault="006F6D61">
          <w:pPr>
            <w:pStyle w:val="Footer"/>
            <w:ind w:right="360" w:firstLine="360"/>
          </w:pPr>
        </w:p>
      </w:tc>
      <w:tc>
        <w:tcPr>
          <w:tcW w:w="7767" w:type="dxa"/>
        </w:tcPr>
        <w:p w:rsidR="006F6D61" w:rsidRPr="00BA5B14" w:rsidRDefault="006F6D61" w:rsidP="005E5F9A">
          <w:pPr>
            <w:pStyle w:val="Footer"/>
            <w:jc w:val="right"/>
            <w:rPr>
              <w:rFonts w:cs="Arial"/>
            </w:rPr>
          </w:pPr>
          <w:r w:rsidRPr="00F844C0">
            <w:t xml:space="preserve">Community services </w:t>
          </w:r>
          <w:r>
            <w:t>DQI</w:t>
          </w:r>
        </w:p>
      </w:tc>
      <w:tc>
        <w:tcPr>
          <w:tcW w:w="510" w:type="dxa"/>
        </w:tcPr>
        <w:p w:rsidR="006F6D61" w:rsidRPr="00A24443" w:rsidRDefault="006F6D6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F703F">
            <w:rPr>
              <w:rStyle w:val="PageNumber"/>
              <w:caps w:val="0"/>
              <w:noProof/>
            </w:rPr>
            <w:t>1</w:t>
          </w:r>
          <w:r w:rsidRPr="00A24443">
            <w:rPr>
              <w:rStyle w:val="PageNumber"/>
              <w:caps w:val="0"/>
            </w:rPr>
            <w:fldChar w:fldCharType="end"/>
          </w:r>
        </w:p>
      </w:tc>
    </w:tr>
  </w:tbl>
  <w:p w:rsidR="006F6D61" w:rsidRDefault="006F6D61">
    <w:pPr>
      <w:pStyle w:val="FooterEnd"/>
    </w:pPr>
  </w:p>
  <w:p w:rsidR="006F6D61" w:rsidRDefault="006F6D6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F6D61" w:rsidTr="001E65B4">
      <w:trPr>
        <w:trHeight w:hRule="exact" w:val="740"/>
      </w:trPr>
      <w:tc>
        <w:tcPr>
          <w:tcW w:w="6634" w:type="dxa"/>
        </w:tcPr>
        <w:p w:rsidR="006F6D61" w:rsidRDefault="006F6D61" w:rsidP="001E65B4">
          <w:pPr>
            <w:pStyle w:val="Footer"/>
            <w:ind w:right="360" w:firstLine="360"/>
          </w:pPr>
        </w:p>
      </w:tc>
      <w:tc>
        <w:tcPr>
          <w:tcW w:w="1644" w:type="dxa"/>
          <w:tcBorders>
            <w:top w:val="single" w:sz="6" w:space="0" w:color="auto"/>
          </w:tcBorders>
        </w:tcPr>
        <w:p w:rsidR="006F6D61" w:rsidRPr="00874D04" w:rsidRDefault="006F6D61" w:rsidP="001E65B4">
          <w:pPr>
            <w:pStyle w:val="Footer"/>
          </w:pPr>
          <w:r>
            <w:t>pROTECTION AND SUPPORT SERVICES</w:t>
          </w:r>
          <w:r w:rsidRPr="00874D04">
            <w:t xml:space="preserve"> DQI</w:t>
          </w:r>
        </w:p>
      </w:tc>
      <w:tc>
        <w:tcPr>
          <w:tcW w:w="510" w:type="dxa"/>
          <w:tcBorders>
            <w:top w:val="single" w:sz="6" w:space="0" w:color="auto"/>
          </w:tcBorders>
        </w:tcPr>
        <w:p w:rsidR="006F6D61" w:rsidRDefault="006F6D61" w:rsidP="001E65B4">
          <w:pPr>
            <w:pStyle w:val="Footer"/>
            <w:jc w:val="right"/>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c>
    </w:tr>
  </w:tbl>
  <w:p w:rsidR="006F6D61" w:rsidRDefault="006F6D61" w:rsidP="00021FD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D61" w:rsidRDefault="006F6D61">
      <w:r>
        <w:separator/>
      </w:r>
    </w:p>
  </w:footnote>
  <w:footnote w:type="continuationSeparator" w:id="0">
    <w:p w:rsidR="006F6D61" w:rsidRDefault="006F6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F6D61">
      <w:tc>
        <w:tcPr>
          <w:tcW w:w="2155" w:type="dxa"/>
          <w:tcBorders>
            <w:top w:val="single" w:sz="24" w:space="0" w:color="auto"/>
          </w:tcBorders>
        </w:tcPr>
        <w:p w:rsidR="006F6D61" w:rsidRDefault="006F6D61">
          <w:pPr>
            <w:pStyle w:val="HeaderEven"/>
          </w:pPr>
        </w:p>
      </w:tc>
      <w:tc>
        <w:tcPr>
          <w:tcW w:w="6634" w:type="dxa"/>
          <w:tcBorders>
            <w:top w:val="single" w:sz="6" w:space="0" w:color="auto"/>
          </w:tcBorders>
        </w:tcPr>
        <w:p w:rsidR="006F6D61" w:rsidRDefault="006F6D61" w:rsidP="009A24A4">
          <w:pPr>
            <w:pStyle w:val="HeaderEven"/>
            <w:jc w:val="right"/>
          </w:pPr>
        </w:p>
      </w:tc>
    </w:tr>
  </w:tbl>
  <w:p w:rsidR="006F6D61" w:rsidRDefault="006F6D6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F6D61">
      <w:tc>
        <w:tcPr>
          <w:tcW w:w="6634" w:type="dxa"/>
          <w:tcBorders>
            <w:top w:val="single" w:sz="6" w:space="0" w:color="auto"/>
          </w:tcBorders>
        </w:tcPr>
        <w:p w:rsidR="006F6D61" w:rsidRDefault="006F6D61" w:rsidP="00021FD4">
          <w:pPr>
            <w:pStyle w:val="HeaderOdd"/>
          </w:pPr>
        </w:p>
      </w:tc>
      <w:tc>
        <w:tcPr>
          <w:tcW w:w="2155" w:type="dxa"/>
          <w:tcBorders>
            <w:top w:val="single" w:sz="24" w:space="0" w:color="auto"/>
          </w:tcBorders>
        </w:tcPr>
        <w:p w:rsidR="006F6D61" w:rsidRDefault="006F6D61" w:rsidP="00021FD4">
          <w:pPr>
            <w:pStyle w:val="HeaderOdd"/>
          </w:pPr>
        </w:p>
      </w:tc>
    </w:tr>
  </w:tbl>
  <w:p w:rsidR="006F6D61" w:rsidRDefault="006F6D61" w:rsidP="00021FD4">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D9C48AF"/>
    <w:multiLevelType w:val="multilevel"/>
    <w:tmpl w:val="37786F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59143F7"/>
    <w:multiLevelType w:val="multilevel"/>
    <w:tmpl w:val="1B0874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44AE15AE"/>
    <w:multiLevelType w:val="multilevel"/>
    <w:tmpl w:val="C1043D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7"/>
  </w:num>
  <w:num w:numId="2">
    <w:abstractNumId w:val="12"/>
  </w:num>
  <w:num w:numId="3">
    <w:abstractNumId w:val="4"/>
  </w:num>
  <w:num w:numId="4">
    <w:abstractNumId w:val="22"/>
  </w:num>
  <w:num w:numId="5">
    <w:abstractNumId w:val="2"/>
  </w:num>
  <w:num w:numId="6">
    <w:abstractNumId w:val="16"/>
  </w:num>
  <w:num w:numId="7">
    <w:abstractNumId w:val="3"/>
  </w:num>
  <w:num w:numId="8">
    <w:abstractNumId w:val="21"/>
  </w:num>
  <w:num w:numId="9">
    <w:abstractNumId w:val="18"/>
  </w:num>
  <w:num w:numId="10">
    <w:abstractNumId w:val="23"/>
  </w:num>
  <w:num w:numId="11">
    <w:abstractNumId w:val="10"/>
  </w:num>
  <w:num w:numId="12">
    <w:abstractNumId w:val="8"/>
  </w:num>
  <w:num w:numId="13">
    <w:abstractNumId w:val="7"/>
  </w:num>
  <w:num w:numId="14">
    <w:abstractNumId w:val="6"/>
  </w:num>
  <w:num w:numId="15">
    <w:abstractNumId w:val="11"/>
  </w:num>
  <w:num w:numId="16">
    <w:abstractNumId w:val="15"/>
  </w:num>
  <w:num w:numId="17">
    <w:abstractNumId w:val="19"/>
  </w:num>
  <w:num w:numId="18">
    <w:abstractNumId w:val="20"/>
  </w:num>
  <w:num w:numId="19">
    <w:abstractNumId w:val="9"/>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5"/>
  </w:num>
  <w:num w:numId="23">
    <w:abstractNumId w:val="13"/>
  </w:num>
  <w:num w:numId="24">
    <w:abstractNumId w:val="14"/>
  </w:num>
  <w:num w:numId="25">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6B9"/>
    <w:rsid w:val="0000425D"/>
    <w:rsid w:val="00021FD4"/>
    <w:rsid w:val="000441C0"/>
    <w:rsid w:val="00047C74"/>
    <w:rsid w:val="00077A44"/>
    <w:rsid w:val="00082179"/>
    <w:rsid w:val="00082923"/>
    <w:rsid w:val="00085C68"/>
    <w:rsid w:val="0009218D"/>
    <w:rsid w:val="0009312C"/>
    <w:rsid w:val="000956BB"/>
    <w:rsid w:val="000D59CA"/>
    <w:rsid w:val="000F317C"/>
    <w:rsid w:val="001017CC"/>
    <w:rsid w:val="00121824"/>
    <w:rsid w:val="0012671B"/>
    <w:rsid w:val="001454BC"/>
    <w:rsid w:val="00155536"/>
    <w:rsid w:val="00190FFF"/>
    <w:rsid w:val="001E1B6C"/>
    <w:rsid w:val="001E2CA4"/>
    <w:rsid w:val="001E65B4"/>
    <w:rsid w:val="002012BC"/>
    <w:rsid w:val="00203EB9"/>
    <w:rsid w:val="00211EDB"/>
    <w:rsid w:val="00214BB1"/>
    <w:rsid w:val="002345CE"/>
    <w:rsid w:val="00235B08"/>
    <w:rsid w:val="00245B42"/>
    <w:rsid w:val="0024678B"/>
    <w:rsid w:val="00254B95"/>
    <w:rsid w:val="00263A2D"/>
    <w:rsid w:val="00271893"/>
    <w:rsid w:val="00282657"/>
    <w:rsid w:val="00296886"/>
    <w:rsid w:val="00296B0D"/>
    <w:rsid w:val="002A0059"/>
    <w:rsid w:val="002A1BD8"/>
    <w:rsid w:val="002A2EE4"/>
    <w:rsid w:val="002E5F64"/>
    <w:rsid w:val="00304A3D"/>
    <w:rsid w:val="003076E3"/>
    <w:rsid w:val="00311E2D"/>
    <w:rsid w:val="00312E73"/>
    <w:rsid w:val="003248D9"/>
    <w:rsid w:val="00325284"/>
    <w:rsid w:val="00332987"/>
    <w:rsid w:val="00342EEF"/>
    <w:rsid w:val="003448B3"/>
    <w:rsid w:val="00345AC0"/>
    <w:rsid w:val="00367ABB"/>
    <w:rsid w:val="00370A5F"/>
    <w:rsid w:val="00392A65"/>
    <w:rsid w:val="00396691"/>
    <w:rsid w:val="00397982"/>
    <w:rsid w:val="003A3DF7"/>
    <w:rsid w:val="003B7AD8"/>
    <w:rsid w:val="003F703F"/>
    <w:rsid w:val="00410E3D"/>
    <w:rsid w:val="00415720"/>
    <w:rsid w:val="00416BA2"/>
    <w:rsid w:val="00423E1E"/>
    <w:rsid w:val="004363AE"/>
    <w:rsid w:val="00484C87"/>
    <w:rsid w:val="00491D18"/>
    <w:rsid w:val="004D6057"/>
    <w:rsid w:val="004F6B39"/>
    <w:rsid w:val="00500740"/>
    <w:rsid w:val="005051BD"/>
    <w:rsid w:val="00533578"/>
    <w:rsid w:val="00561661"/>
    <w:rsid w:val="00575BC0"/>
    <w:rsid w:val="005851CF"/>
    <w:rsid w:val="005A1FA8"/>
    <w:rsid w:val="005B280C"/>
    <w:rsid w:val="005E1657"/>
    <w:rsid w:val="005E4594"/>
    <w:rsid w:val="005E5F9A"/>
    <w:rsid w:val="005F64C4"/>
    <w:rsid w:val="006063DF"/>
    <w:rsid w:val="00617D91"/>
    <w:rsid w:val="00620617"/>
    <w:rsid w:val="00670E08"/>
    <w:rsid w:val="00672EE6"/>
    <w:rsid w:val="00685EB7"/>
    <w:rsid w:val="006963B3"/>
    <w:rsid w:val="006C19B2"/>
    <w:rsid w:val="006C2A14"/>
    <w:rsid w:val="006D1B6A"/>
    <w:rsid w:val="006E1337"/>
    <w:rsid w:val="006F6D61"/>
    <w:rsid w:val="006F79C9"/>
    <w:rsid w:val="00702044"/>
    <w:rsid w:val="007126A1"/>
    <w:rsid w:val="0074119D"/>
    <w:rsid w:val="00744EBA"/>
    <w:rsid w:val="0076572A"/>
    <w:rsid w:val="007658CA"/>
    <w:rsid w:val="007846A9"/>
    <w:rsid w:val="007905C5"/>
    <w:rsid w:val="007E0F74"/>
    <w:rsid w:val="007E7F3B"/>
    <w:rsid w:val="007F635E"/>
    <w:rsid w:val="00801E14"/>
    <w:rsid w:val="00814A8F"/>
    <w:rsid w:val="00840ECC"/>
    <w:rsid w:val="00884236"/>
    <w:rsid w:val="00885C7C"/>
    <w:rsid w:val="00890042"/>
    <w:rsid w:val="00893462"/>
    <w:rsid w:val="008956E8"/>
    <w:rsid w:val="008A0DAC"/>
    <w:rsid w:val="008A24AB"/>
    <w:rsid w:val="008A2CB3"/>
    <w:rsid w:val="008A5EFE"/>
    <w:rsid w:val="008B0DF2"/>
    <w:rsid w:val="008B4FA4"/>
    <w:rsid w:val="008B6FB6"/>
    <w:rsid w:val="008C6A0A"/>
    <w:rsid w:val="008C7477"/>
    <w:rsid w:val="008D3C2A"/>
    <w:rsid w:val="008F4461"/>
    <w:rsid w:val="008F4530"/>
    <w:rsid w:val="00932ECA"/>
    <w:rsid w:val="00963EA9"/>
    <w:rsid w:val="00980D5B"/>
    <w:rsid w:val="009A24A4"/>
    <w:rsid w:val="009A4597"/>
    <w:rsid w:val="009B45AF"/>
    <w:rsid w:val="009B6E31"/>
    <w:rsid w:val="009C3A3E"/>
    <w:rsid w:val="009E2DA4"/>
    <w:rsid w:val="009F2946"/>
    <w:rsid w:val="00A02533"/>
    <w:rsid w:val="00A04DA1"/>
    <w:rsid w:val="00A11B27"/>
    <w:rsid w:val="00A26FFB"/>
    <w:rsid w:val="00A34A7B"/>
    <w:rsid w:val="00A420D4"/>
    <w:rsid w:val="00A5381E"/>
    <w:rsid w:val="00A5415F"/>
    <w:rsid w:val="00A711BE"/>
    <w:rsid w:val="00A713CD"/>
    <w:rsid w:val="00A8650C"/>
    <w:rsid w:val="00A91308"/>
    <w:rsid w:val="00AE2CBB"/>
    <w:rsid w:val="00AE305B"/>
    <w:rsid w:val="00AF2103"/>
    <w:rsid w:val="00AF275D"/>
    <w:rsid w:val="00B00C79"/>
    <w:rsid w:val="00B015EE"/>
    <w:rsid w:val="00B12091"/>
    <w:rsid w:val="00B22777"/>
    <w:rsid w:val="00B22A0A"/>
    <w:rsid w:val="00B23A8F"/>
    <w:rsid w:val="00B309F1"/>
    <w:rsid w:val="00B625B3"/>
    <w:rsid w:val="00B63035"/>
    <w:rsid w:val="00BA228C"/>
    <w:rsid w:val="00BA25D5"/>
    <w:rsid w:val="00BA399E"/>
    <w:rsid w:val="00BA41CB"/>
    <w:rsid w:val="00BB49E8"/>
    <w:rsid w:val="00BD3CA5"/>
    <w:rsid w:val="00BD4765"/>
    <w:rsid w:val="00BD54FE"/>
    <w:rsid w:val="00BF1698"/>
    <w:rsid w:val="00BF455F"/>
    <w:rsid w:val="00C12E81"/>
    <w:rsid w:val="00C20EBE"/>
    <w:rsid w:val="00C26C67"/>
    <w:rsid w:val="00C60D89"/>
    <w:rsid w:val="00C67F36"/>
    <w:rsid w:val="00C70C96"/>
    <w:rsid w:val="00C932C4"/>
    <w:rsid w:val="00CA141C"/>
    <w:rsid w:val="00CA3712"/>
    <w:rsid w:val="00CA444C"/>
    <w:rsid w:val="00CA5932"/>
    <w:rsid w:val="00CA737C"/>
    <w:rsid w:val="00CB6E14"/>
    <w:rsid w:val="00CF48CA"/>
    <w:rsid w:val="00CF67DD"/>
    <w:rsid w:val="00D2438D"/>
    <w:rsid w:val="00D447E1"/>
    <w:rsid w:val="00D84069"/>
    <w:rsid w:val="00D91F39"/>
    <w:rsid w:val="00DA3033"/>
    <w:rsid w:val="00DB3DC4"/>
    <w:rsid w:val="00DD62D7"/>
    <w:rsid w:val="00DE7B36"/>
    <w:rsid w:val="00DF0DC8"/>
    <w:rsid w:val="00E01E15"/>
    <w:rsid w:val="00E053AB"/>
    <w:rsid w:val="00E10DBE"/>
    <w:rsid w:val="00E2548C"/>
    <w:rsid w:val="00E261D6"/>
    <w:rsid w:val="00E26B25"/>
    <w:rsid w:val="00E45F18"/>
    <w:rsid w:val="00E53B32"/>
    <w:rsid w:val="00E5449F"/>
    <w:rsid w:val="00E544AA"/>
    <w:rsid w:val="00E738AA"/>
    <w:rsid w:val="00E778E6"/>
    <w:rsid w:val="00E84956"/>
    <w:rsid w:val="00E8758D"/>
    <w:rsid w:val="00E96E1A"/>
    <w:rsid w:val="00EA1BC3"/>
    <w:rsid w:val="00EA25CD"/>
    <w:rsid w:val="00EB562D"/>
    <w:rsid w:val="00EB7666"/>
    <w:rsid w:val="00ED76CD"/>
    <w:rsid w:val="00ED7836"/>
    <w:rsid w:val="00EE12CE"/>
    <w:rsid w:val="00F33F3E"/>
    <w:rsid w:val="00F35F07"/>
    <w:rsid w:val="00F634DE"/>
    <w:rsid w:val="00F827A3"/>
    <w:rsid w:val="00F82B41"/>
    <w:rsid w:val="00F844C0"/>
    <w:rsid w:val="00F90A35"/>
    <w:rsid w:val="00F918DC"/>
    <w:rsid w:val="00FC3876"/>
    <w:rsid w:val="00FC39E0"/>
    <w:rsid w:val="00FE26B9"/>
    <w:rsid w:val="00FE77C0"/>
    <w:rsid w:val="00FF20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F317C"/>
    <w:rPr>
      <w:sz w:val="24"/>
      <w:szCs w:val="24"/>
    </w:rPr>
  </w:style>
  <w:style w:type="paragraph" w:styleId="Heading1">
    <w:name w:val="heading 1"/>
    <w:basedOn w:val="BodyText"/>
    <w:next w:val="BodyText"/>
    <w:link w:val="Heading1Char"/>
    <w:rsid w:val="000F317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F317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F317C"/>
    <w:pPr>
      <w:spacing w:before="560" w:line="320" w:lineRule="exact"/>
      <w:ind w:left="0" w:firstLine="0"/>
      <w:outlineLvl w:val="2"/>
    </w:pPr>
    <w:rPr>
      <w:sz w:val="26"/>
    </w:rPr>
  </w:style>
  <w:style w:type="paragraph" w:styleId="Heading4">
    <w:name w:val="heading 4"/>
    <w:basedOn w:val="Heading3"/>
    <w:next w:val="BodyText"/>
    <w:link w:val="Heading4Char"/>
    <w:qFormat/>
    <w:rsid w:val="000F317C"/>
    <w:pPr>
      <w:spacing w:before="480"/>
      <w:outlineLvl w:val="3"/>
    </w:pPr>
    <w:rPr>
      <w:b w:val="0"/>
      <w:sz w:val="24"/>
    </w:rPr>
  </w:style>
  <w:style w:type="paragraph" w:styleId="Heading5">
    <w:name w:val="heading 5"/>
    <w:basedOn w:val="Heading4"/>
    <w:next w:val="BodyText"/>
    <w:link w:val="Heading5Char"/>
    <w:qFormat/>
    <w:rsid w:val="000F317C"/>
    <w:pPr>
      <w:outlineLvl w:val="4"/>
    </w:pPr>
    <w:rPr>
      <w:i/>
      <w:sz w:val="22"/>
    </w:rPr>
  </w:style>
  <w:style w:type="paragraph" w:styleId="Heading6">
    <w:name w:val="heading 6"/>
    <w:basedOn w:val="BodyText"/>
    <w:next w:val="BodyText"/>
    <w:link w:val="Heading6Char"/>
    <w:rsid w:val="000F317C"/>
    <w:pPr>
      <w:spacing w:after="60"/>
      <w:jc w:val="left"/>
      <w:outlineLvl w:val="5"/>
    </w:pPr>
    <w:rPr>
      <w:i/>
      <w:sz w:val="22"/>
    </w:rPr>
  </w:style>
  <w:style w:type="paragraph" w:styleId="Heading7">
    <w:name w:val="heading 7"/>
    <w:basedOn w:val="BodyText"/>
    <w:next w:val="BodyText"/>
    <w:link w:val="Heading7Char"/>
    <w:rsid w:val="000F317C"/>
    <w:pPr>
      <w:spacing w:after="60" w:line="240" w:lineRule="auto"/>
      <w:jc w:val="left"/>
      <w:outlineLvl w:val="6"/>
    </w:pPr>
    <w:rPr>
      <w:rFonts w:ascii="Arial" w:hAnsi="Arial"/>
      <w:sz w:val="20"/>
    </w:rPr>
  </w:style>
  <w:style w:type="paragraph" w:styleId="Heading8">
    <w:name w:val="heading 8"/>
    <w:basedOn w:val="BodyText"/>
    <w:next w:val="BodyText"/>
    <w:link w:val="Heading8Char"/>
    <w:rsid w:val="000F317C"/>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F317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0F317C"/>
    <w:pPr>
      <w:spacing w:before="240" w:line="300" w:lineRule="atLeast"/>
      <w:jc w:val="both"/>
    </w:pPr>
    <w:rPr>
      <w:sz w:val="24"/>
    </w:rPr>
  </w:style>
  <w:style w:type="paragraph" w:customStyle="1" w:styleId="Box">
    <w:name w:val="Box"/>
    <w:basedOn w:val="BodyText"/>
    <w:link w:val="BoxChar"/>
    <w:qFormat/>
    <w:rsid w:val="000F317C"/>
    <w:pPr>
      <w:keepNext/>
      <w:spacing w:before="120" w:line="260" w:lineRule="atLeast"/>
    </w:pPr>
    <w:rPr>
      <w:rFonts w:ascii="Arial" w:hAnsi="Arial"/>
      <w:sz w:val="20"/>
    </w:rPr>
  </w:style>
  <w:style w:type="paragraph" w:customStyle="1" w:styleId="BoxSpace">
    <w:name w:val="Box Space"/>
    <w:basedOn w:val="BodyText"/>
    <w:rsid w:val="00BF455F"/>
    <w:pPr>
      <w:keepNext/>
      <w:spacing w:before="360" w:line="80" w:lineRule="exact"/>
      <w:jc w:val="left"/>
    </w:pPr>
  </w:style>
  <w:style w:type="paragraph" w:customStyle="1" w:styleId="BoxTitle">
    <w:name w:val="Box Title"/>
    <w:basedOn w:val="Caption"/>
    <w:next w:val="BoxSubtitle"/>
    <w:rsid w:val="000F317C"/>
    <w:pPr>
      <w:spacing w:before="120" w:after="0"/>
    </w:pPr>
  </w:style>
  <w:style w:type="paragraph" w:styleId="Footer">
    <w:name w:val="footer"/>
    <w:basedOn w:val="BodyText"/>
    <w:link w:val="FooterChar"/>
    <w:rsid w:val="000F317C"/>
    <w:pPr>
      <w:spacing w:before="80" w:line="200" w:lineRule="exact"/>
      <w:ind w:right="6"/>
      <w:jc w:val="left"/>
    </w:pPr>
    <w:rPr>
      <w:rFonts w:ascii="Arial" w:hAnsi="Arial"/>
      <w:caps/>
      <w:spacing w:val="-4"/>
      <w:sz w:val="16"/>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0F317C"/>
    <w:rPr>
      <w:sz w:val="24"/>
    </w:rPr>
  </w:style>
  <w:style w:type="paragraph" w:customStyle="1" w:styleId="FooterEnd">
    <w:name w:val="Footer End"/>
    <w:basedOn w:val="Footer"/>
    <w:rsid w:val="000F317C"/>
    <w:pPr>
      <w:spacing w:before="0" w:line="20" w:lineRule="exact"/>
    </w:pPr>
  </w:style>
  <w:style w:type="paragraph" w:styleId="Header">
    <w:name w:val="header"/>
    <w:basedOn w:val="BodyText"/>
    <w:rsid w:val="000F317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F317C"/>
    <w:pPr>
      <w:spacing w:line="20" w:lineRule="exact"/>
    </w:pPr>
    <w:rPr>
      <w:sz w:val="16"/>
    </w:rPr>
  </w:style>
  <w:style w:type="paragraph" w:customStyle="1" w:styleId="HeaderEven">
    <w:name w:val="Header Even"/>
    <w:basedOn w:val="Header"/>
    <w:semiHidden/>
    <w:rsid w:val="000F317C"/>
  </w:style>
  <w:style w:type="paragraph" w:customStyle="1" w:styleId="HeaderOdd">
    <w:name w:val="Header Odd"/>
    <w:basedOn w:val="Header"/>
    <w:semiHidden/>
    <w:rsid w:val="000F317C"/>
  </w:style>
  <w:style w:type="paragraph" w:customStyle="1" w:styleId="Note">
    <w:name w:val="Note"/>
    <w:basedOn w:val="BodyText"/>
    <w:next w:val="BodyText"/>
    <w:link w:val="NoteChar"/>
    <w:rsid w:val="000F317C"/>
    <w:pPr>
      <w:keepLines/>
      <w:spacing w:before="80" w:line="220" w:lineRule="exact"/>
    </w:pPr>
    <w:rPr>
      <w:rFonts w:ascii="Arial" w:hAnsi="Arial"/>
      <w:sz w:val="18"/>
    </w:rPr>
  </w:style>
  <w:style w:type="character" w:styleId="PageNumber">
    <w:name w:val="page number"/>
    <w:basedOn w:val="DefaultParagraphFont"/>
    <w:rsid w:val="000F317C"/>
    <w:rPr>
      <w:rFonts w:ascii="Arial" w:hAnsi="Arial"/>
      <w:b/>
      <w:sz w:val="16"/>
    </w:rPr>
  </w:style>
  <w:style w:type="paragraph" w:customStyle="1" w:styleId="TableBodyText">
    <w:name w:val="Table Body Text"/>
    <w:basedOn w:val="BodyText"/>
    <w:link w:val="TableBodyTextChar"/>
    <w:rsid w:val="000F317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0F317C"/>
    <w:pPr>
      <w:numPr>
        <w:numId w:val="1"/>
      </w:numPr>
      <w:jc w:val="left"/>
    </w:pPr>
  </w:style>
  <w:style w:type="paragraph" w:styleId="TOC3">
    <w:name w:val="toc 3"/>
    <w:basedOn w:val="TOC2"/>
    <w:rsid w:val="000F317C"/>
    <w:pPr>
      <w:spacing w:before="60"/>
      <w:ind w:left="1190" w:hanging="680"/>
    </w:pPr>
  </w:style>
  <w:style w:type="paragraph" w:styleId="TOC2">
    <w:name w:val="toc 2"/>
    <w:basedOn w:val="TOC1"/>
    <w:rsid w:val="000F317C"/>
    <w:pPr>
      <w:ind w:left="1134" w:hanging="624"/>
    </w:pPr>
    <w:rPr>
      <w:b w:val="0"/>
    </w:rPr>
  </w:style>
  <w:style w:type="character" w:customStyle="1" w:styleId="NoteChar">
    <w:name w:val="Note Char"/>
    <w:link w:val="Note"/>
    <w:rsid w:val="00FE26B9"/>
    <w:rPr>
      <w:rFonts w:ascii="Arial" w:hAnsi="Arial"/>
      <w:sz w:val="18"/>
    </w:rPr>
  </w:style>
  <w:style w:type="character" w:customStyle="1" w:styleId="Heading3Char">
    <w:name w:val="Heading 3 Char"/>
    <w:link w:val="Heading3"/>
    <w:rsid w:val="00FE26B9"/>
    <w:rPr>
      <w:rFonts w:ascii="Arial" w:hAnsi="Arial"/>
      <w:b/>
      <w:sz w:val="26"/>
    </w:rPr>
  </w:style>
  <w:style w:type="character" w:styleId="Hyperlink">
    <w:name w:val="Hyperlink"/>
    <w:uiPriority w:val="99"/>
    <w:rsid w:val="00FE26B9"/>
    <w:rPr>
      <w:color w:val="0000FF"/>
      <w:u w:val="single"/>
    </w:rPr>
  </w:style>
  <w:style w:type="character" w:customStyle="1" w:styleId="TableBodyTextChar">
    <w:name w:val="Table Body Text Char"/>
    <w:link w:val="TableBodyText"/>
    <w:rsid w:val="00FE26B9"/>
    <w:rPr>
      <w:rFonts w:ascii="Arial" w:hAnsi="Arial"/>
      <w:sz w:val="18"/>
    </w:rPr>
  </w:style>
  <w:style w:type="character" w:customStyle="1" w:styleId="TableBulletChar">
    <w:name w:val="Table Bullet Char"/>
    <w:link w:val="TableBullet"/>
    <w:rsid w:val="00FE26B9"/>
    <w:rPr>
      <w:rFonts w:ascii="Arial" w:hAnsi="Arial"/>
      <w:sz w:val="18"/>
    </w:rPr>
  </w:style>
  <w:style w:type="character" w:customStyle="1" w:styleId="BoxChar">
    <w:name w:val="Box Char"/>
    <w:link w:val="Box"/>
    <w:rsid w:val="00FE26B9"/>
    <w:rPr>
      <w:rFonts w:ascii="Arial" w:hAnsi="Arial"/>
    </w:rPr>
  </w:style>
  <w:style w:type="paragraph" w:styleId="Caption">
    <w:name w:val="caption"/>
    <w:basedOn w:val="Normal"/>
    <w:next w:val="BodyText"/>
    <w:rsid w:val="000F317C"/>
    <w:pPr>
      <w:keepNext/>
      <w:keepLines/>
      <w:spacing w:before="360" w:after="80" w:line="280" w:lineRule="exact"/>
      <w:ind w:left="1474" w:hanging="1474"/>
    </w:pPr>
    <w:rPr>
      <w:rFonts w:ascii="Arial" w:hAnsi="Arial"/>
      <w:b/>
    </w:rPr>
  </w:style>
  <w:style w:type="paragraph" w:customStyle="1" w:styleId="Draftingnote">
    <w:name w:val="Drafting note"/>
    <w:basedOn w:val="TableBodyText"/>
    <w:link w:val="DraftingnoteChar"/>
    <w:rsid w:val="0076572A"/>
    <w:pPr>
      <w:keepNext w:val="0"/>
      <w:keepLines w:val="0"/>
      <w:widowControl w:val="0"/>
      <w:spacing w:before="120" w:after="0"/>
      <w:jc w:val="both"/>
    </w:pPr>
    <w:rPr>
      <w:rFonts w:cs="Arial"/>
    </w:rPr>
  </w:style>
  <w:style w:type="character" w:customStyle="1" w:styleId="DraftingnoteChar">
    <w:name w:val="Drafting note Char"/>
    <w:link w:val="Draftingnote"/>
    <w:rsid w:val="0076572A"/>
    <w:rPr>
      <w:rFonts w:ascii="Arial" w:hAnsi="Arial" w:cs="Arial"/>
      <w:lang w:val="en-AU" w:eastAsia="en-AU" w:bidi="ar-SA"/>
    </w:rPr>
  </w:style>
  <w:style w:type="character" w:customStyle="1" w:styleId="Heading1Char">
    <w:name w:val="Heading 1 Char"/>
    <w:basedOn w:val="DefaultParagraphFont"/>
    <w:link w:val="Heading1"/>
    <w:rsid w:val="00BF455F"/>
    <w:rPr>
      <w:sz w:val="52"/>
    </w:rPr>
  </w:style>
  <w:style w:type="character" w:customStyle="1" w:styleId="Heading4Char">
    <w:name w:val="Heading 4 Char"/>
    <w:basedOn w:val="DefaultParagraphFont"/>
    <w:link w:val="Heading4"/>
    <w:rsid w:val="00BF455F"/>
    <w:rPr>
      <w:rFonts w:ascii="Arial" w:hAnsi="Arial"/>
      <w:sz w:val="24"/>
    </w:rPr>
  </w:style>
  <w:style w:type="character" w:customStyle="1" w:styleId="Heading5Char">
    <w:name w:val="Heading 5 Char"/>
    <w:basedOn w:val="DefaultParagraphFont"/>
    <w:link w:val="Heading5"/>
    <w:rsid w:val="000F317C"/>
    <w:rPr>
      <w:rFonts w:ascii="Arial" w:hAnsi="Arial"/>
      <w:i/>
      <w:sz w:val="22"/>
    </w:rPr>
  </w:style>
  <w:style w:type="character" w:customStyle="1" w:styleId="Heading6Char">
    <w:name w:val="Heading 6 Char"/>
    <w:basedOn w:val="DefaultParagraphFont"/>
    <w:link w:val="Heading6"/>
    <w:rsid w:val="00BF455F"/>
    <w:rPr>
      <w:i/>
      <w:sz w:val="22"/>
    </w:rPr>
  </w:style>
  <w:style w:type="character" w:customStyle="1" w:styleId="Heading7Char">
    <w:name w:val="Heading 7 Char"/>
    <w:basedOn w:val="DefaultParagraphFont"/>
    <w:link w:val="Heading7"/>
    <w:rsid w:val="00BF455F"/>
    <w:rPr>
      <w:rFonts w:ascii="Arial" w:hAnsi="Arial"/>
    </w:rPr>
  </w:style>
  <w:style w:type="character" w:customStyle="1" w:styleId="Heading8Char">
    <w:name w:val="Heading 8 Char"/>
    <w:basedOn w:val="DefaultParagraphFont"/>
    <w:link w:val="Heading8"/>
    <w:rsid w:val="00BF455F"/>
    <w:rPr>
      <w:rFonts w:ascii="Arial" w:hAnsi="Arial"/>
      <w:i/>
    </w:rPr>
  </w:style>
  <w:style w:type="character" w:customStyle="1" w:styleId="Heading9Char">
    <w:name w:val="Heading 9 Char"/>
    <w:basedOn w:val="DefaultParagraphFont"/>
    <w:link w:val="Heading9"/>
    <w:rsid w:val="00BF455F"/>
    <w:rPr>
      <w:rFonts w:ascii="Arial" w:hAnsi="Arial"/>
      <w:b/>
      <w:i/>
      <w:sz w:val="18"/>
    </w:rPr>
  </w:style>
  <w:style w:type="paragraph" w:customStyle="1" w:styleId="Abbreviation">
    <w:name w:val="Abbreviation"/>
    <w:basedOn w:val="BodyText"/>
    <w:rsid w:val="000F317C"/>
    <w:pPr>
      <w:spacing w:before="120"/>
      <w:ind w:left="2381" w:hanging="2381"/>
      <w:jc w:val="left"/>
    </w:pPr>
  </w:style>
  <w:style w:type="paragraph" w:customStyle="1" w:styleId="BoxContinued">
    <w:name w:val="Box Continued"/>
    <w:basedOn w:val="BodyText"/>
    <w:next w:val="BodyText"/>
    <w:semiHidden/>
    <w:rsid w:val="000F317C"/>
    <w:pPr>
      <w:spacing w:before="180" w:line="220" w:lineRule="exact"/>
      <w:jc w:val="right"/>
    </w:pPr>
    <w:rPr>
      <w:rFonts w:ascii="Arial" w:hAnsi="Arial"/>
      <w:sz w:val="18"/>
    </w:rPr>
  </w:style>
  <w:style w:type="paragraph" w:customStyle="1" w:styleId="BoxHeading1">
    <w:name w:val="Box Heading 1"/>
    <w:basedOn w:val="BodyText"/>
    <w:next w:val="Box"/>
    <w:rsid w:val="000F317C"/>
    <w:pPr>
      <w:keepNext/>
      <w:spacing w:before="200" w:line="280" w:lineRule="atLeast"/>
    </w:pPr>
    <w:rPr>
      <w:rFonts w:ascii="Arial" w:hAnsi="Arial"/>
      <w:b/>
      <w:sz w:val="22"/>
    </w:rPr>
  </w:style>
  <w:style w:type="paragraph" w:customStyle="1" w:styleId="BoxHeading2">
    <w:name w:val="Box Heading 2"/>
    <w:basedOn w:val="BoxHeading1"/>
    <w:next w:val="Normal"/>
    <w:rsid w:val="000F317C"/>
    <w:rPr>
      <w:b w:val="0"/>
      <w:i/>
    </w:rPr>
  </w:style>
  <w:style w:type="paragraph" w:customStyle="1" w:styleId="BoxListBullet">
    <w:name w:val="Box List Bullet"/>
    <w:basedOn w:val="BodyText"/>
    <w:link w:val="BoxListBulletChar"/>
    <w:rsid w:val="000F317C"/>
    <w:pPr>
      <w:keepNext/>
      <w:numPr>
        <w:numId w:val="2"/>
      </w:numPr>
      <w:spacing w:before="100" w:line="260" w:lineRule="atLeast"/>
    </w:pPr>
    <w:rPr>
      <w:rFonts w:ascii="Arial" w:hAnsi="Arial"/>
      <w:sz w:val="20"/>
    </w:rPr>
  </w:style>
  <w:style w:type="paragraph" w:customStyle="1" w:styleId="BoxListBullet2">
    <w:name w:val="Box List Bullet 2"/>
    <w:basedOn w:val="BoxListBullet"/>
    <w:rsid w:val="000F317C"/>
    <w:pPr>
      <w:numPr>
        <w:numId w:val="3"/>
      </w:numPr>
      <w:ind w:left="568" w:hanging="284"/>
    </w:pPr>
  </w:style>
  <w:style w:type="paragraph" w:customStyle="1" w:styleId="BoxListNumber">
    <w:name w:val="Box List Number"/>
    <w:basedOn w:val="BodyText"/>
    <w:rsid w:val="000F317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F317C"/>
    <w:pPr>
      <w:numPr>
        <w:ilvl w:val="1"/>
      </w:numPr>
      <w:ind w:left="681" w:hanging="397"/>
    </w:pPr>
  </w:style>
  <w:style w:type="paragraph" w:customStyle="1" w:styleId="BoxQuote">
    <w:name w:val="Box Quote"/>
    <w:basedOn w:val="BodyText"/>
    <w:next w:val="Box"/>
    <w:qFormat/>
    <w:rsid w:val="000F317C"/>
    <w:pPr>
      <w:keepNext/>
      <w:spacing w:before="60" w:line="240" w:lineRule="exact"/>
      <w:ind w:left="284"/>
    </w:pPr>
    <w:rPr>
      <w:rFonts w:ascii="Arial" w:hAnsi="Arial"/>
      <w:sz w:val="18"/>
    </w:rPr>
  </w:style>
  <w:style w:type="paragraph" w:customStyle="1" w:styleId="Source">
    <w:name w:val="Source"/>
    <w:basedOn w:val="Normal"/>
    <w:next w:val="BodyText"/>
    <w:rsid w:val="000F317C"/>
    <w:pPr>
      <w:keepLines/>
      <w:spacing w:before="80" w:line="220" w:lineRule="exact"/>
      <w:jc w:val="both"/>
    </w:pPr>
    <w:rPr>
      <w:rFonts w:ascii="Arial" w:hAnsi="Arial"/>
      <w:sz w:val="18"/>
      <w:szCs w:val="20"/>
    </w:rPr>
  </w:style>
  <w:style w:type="paragraph" w:customStyle="1" w:styleId="BoxSource">
    <w:name w:val="Box Source"/>
    <w:basedOn w:val="Source"/>
    <w:next w:val="BodyText"/>
    <w:rsid w:val="000F317C"/>
    <w:pPr>
      <w:spacing w:before="120"/>
    </w:pPr>
  </w:style>
  <w:style w:type="paragraph" w:customStyle="1" w:styleId="BoxSubtitle">
    <w:name w:val="Box Subtitle"/>
    <w:basedOn w:val="BoxTitle"/>
    <w:next w:val="Normal"/>
    <w:rsid w:val="000F317C"/>
    <w:pPr>
      <w:spacing w:after="80" w:line="200" w:lineRule="exact"/>
      <w:ind w:firstLine="0"/>
    </w:pPr>
    <w:rPr>
      <w:b w:val="0"/>
      <w:sz w:val="20"/>
    </w:rPr>
  </w:style>
  <w:style w:type="paragraph" w:customStyle="1" w:styleId="Chapter">
    <w:name w:val="Chapter"/>
    <w:basedOn w:val="Heading1"/>
    <w:next w:val="BodyText"/>
    <w:semiHidden/>
    <w:rsid w:val="000F317C"/>
    <w:pPr>
      <w:ind w:left="0" w:firstLine="0"/>
      <w:outlineLvl w:val="9"/>
    </w:pPr>
  </w:style>
  <w:style w:type="paragraph" w:customStyle="1" w:styleId="ChapterSummary">
    <w:name w:val="Chapter Summary"/>
    <w:basedOn w:val="BodyText"/>
    <w:rsid w:val="000F317C"/>
    <w:pPr>
      <w:spacing w:line="280" w:lineRule="atLeast"/>
      <w:ind w:left="907"/>
    </w:pPr>
    <w:rPr>
      <w:rFonts w:ascii="Arial" w:hAnsi="Arial"/>
      <w:b/>
      <w:sz w:val="20"/>
    </w:rPr>
  </w:style>
  <w:style w:type="character" w:styleId="CommentReference">
    <w:name w:val="annotation reference"/>
    <w:basedOn w:val="DefaultParagraphFont"/>
    <w:rsid w:val="000F317C"/>
    <w:rPr>
      <w:b/>
      <w:vanish/>
      <w:color w:val="FF00FF"/>
      <w:sz w:val="20"/>
    </w:rPr>
  </w:style>
  <w:style w:type="paragraph" w:styleId="CommentText">
    <w:name w:val="annotation text"/>
    <w:basedOn w:val="Normal"/>
    <w:link w:val="CommentTextChar"/>
    <w:rsid w:val="000F317C"/>
    <w:pPr>
      <w:spacing w:before="120" w:line="240" w:lineRule="atLeast"/>
      <w:ind w:left="567" w:hanging="567"/>
    </w:pPr>
    <w:rPr>
      <w:sz w:val="20"/>
    </w:rPr>
  </w:style>
  <w:style w:type="character" w:customStyle="1" w:styleId="CommentTextChar">
    <w:name w:val="Comment Text Char"/>
    <w:basedOn w:val="DefaultParagraphFont"/>
    <w:link w:val="CommentText"/>
    <w:rsid w:val="00BF455F"/>
    <w:rPr>
      <w:szCs w:val="24"/>
    </w:rPr>
  </w:style>
  <w:style w:type="paragraph" w:customStyle="1" w:styleId="Continued">
    <w:name w:val="Continued"/>
    <w:basedOn w:val="BoxContinued"/>
    <w:next w:val="BodyText"/>
    <w:rsid w:val="000F317C"/>
  </w:style>
  <w:style w:type="character" w:customStyle="1" w:styleId="DocumentInfo">
    <w:name w:val="Document Info"/>
    <w:basedOn w:val="DefaultParagraphFont"/>
    <w:semiHidden/>
    <w:rsid w:val="000F317C"/>
    <w:rPr>
      <w:rFonts w:ascii="Arial" w:hAnsi="Arial"/>
      <w:sz w:val="14"/>
    </w:rPr>
  </w:style>
  <w:style w:type="character" w:customStyle="1" w:styleId="DraftingNote0">
    <w:name w:val="Drafting Note"/>
    <w:basedOn w:val="DefaultParagraphFont"/>
    <w:rsid w:val="000F317C"/>
    <w:rPr>
      <w:b/>
      <w:color w:val="FF0000"/>
      <w:sz w:val="24"/>
      <w:u w:val="dotted"/>
    </w:rPr>
  </w:style>
  <w:style w:type="paragraph" w:customStyle="1" w:styleId="Figure">
    <w:name w:val="Figure"/>
    <w:basedOn w:val="BodyText"/>
    <w:rsid w:val="000F317C"/>
    <w:pPr>
      <w:keepNext/>
      <w:spacing w:before="120" w:after="120" w:line="240" w:lineRule="atLeast"/>
      <w:jc w:val="center"/>
    </w:pPr>
  </w:style>
  <w:style w:type="paragraph" w:customStyle="1" w:styleId="FigureTitle">
    <w:name w:val="Figure Title"/>
    <w:basedOn w:val="Caption"/>
    <w:next w:val="Subtitle"/>
    <w:rsid w:val="000F317C"/>
    <w:pPr>
      <w:spacing w:before="120"/>
    </w:pPr>
  </w:style>
  <w:style w:type="paragraph" w:styleId="Subtitle">
    <w:name w:val="Subtitle"/>
    <w:basedOn w:val="Caption"/>
    <w:link w:val="SubtitleChar"/>
    <w:qFormat/>
    <w:rsid w:val="000F317C"/>
    <w:pPr>
      <w:spacing w:before="0" w:line="200" w:lineRule="exact"/>
      <w:ind w:firstLine="0"/>
    </w:pPr>
    <w:rPr>
      <w:b w:val="0"/>
      <w:sz w:val="20"/>
    </w:rPr>
  </w:style>
  <w:style w:type="character" w:customStyle="1" w:styleId="SubtitleChar">
    <w:name w:val="Subtitle Char"/>
    <w:basedOn w:val="DefaultParagraphFont"/>
    <w:link w:val="Subtitle"/>
    <w:rsid w:val="000F317C"/>
    <w:rPr>
      <w:rFonts w:ascii="Arial" w:hAnsi="Arial"/>
      <w:szCs w:val="24"/>
    </w:rPr>
  </w:style>
  <w:style w:type="paragraph" w:customStyle="1" w:styleId="Finding">
    <w:name w:val="Finding"/>
    <w:basedOn w:val="BodyText"/>
    <w:rsid w:val="000F317C"/>
    <w:pPr>
      <w:keepLines/>
      <w:spacing w:before="120" w:line="280" w:lineRule="atLeast"/>
    </w:pPr>
    <w:rPr>
      <w:rFonts w:ascii="Arial" w:hAnsi="Arial"/>
      <w:sz w:val="22"/>
    </w:rPr>
  </w:style>
  <w:style w:type="paragraph" w:customStyle="1" w:styleId="FindingBullet">
    <w:name w:val="Finding Bullet"/>
    <w:basedOn w:val="Finding"/>
    <w:rsid w:val="000F317C"/>
    <w:pPr>
      <w:numPr>
        <w:numId w:val="4"/>
      </w:numPr>
      <w:spacing w:before="80"/>
    </w:pPr>
  </w:style>
  <w:style w:type="paragraph" w:customStyle="1" w:styleId="FindingNoTitle">
    <w:name w:val="Finding NoTitle"/>
    <w:basedOn w:val="Finding"/>
    <w:semiHidden/>
    <w:rsid w:val="000F317C"/>
    <w:pPr>
      <w:spacing w:before="240"/>
    </w:pPr>
  </w:style>
  <w:style w:type="paragraph" w:customStyle="1" w:styleId="RecTitle">
    <w:name w:val="Rec Title"/>
    <w:basedOn w:val="BodyText"/>
    <w:next w:val="Rec"/>
    <w:qFormat/>
    <w:rsid w:val="000F317C"/>
    <w:pPr>
      <w:keepNext/>
      <w:keepLines/>
      <w:spacing w:line="280" w:lineRule="atLeast"/>
    </w:pPr>
    <w:rPr>
      <w:rFonts w:ascii="Arial" w:hAnsi="Arial"/>
      <w:caps/>
      <w:sz w:val="18"/>
    </w:rPr>
  </w:style>
  <w:style w:type="paragraph" w:customStyle="1" w:styleId="FindingTitle">
    <w:name w:val="Finding Title"/>
    <w:basedOn w:val="RecTitle"/>
    <w:next w:val="Finding"/>
    <w:rsid w:val="000F317C"/>
  </w:style>
  <w:style w:type="character" w:styleId="FootnoteReference">
    <w:name w:val="footnote reference"/>
    <w:basedOn w:val="DefaultParagraphFont"/>
    <w:rsid w:val="000F317C"/>
    <w:rPr>
      <w:rFonts w:ascii="Times New Roman" w:hAnsi="Times New Roman"/>
      <w:position w:val="6"/>
      <w:sz w:val="20"/>
      <w:vertAlign w:val="baseline"/>
    </w:rPr>
  </w:style>
  <w:style w:type="paragraph" w:styleId="FootnoteText">
    <w:name w:val="footnote text"/>
    <w:basedOn w:val="BodyText"/>
    <w:link w:val="FootnoteTextChar"/>
    <w:rsid w:val="000F317C"/>
    <w:pPr>
      <w:tabs>
        <w:tab w:val="left" w:pos="284"/>
      </w:tabs>
      <w:spacing w:before="80" w:line="240" w:lineRule="exact"/>
      <w:ind w:left="284" w:hanging="284"/>
    </w:pPr>
    <w:rPr>
      <w:sz w:val="20"/>
    </w:rPr>
  </w:style>
  <w:style w:type="character" w:customStyle="1" w:styleId="FootnoteTextChar">
    <w:name w:val="Footnote Text Char"/>
    <w:basedOn w:val="DefaultParagraphFont"/>
    <w:link w:val="FootnoteText"/>
    <w:rsid w:val="00BF455F"/>
  </w:style>
  <w:style w:type="paragraph" w:customStyle="1" w:styleId="InformationRequest">
    <w:name w:val="Information Request"/>
    <w:basedOn w:val="Finding"/>
    <w:next w:val="BodyText"/>
    <w:rsid w:val="000F317C"/>
    <w:rPr>
      <w:i/>
    </w:rPr>
  </w:style>
  <w:style w:type="paragraph" w:customStyle="1" w:styleId="Jurisdictioncommentsbodytext">
    <w:name w:val="Jurisdiction comments body text"/>
    <w:rsid w:val="000F317C"/>
    <w:pPr>
      <w:spacing w:after="140"/>
      <w:jc w:val="both"/>
    </w:pPr>
    <w:rPr>
      <w:rFonts w:ascii="Arial" w:hAnsi="Arial"/>
      <w:sz w:val="24"/>
      <w:lang w:eastAsia="en-US"/>
    </w:rPr>
  </w:style>
  <w:style w:type="paragraph" w:customStyle="1" w:styleId="Jurisdictioncommentsheading">
    <w:name w:val="Jurisdiction comments heading"/>
    <w:rsid w:val="000F317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F317C"/>
    <w:pPr>
      <w:numPr>
        <w:numId w:val="5"/>
      </w:numPr>
      <w:spacing w:after="140"/>
      <w:jc w:val="both"/>
    </w:pPr>
    <w:rPr>
      <w:rFonts w:ascii="Arial" w:hAnsi="Arial"/>
      <w:sz w:val="24"/>
      <w:lang w:eastAsia="en-US"/>
    </w:rPr>
  </w:style>
  <w:style w:type="paragraph" w:styleId="ListBullet">
    <w:name w:val="List Bullet"/>
    <w:basedOn w:val="BodyText"/>
    <w:rsid w:val="000F317C"/>
    <w:pPr>
      <w:numPr>
        <w:numId w:val="6"/>
      </w:numPr>
      <w:spacing w:before="120"/>
    </w:pPr>
  </w:style>
  <w:style w:type="paragraph" w:styleId="ListBullet2">
    <w:name w:val="List Bullet 2"/>
    <w:basedOn w:val="BodyText"/>
    <w:rsid w:val="000F317C"/>
    <w:pPr>
      <w:numPr>
        <w:numId w:val="7"/>
      </w:numPr>
      <w:spacing w:before="120"/>
    </w:pPr>
  </w:style>
  <w:style w:type="paragraph" w:styleId="ListBullet3">
    <w:name w:val="List Bullet 3"/>
    <w:basedOn w:val="BodyText"/>
    <w:rsid w:val="000F317C"/>
    <w:pPr>
      <w:numPr>
        <w:numId w:val="8"/>
      </w:numPr>
      <w:spacing w:before="120"/>
      <w:ind w:left="1020" w:hanging="340"/>
    </w:pPr>
  </w:style>
  <w:style w:type="paragraph" w:styleId="ListNumber">
    <w:name w:val="List Number"/>
    <w:basedOn w:val="BodyText"/>
    <w:rsid w:val="000F317C"/>
    <w:pPr>
      <w:numPr>
        <w:numId w:val="13"/>
      </w:numPr>
      <w:spacing w:before="120"/>
    </w:pPr>
  </w:style>
  <w:style w:type="paragraph" w:styleId="ListNumber2">
    <w:name w:val="List Number 2"/>
    <w:basedOn w:val="ListNumber"/>
    <w:rsid w:val="000F317C"/>
    <w:pPr>
      <w:numPr>
        <w:ilvl w:val="1"/>
      </w:numPr>
    </w:pPr>
  </w:style>
  <w:style w:type="paragraph" w:styleId="ListNumber3">
    <w:name w:val="List Number 3"/>
    <w:basedOn w:val="ListNumber2"/>
    <w:rsid w:val="000F317C"/>
    <w:pPr>
      <w:numPr>
        <w:ilvl w:val="2"/>
      </w:numPr>
    </w:pPr>
  </w:style>
  <w:style w:type="character" w:customStyle="1" w:styleId="NoteLabel">
    <w:name w:val="Note Label"/>
    <w:basedOn w:val="DefaultParagraphFont"/>
    <w:rsid w:val="000F317C"/>
    <w:rPr>
      <w:rFonts w:ascii="Arial" w:hAnsi="Arial"/>
      <w:b/>
      <w:position w:val="6"/>
      <w:sz w:val="18"/>
    </w:rPr>
  </w:style>
  <w:style w:type="paragraph" w:customStyle="1" w:styleId="PartDivider">
    <w:name w:val="Part Divider"/>
    <w:basedOn w:val="BodyText"/>
    <w:next w:val="BodyText"/>
    <w:semiHidden/>
    <w:rsid w:val="000F317C"/>
    <w:pPr>
      <w:spacing w:before="0" w:line="40" w:lineRule="exact"/>
      <w:jc w:val="right"/>
    </w:pPr>
    <w:rPr>
      <w:smallCaps/>
      <w:sz w:val="16"/>
    </w:rPr>
  </w:style>
  <w:style w:type="paragraph" w:customStyle="1" w:styleId="PartNumber">
    <w:name w:val="Part Number"/>
    <w:basedOn w:val="BodyText"/>
    <w:next w:val="BodyText"/>
    <w:semiHidden/>
    <w:rsid w:val="000F317C"/>
    <w:pPr>
      <w:spacing w:before="4000" w:line="320" w:lineRule="exact"/>
      <w:ind w:left="6634"/>
      <w:jc w:val="right"/>
    </w:pPr>
    <w:rPr>
      <w:smallCaps/>
      <w:spacing w:val="60"/>
      <w:sz w:val="32"/>
    </w:rPr>
  </w:style>
  <w:style w:type="paragraph" w:customStyle="1" w:styleId="PartTitle">
    <w:name w:val="Part Title"/>
    <w:basedOn w:val="BodyText"/>
    <w:semiHidden/>
    <w:rsid w:val="000F317C"/>
    <w:pPr>
      <w:spacing w:before="160" w:after="1360" w:line="520" w:lineRule="exact"/>
      <w:ind w:right="2381"/>
      <w:jc w:val="right"/>
    </w:pPr>
    <w:rPr>
      <w:smallCaps/>
      <w:sz w:val="52"/>
    </w:rPr>
  </w:style>
  <w:style w:type="paragraph" w:styleId="Quote">
    <w:name w:val="Quote"/>
    <w:basedOn w:val="BodyText"/>
    <w:next w:val="BodyText"/>
    <w:link w:val="QuoteChar"/>
    <w:qFormat/>
    <w:rsid w:val="000F317C"/>
    <w:pPr>
      <w:spacing w:before="120" w:line="280" w:lineRule="exact"/>
      <w:ind w:left="340"/>
    </w:pPr>
    <w:rPr>
      <w:sz w:val="22"/>
    </w:rPr>
  </w:style>
  <w:style w:type="character" w:customStyle="1" w:styleId="QuoteChar">
    <w:name w:val="Quote Char"/>
    <w:basedOn w:val="DefaultParagraphFont"/>
    <w:link w:val="Quote"/>
    <w:rsid w:val="00BF455F"/>
    <w:rPr>
      <w:sz w:val="22"/>
    </w:rPr>
  </w:style>
  <w:style w:type="paragraph" w:customStyle="1" w:styleId="QuoteBullet">
    <w:name w:val="Quote Bullet"/>
    <w:basedOn w:val="Quote"/>
    <w:rsid w:val="000F317C"/>
    <w:pPr>
      <w:numPr>
        <w:numId w:val="9"/>
      </w:numPr>
    </w:pPr>
  </w:style>
  <w:style w:type="paragraph" w:customStyle="1" w:styleId="Rec">
    <w:name w:val="Rec"/>
    <w:basedOn w:val="BodyText"/>
    <w:qFormat/>
    <w:rsid w:val="000F317C"/>
    <w:pPr>
      <w:keepLines/>
      <w:spacing w:before="120" w:line="280" w:lineRule="atLeast"/>
    </w:pPr>
    <w:rPr>
      <w:rFonts w:ascii="Arial" w:hAnsi="Arial"/>
      <w:sz w:val="22"/>
    </w:rPr>
  </w:style>
  <w:style w:type="paragraph" w:customStyle="1" w:styleId="RecBullet">
    <w:name w:val="Rec Bullet"/>
    <w:basedOn w:val="Rec"/>
    <w:rsid w:val="000F317C"/>
    <w:pPr>
      <w:numPr>
        <w:numId w:val="10"/>
      </w:numPr>
      <w:spacing w:before="80"/>
    </w:pPr>
  </w:style>
  <w:style w:type="paragraph" w:customStyle="1" w:styleId="RecB">
    <w:name w:val="RecB"/>
    <w:basedOn w:val="Normal"/>
    <w:semiHidden/>
    <w:rsid w:val="000F317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F317C"/>
    <w:pPr>
      <w:numPr>
        <w:numId w:val="11"/>
      </w:numPr>
      <w:spacing w:before="80"/>
    </w:pPr>
  </w:style>
  <w:style w:type="paragraph" w:customStyle="1" w:styleId="RecBNoTitle">
    <w:name w:val="RecB NoTitle"/>
    <w:basedOn w:val="RecB"/>
    <w:semiHidden/>
    <w:rsid w:val="000F317C"/>
    <w:pPr>
      <w:spacing w:before="240"/>
    </w:pPr>
  </w:style>
  <w:style w:type="paragraph" w:customStyle="1" w:styleId="Reference">
    <w:name w:val="Reference"/>
    <w:basedOn w:val="BodyText"/>
    <w:rsid w:val="000F317C"/>
    <w:pPr>
      <w:spacing w:before="120"/>
      <w:ind w:left="340" w:hanging="340"/>
    </w:pPr>
  </w:style>
  <w:style w:type="paragraph" w:customStyle="1" w:styleId="SequenceInfo">
    <w:name w:val="Sequence Info"/>
    <w:basedOn w:val="BodyText"/>
    <w:semiHidden/>
    <w:rsid w:val="000F317C"/>
    <w:rPr>
      <w:vanish/>
      <w:sz w:val="16"/>
    </w:rPr>
  </w:style>
  <w:style w:type="paragraph" w:customStyle="1" w:styleId="SideNote">
    <w:name w:val="Side Note"/>
    <w:basedOn w:val="BodyText"/>
    <w:next w:val="BodyText"/>
    <w:semiHidden/>
    <w:rsid w:val="000F317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F317C"/>
    <w:pPr>
      <w:framePr w:wrap="around"/>
      <w:numPr>
        <w:numId w:val="12"/>
      </w:numPr>
      <w:tabs>
        <w:tab w:val="left" w:pos="227"/>
      </w:tabs>
    </w:pPr>
  </w:style>
  <w:style w:type="paragraph" w:customStyle="1" w:styleId="SideNoteGraphic">
    <w:name w:val="Side Note Graphic"/>
    <w:basedOn w:val="SideNote"/>
    <w:next w:val="BodyText"/>
    <w:semiHidden/>
    <w:rsid w:val="000F317C"/>
    <w:pPr>
      <w:framePr w:wrap="around"/>
    </w:pPr>
  </w:style>
  <w:style w:type="paragraph" w:customStyle="1" w:styleId="TableColumnHeading">
    <w:name w:val="Table Column Heading"/>
    <w:basedOn w:val="TableBodyText"/>
    <w:rsid w:val="000F317C"/>
    <w:pPr>
      <w:spacing w:before="80" w:after="80"/>
    </w:pPr>
    <w:rPr>
      <w:i/>
    </w:rPr>
  </w:style>
  <w:style w:type="paragraph" w:styleId="TableofFigures">
    <w:name w:val="table of figures"/>
    <w:basedOn w:val="TOC3"/>
    <w:next w:val="BodyText"/>
    <w:rsid w:val="000F317C"/>
    <w:pPr>
      <w:ind w:left="737" w:hanging="737"/>
    </w:pPr>
  </w:style>
  <w:style w:type="paragraph" w:customStyle="1" w:styleId="TableTitle">
    <w:name w:val="Table Title"/>
    <w:basedOn w:val="Caption"/>
    <w:next w:val="Subtitle"/>
    <w:qFormat/>
    <w:rsid w:val="000F317C"/>
    <w:pPr>
      <w:spacing w:before="120"/>
    </w:pPr>
  </w:style>
  <w:style w:type="paragraph" w:customStyle="1" w:styleId="TableUnitsRow">
    <w:name w:val="Table Units Row"/>
    <w:basedOn w:val="TableBodyText"/>
    <w:rsid w:val="000F317C"/>
    <w:pPr>
      <w:spacing w:before="40"/>
    </w:pPr>
  </w:style>
  <w:style w:type="paragraph" w:styleId="TOC1">
    <w:name w:val="toc 1"/>
    <w:basedOn w:val="Normal"/>
    <w:next w:val="TOC2"/>
    <w:link w:val="TOC1Char"/>
    <w:rsid w:val="000F317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0F317C"/>
    <w:pPr>
      <w:ind w:left="1191" w:firstLine="0"/>
    </w:pPr>
  </w:style>
  <w:style w:type="paragraph" w:customStyle="1" w:styleId="RecBBullet2">
    <w:name w:val="RecB Bullet 2"/>
    <w:basedOn w:val="ListBullet2"/>
    <w:semiHidden/>
    <w:rsid w:val="000F317C"/>
    <w:pPr>
      <w:pBdr>
        <w:left w:val="single" w:sz="24" w:space="29" w:color="C0C0C0"/>
      </w:pBdr>
    </w:pPr>
    <w:rPr>
      <w:b/>
      <w:i/>
    </w:rPr>
  </w:style>
  <w:style w:type="paragraph" w:styleId="BalloonText">
    <w:name w:val="Balloon Text"/>
    <w:basedOn w:val="Normal"/>
    <w:link w:val="BalloonTextChar"/>
    <w:rsid w:val="000F317C"/>
    <w:rPr>
      <w:rFonts w:ascii="Tahoma" w:hAnsi="Tahoma" w:cs="Tahoma"/>
      <w:sz w:val="16"/>
      <w:szCs w:val="16"/>
    </w:rPr>
  </w:style>
  <w:style w:type="character" w:customStyle="1" w:styleId="BalloonTextChar">
    <w:name w:val="Balloon Text Char"/>
    <w:basedOn w:val="DefaultParagraphFont"/>
    <w:link w:val="BalloonText"/>
    <w:rsid w:val="000F317C"/>
    <w:rPr>
      <w:rFonts w:ascii="Tahoma" w:hAnsi="Tahoma" w:cs="Tahoma"/>
      <w:sz w:val="16"/>
      <w:szCs w:val="16"/>
    </w:rPr>
  </w:style>
  <w:style w:type="paragraph" w:customStyle="1" w:styleId="BoxListBullet3">
    <w:name w:val="Box List Bullet 3"/>
    <w:basedOn w:val="ListBullet3"/>
    <w:rsid w:val="000F317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F317C"/>
    <w:rPr>
      <w:i/>
      <w:iCs/>
    </w:rPr>
  </w:style>
  <w:style w:type="paragraph" w:customStyle="1" w:styleId="BoxQuoteBullet">
    <w:name w:val="Box Quote Bullet"/>
    <w:basedOn w:val="BoxQuote"/>
    <w:next w:val="Box"/>
    <w:rsid w:val="000F317C"/>
    <w:pPr>
      <w:numPr>
        <w:numId w:val="15"/>
      </w:numPr>
      <w:ind w:left="568" w:hanging="284"/>
    </w:pPr>
  </w:style>
  <w:style w:type="paragraph" w:customStyle="1" w:styleId="InformationRequestBullet">
    <w:name w:val="Information Request Bullet"/>
    <w:basedOn w:val="ListBullet"/>
    <w:next w:val="BodyText"/>
    <w:rsid w:val="000F317C"/>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0F317C"/>
    <w:pPr>
      <w:keepNext/>
      <w:spacing w:before="360" w:line="80" w:lineRule="exact"/>
      <w:jc w:val="left"/>
    </w:pPr>
  </w:style>
  <w:style w:type="paragraph" w:customStyle="1" w:styleId="BoxSpaceBelow">
    <w:name w:val="Box Space Below"/>
    <w:basedOn w:val="Box"/>
    <w:rsid w:val="000F317C"/>
    <w:pPr>
      <w:keepNext w:val="0"/>
      <w:spacing w:before="60" w:after="60" w:line="80" w:lineRule="exact"/>
    </w:pPr>
    <w:rPr>
      <w:sz w:val="14"/>
    </w:rPr>
  </w:style>
  <w:style w:type="paragraph" w:customStyle="1" w:styleId="KeyPointsListBullet">
    <w:name w:val="Key Points List Bullet"/>
    <w:basedOn w:val="Normal"/>
    <w:qFormat/>
    <w:rsid w:val="000F317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F317C"/>
    <w:pPr>
      <w:numPr>
        <w:numId w:val="19"/>
      </w:numPr>
      <w:ind w:left="568" w:hanging="284"/>
    </w:pPr>
  </w:style>
  <w:style w:type="paragraph" w:customStyle="1" w:styleId="InformationRequestTitle">
    <w:name w:val="Information Request Title"/>
    <w:basedOn w:val="FindingTitle"/>
    <w:next w:val="InformationRequest"/>
    <w:rsid w:val="000F317C"/>
    <w:rPr>
      <w:i/>
    </w:rPr>
  </w:style>
  <w:style w:type="paragraph" w:customStyle="1" w:styleId="Space">
    <w:name w:val="Space"/>
    <w:basedOn w:val="Normal"/>
    <w:rsid w:val="000F317C"/>
    <w:pPr>
      <w:keepNext/>
      <w:spacing w:line="120" w:lineRule="exact"/>
      <w:jc w:val="both"/>
    </w:pPr>
    <w:rPr>
      <w:rFonts w:ascii="Arial" w:hAnsi="Arial"/>
      <w:sz w:val="20"/>
      <w:szCs w:val="20"/>
    </w:rPr>
  </w:style>
  <w:style w:type="paragraph" w:customStyle="1" w:styleId="Heading1nochapterno">
    <w:name w:val="Heading 1 (no chapter no.)"/>
    <w:basedOn w:val="Heading1"/>
    <w:rsid w:val="000F317C"/>
    <w:pPr>
      <w:spacing w:before="0"/>
      <w:ind w:left="0" w:firstLine="0"/>
    </w:pPr>
  </w:style>
  <w:style w:type="paragraph" w:customStyle="1" w:styleId="Heading2nosectionno">
    <w:name w:val="Heading 2 (no section no.)"/>
    <w:basedOn w:val="Heading2"/>
    <w:rsid w:val="000F317C"/>
    <w:pPr>
      <w:ind w:left="0" w:firstLine="0"/>
    </w:pPr>
  </w:style>
  <w:style w:type="paragraph" w:customStyle="1" w:styleId="Figurespace">
    <w:name w:val="Figure space"/>
    <w:basedOn w:val="Box"/>
    <w:rsid w:val="000F317C"/>
    <w:pPr>
      <w:spacing w:before="0" w:line="120" w:lineRule="exact"/>
    </w:pPr>
  </w:style>
  <w:style w:type="paragraph" w:customStyle="1" w:styleId="FooterDraftReport">
    <w:name w:val="FooterDraftReport"/>
    <w:basedOn w:val="Footer"/>
    <w:link w:val="FooterDraftReportChar"/>
    <w:rsid w:val="000F317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F317C"/>
    <w:rPr>
      <w:rFonts w:ascii="Arial" w:hAnsi="Arial"/>
      <w:caps/>
      <w:spacing w:val="-4"/>
      <w:sz w:val="16"/>
    </w:rPr>
  </w:style>
  <w:style w:type="character" w:customStyle="1" w:styleId="FooterDraftReportChar">
    <w:name w:val="FooterDraftReport Char"/>
    <w:basedOn w:val="FooterChar"/>
    <w:link w:val="FooterDraftReport"/>
    <w:rsid w:val="000F317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F31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xListBulletChar">
    <w:name w:val="Box List Bullet Char"/>
    <w:link w:val="BoxListBullet"/>
    <w:rsid w:val="00BA41CB"/>
    <w:rPr>
      <w:rFonts w:ascii="Arial" w:hAnsi="Arial"/>
    </w:rPr>
  </w:style>
  <w:style w:type="character" w:customStyle="1" w:styleId="TOC1Char">
    <w:name w:val="TOC 1 Char"/>
    <w:basedOn w:val="DefaultParagraphFont"/>
    <w:link w:val="TOC1"/>
    <w:rsid w:val="000F317C"/>
    <w:rPr>
      <w:rFonts w:ascii="Arial" w:hAnsi="Arial"/>
      <w:b/>
      <w:sz w:val="26"/>
      <w:szCs w:val="26"/>
      <w:lang w:eastAsia="en-US"/>
    </w:rPr>
  </w:style>
  <w:style w:type="paragraph" w:styleId="NormalWeb">
    <w:name w:val="Normal (Web)"/>
    <w:basedOn w:val="Normal"/>
    <w:uiPriority w:val="99"/>
    <w:unhideWhenUsed/>
    <w:rsid w:val="00A04DA1"/>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F317C"/>
    <w:rPr>
      <w:sz w:val="24"/>
      <w:szCs w:val="24"/>
    </w:rPr>
  </w:style>
  <w:style w:type="paragraph" w:styleId="Heading1">
    <w:name w:val="heading 1"/>
    <w:basedOn w:val="BodyText"/>
    <w:next w:val="BodyText"/>
    <w:link w:val="Heading1Char"/>
    <w:rsid w:val="000F317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F317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F317C"/>
    <w:pPr>
      <w:spacing w:before="560" w:line="320" w:lineRule="exact"/>
      <w:ind w:left="0" w:firstLine="0"/>
      <w:outlineLvl w:val="2"/>
    </w:pPr>
    <w:rPr>
      <w:sz w:val="26"/>
    </w:rPr>
  </w:style>
  <w:style w:type="paragraph" w:styleId="Heading4">
    <w:name w:val="heading 4"/>
    <w:basedOn w:val="Heading3"/>
    <w:next w:val="BodyText"/>
    <w:link w:val="Heading4Char"/>
    <w:qFormat/>
    <w:rsid w:val="000F317C"/>
    <w:pPr>
      <w:spacing w:before="480"/>
      <w:outlineLvl w:val="3"/>
    </w:pPr>
    <w:rPr>
      <w:b w:val="0"/>
      <w:sz w:val="24"/>
    </w:rPr>
  </w:style>
  <w:style w:type="paragraph" w:styleId="Heading5">
    <w:name w:val="heading 5"/>
    <w:basedOn w:val="Heading4"/>
    <w:next w:val="BodyText"/>
    <w:link w:val="Heading5Char"/>
    <w:qFormat/>
    <w:rsid w:val="000F317C"/>
    <w:pPr>
      <w:outlineLvl w:val="4"/>
    </w:pPr>
    <w:rPr>
      <w:i/>
      <w:sz w:val="22"/>
    </w:rPr>
  </w:style>
  <w:style w:type="paragraph" w:styleId="Heading6">
    <w:name w:val="heading 6"/>
    <w:basedOn w:val="BodyText"/>
    <w:next w:val="BodyText"/>
    <w:link w:val="Heading6Char"/>
    <w:rsid w:val="000F317C"/>
    <w:pPr>
      <w:spacing w:after="60"/>
      <w:jc w:val="left"/>
      <w:outlineLvl w:val="5"/>
    </w:pPr>
    <w:rPr>
      <w:i/>
      <w:sz w:val="22"/>
    </w:rPr>
  </w:style>
  <w:style w:type="paragraph" w:styleId="Heading7">
    <w:name w:val="heading 7"/>
    <w:basedOn w:val="BodyText"/>
    <w:next w:val="BodyText"/>
    <w:link w:val="Heading7Char"/>
    <w:rsid w:val="000F317C"/>
    <w:pPr>
      <w:spacing w:after="60" w:line="240" w:lineRule="auto"/>
      <w:jc w:val="left"/>
      <w:outlineLvl w:val="6"/>
    </w:pPr>
    <w:rPr>
      <w:rFonts w:ascii="Arial" w:hAnsi="Arial"/>
      <w:sz w:val="20"/>
    </w:rPr>
  </w:style>
  <w:style w:type="paragraph" w:styleId="Heading8">
    <w:name w:val="heading 8"/>
    <w:basedOn w:val="BodyText"/>
    <w:next w:val="BodyText"/>
    <w:link w:val="Heading8Char"/>
    <w:rsid w:val="000F317C"/>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F317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0F317C"/>
    <w:pPr>
      <w:spacing w:before="240" w:line="300" w:lineRule="atLeast"/>
      <w:jc w:val="both"/>
    </w:pPr>
    <w:rPr>
      <w:sz w:val="24"/>
    </w:rPr>
  </w:style>
  <w:style w:type="paragraph" w:customStyle="1" w:styleId="Box">
    <w:name w:val="Box"/>
    <w:basedOn w:val="BodyText"/>
    <w:link w:val="BoxChar"/>
    <w:qFormat/>
    <w:rsid w:val="000F317C"/>
    <w:pPr>
      <w:keepNext/>
      <w:spacing w:before="120" w:line="260" w:lineRule="atLeast"/>
    </w:pPr>
    <w:rPr>
      <w:rFonts w:ascii="Arial" w:hAnsi="Arial"/>
      <w:sz w:val="20"/>
    </w:rPr>
  </w:style>
  <w:style w:type="paragraph" w:customStyle="1" w:styleId="BoxSpace">
    <w:name w:val="Box Space"/>
    <w:basedOn w:val="BodyText"/>
    <w:rsid w:val="00BF455F"/>
    <w:pPr>
      <w:keepNext/>
      <w:spacing w:before="360" w:line="80" w:lineRule="exact"/>
      <w:jc w:val="left"/>
    </w:pPr>
  </w:style>
  <w:style w:type="paragraph" w:customStyle="1" w:styleId="BoxTitle">
    <w:name w:val="Box Title"/>
    <w:basedOn w:val="Caption"/>
    <w:next w:val="BoxSubtitle"/>
    <w:rsid w:val="000F317C"/>
    <w:pPr>
      <w:spacing w:before="120" w:after="0"/>
    </w:pPr>
  </w:style>
  <w:style w:type="paragraph" w:styleId="Footer">
    <w:name w:val="footer"/>
    <w:basedOn w:val="BodyText"/>
    <w:link w:val="FooterChar"/>
    <w:rsid w:val="000F317C"/>
    <w:pPr>
      <w:spacing w:before="80" w:line="200" w:lineRule="exact"/>
      <w:ind w:right="6"/>
      <w:jc w:val="left"/>
    </w:pPr>
    <w:rPr>
      <w:rFonts w:ascii="Arial" w:hAnsi="Arial"/>
      <w:caps/>
      <w:spacing w:val="-4"/>
      <w:sz w:val="16"/>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0F317C"/>
    <w:rPr>
      <w:sz w:val="24"/>
    </w:rPr>
  </w:style>
  <w:style w:type="paragraph" w:customStyle="1" w:styleId="FooterEnd">
    <w:name w:val="Footer End"/>
    <w:basedOn w:val="Footer"/>
    <w:rsid w:val="000F317C"/>
    <w:pPr>
      <w:spacing w:before="0" w:line="20" w:lineRule="exact"/>
    </w:pPr>
  </w:style>
  <w:style w:type="paragraph" w:styleId="Header">
    <w:name w:val="header"/>
    <w:basedOn w:val="BodyText"/>
    <w:rsid w:val="000F317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F317C"/>
    <w:pPr>
      <w:spacing w:line="20" w:lineRule="exact"/>
    </w:pPr>
    <w:rPr>
      <w:sz w:val="16"/>
    </w:rPr>
  </w:style>
  <w:style w:type="paragraph" w:customStyle="1" w:styleId="HeaderEven">
    <w:name w:val="Header Even"/>
    <w:basedOn w:val="Header"/>
    <w:semiHidden/>
    <w:rsid w:val="000F317C"/>
  </w:style>
  <w:style w:type="paragraph" w:customStyle="1" w:styleId="HeaderOdd">
    <w:name w:val="Header Odd"/>
    <w:basedOn w:val="Header"/>
    <w:semiHidden/>
    <w:rsid w:val="000F317C"/>
  </w:style>
  <w:style w:type="paragraph" w:customStyle="1" w:styleId="Note">
    <w:name w:val="Note"/>
    <w:basedOn w:val="BodyText"/>
    <w:next w:val="BodyText"/>
    <w:link w:val="NoteChar"/>
    <w:rsid w:val="000F317C"/>
    <w:pPr>
      <w:keepLines/>
      <w:spacing w:before="80" w:line="220" w:lineRule="exact"/>
    </w:pPr>
    <w:rPr>
      <w:rFonts w:ascii="Arial" w:hAnsi="Arial"/>
      <w:sz w:val="18"/>
    </w:rPr>
  </w:style>
  <w:style w:type="character" w:styleId="PageNumber">
    <w:name w:val="page number"/>
    <w:basedOn w:val="DefaultParagraphFont"/>
    <w:rsid w:val="000F317C"/>
    <w:rPr>
      <w:rFonts w:ascii="Arial" w:hAnsi="Arial"/>
      <w:b/>
      <w:sz w:val="16"/>
    </w:rPr>
  </w:style>
  <w:style w:type="paragraph" w:customStyle="1" w:styleId="TableBodyText">
    <w:name w:val="Table Body Text"/>
    <w:basedOn w:val="BodyText"/>
    <w:link w:val="TableBodyTextChar"/>
    <w:rsid w:val="000F317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0F317C"/>
    <w:pPr>
      <w:numPr>
        <w:numId w:val="1"/>
      </w:numPr>
      <w:jc w:val="left"/>
    </w:pPr>
  </w:style>
  <w:style w:type="paragraph" w:styleId="TOC3">
    <w:name w:val="toc 3"/>
    <w:basedOn w:val="TOC2"/>
    <w:rsid w:val="000F317C"/>
    <w:pPr>
      <w:spacing w:before="60"/>
      <w:ind w:left="1190" w:hanging="680"/>
    </w:pPr>
  </w:style>
  <w:style w:type="paragraph" w:styleId="TOC2">
    <w:name w:val="toc 2"/>
    <w:basedOn w:val="TOC1"/>
    <w:rsid w:val="000F317C"/>
    <w:pPr>
      <w:ind w:left="1134" w:hanging="624"/>
    </w:pPr>
    <w:rPr>
      <w:b w:val="0"/>
    </w:rPr>
  </w:style>
  <w:style w:type="character" w:customStyle="1" w:styleId="NoteChar">
    <w:name w:val="Note Char"/>
    <w:link w:val="Note"/>
    <w:rsid w:val="00FE26B9"/>
    <w:rPr>
      <w:rFonts w:ascii="Arial" w:hAnsi="Arial"/>
      <w:sz w:val="18"/>
    </w:rPr>
  </w:style>
  <w:style w:type="character" w:customStyle="1" w:styleId="Heading3Char">
    <w:name w:val="Heading 3 Char"/>
    <w:link w:val="Heading3"/>
    <w:rsid w:val="00FE26B9"/>
    <w:rPr>
      <w:rFonts w:ascii="Arial" w:hAnsi="Arial"/>
      <w:b/>
      <w:sz w:val="26"/>
    </w:rPr>
  </w:style>
  <w:style w:type="character" w:styleId="Hyperlink">
    <w:name w:val="Hyperlink"/>
    <w:uiPriority w:val="99"/>
    <w:rsid w:val="00FE26B9"/>
    <w:rPr>
      <w:color w:val="0000FF"/>
      <w:u w:val="single"/>
    </w:rPr>
  </w:style>
  <w:style w:type="character" w:customStyle="1" w:styleId="TableBodyTextChar">
    <w:name w:val="Table Body Text Char"/>
    <w:link w:val="TableBodyText"/>
    <w:rsid w:val="00FE26B9"/>
    <w:rPr>
      <w:rFonts w:ascii="Arial" w:hAnsi="Arial"/>
      <w:sz w:val="18"/>
    </w:rPr>
  </w:style>
  <w:style w:type="character" w:customStyle="1" w:styleId="TableBulletChar">
    <w:name w:val="Table Bullet Char"/>
    <w:link w:val="TableBullet"/>
    <w:rsid w:val="00FE26B9"/>
    <w:rPr>
      <w:rFonts w:ascii="Arial" w:hAnsi="Arial"/>
      <w:sz w:val="18"/>
    </w:rPr>
  </w:style>
  <w:style w:type="character" w:customStyle="1" w:styleId="BoxChar">
    <w:name w:val="Box Char"/>
    <w:link w:val="Box"/>
    <w:rsid w:val="00FE26B9"/>
    <w:rPr>
      <w:rFonts w:ascii="Arial" w:hAnsi="Arial"/>
    </w:rPr>
  </w:style>
  <w:style w:type="paragraph" w:styleId="Caption">
    <w:name w:val="caption"/>
    <w:basedOn w:val="Normal"/>
    <w:next w:val="BodyText"/>
    <w:rsid w:val="000F317C"/>
    <w:pPr>
      <w:keepNext/>
      <w:keepLines/>
      <w:spacing w:before="360" w:after="80" w:line="280" w:lineRule="exact"/>
      <w:ind w:left="1474" w:hanging="1474"/>
    </w:pPr>
    <w:rPr>
      <w:rFonts w:ascii="Arial" w:hAnsi="Arial"/>
      <w:b/>
    </w:rPr>
  </w:style>
  <w:style w:type="paragraph" w:customStyle="1" w:styleId="Draftingnote">
    <w:name w:val="Drafting note"/>
    <w:basedOn w:val="TableBodyText"/>
    <w:link w:val="DraftingnoteChar"/>
    <w:rsid w:val="0076572A"/>
    <w:pPr>
      <w:keepNext w:val="0"/>
      <w:keepLines w:val="0"/>
      <w:widowControl w:val="0"/>
      <w:spacing w:before="120" w:after="0"/>
      <w:jc w:val="both"/>
    </w:pPr>
    <w:rPr>
      <w:rFonts w:cs="Arial"/>
    </w:rPr>
  </w:style>
  <w:style w:type="character" w:customStyle="1" w:styleId="DraftingnoteChar">
    <w:name w:val="Drafting note Char"/>
    <w:link w:val="Draftingnote"/>
    <w:rsid w:val="0076572A"/>
    <w:rPr>
      <w:rFonts w:ascii="Arial" w:hAnsi="Arial" w:cs="Arial"/>
      <w:lang w:val="en-AU" w:eastAsia="en-AU" w:bidi="ar-SA"/>
    </w:rPr>
  </w:style>
  <w:style w:type="character" w:customStyle="1" w:styleId="Heading1Char">
    <w:name w:val="Heading 1 Char"/>
    <w:basedOn w:val="DefaultParagraphFont"/>
    <w:link w:val="Heading1"/>
    <w:rsid w:val="00BF455F"/>
    <w:rPr>
      <w:sz w:val="52"/>
    </w:rPr>
  </w:style>
  <w:style w:type="character" w:customStyle="1" w:styleId="Heading4Char">
    <w:name w:val="Heading 4 Char"/>
    <w:basedOn w:val="DefaultParagraphFont"/>
    <w:link w:val="Heading4"/>
    <w:rsid w:val="00BF455F"/>
    <w:rPr>
      <w:rFonts w:ascii="Arial" w:hAnsi="Arial"/>
      <w:sz w:val="24"/>
    </w:rPr>
  </w:style>
  <w:style w:type="character" w:customStyle="1" w:styleId="Heading5Char">
    <w:name w:val="Heading 5 Char"/>
    <w:basedOn w:val="DefaultParagraphFont"/>
    <w:link w:val="Heading5"/>
    <w:rsid w:val="000F317C"/>
    <w:rPr>
      <w:rFonts w:ascii="Arial" w:hAnsi="Arial"/>
      <w:i/>
      <w:sz w:val="22"/>
    </w:rPr>
  </w:style>
  <w:style w:type="character" w:customStyle="1" w:styleId="Heading6Char">
    <w:name w:val="Heading 6 Char"/>
    <w:basedOn w:val="DefaultParagraphFont"/>
    <w:link w:val="Heading6"/>
    <w:rsid w:val="00BF455F"/>
    <w:rPr>
      <w:i/>
      <w:sz w:val="22"/>
    </w:rPr>
  </w:style>
  <w:style w:type="character" w:customStyle="1" w:styleId="Heading7Char">
    <w:name w:val="Heading 7 Char"/>
    <w:basedOn w:val="DefaultParagraphFont"/>
    <w:link w:val="Heading7"/>
    <w:rsid w:val="00BF455F"/>
    <w:rPr>
      <w:rFonts w:ascii="Arial" w:hAnsi="Arial"/>
    </w:rPr>
  </w:style>
  <w:style w:type="character" w:customStyle="1" w:styleId="Heading8Char">
    <w:name w:val="Heading 8 Char"/>
    <w:basedOn w:val="DefaultParagraphFont"/>
    <w:link w:val="Heading8"/>
    <w:rsid w:val="00BF455F"/>
    <w:rPr>
      <w:rFonts w:ascii="Arial" w:hAnsi="Arial"/>
      <w:i/>
    </w:rPr>
  </w:style>
  <w:style w:type="character" w:customStyle="1" w:styleId="Heading9Char">
    <w:name w:val="Heading 9 Char"/>
    <w:basedOn w:val="DefaultParagraphFont"/>
    <w:link w:val="Heading9"/>
    <w:rsid w:val="00BF455F"/>
    <w:rPr>
      <w:rFonts w:ascii="Arial" w:hAnsi="Arial"/>
      <w:b/>
      <w:i/>
      <w:sz w:val="18"/>
    </w:rPr>
  </w:style>
  <w:style w:type="paragraph" w:customStyle="1" w:styleId="Abbreviation">
    <w:name w:val="Abbreviation"/>
    <w:basedOn w:val="BodyText"/>
    <w:rsid w:val="000F317C"/>
    <w:pPr>
      <w:spacing w:before="120"/>
      <w:ind w:left="2381" w:hanging="2381"/>
      <w:jc w:val="left"/>
    </w:pPr>
  </w:style>
  <w:style w:type="paragraph" w:customStyle="1" w:styleId="BoxContinued">
    <w:name w:val="Box Continued"/>
    <w:basedOn w:val="BodyText"/>
    <w:next w:val="BodyText"/>
    <w:semiHidden/>
    <w:rsid w:val="000F317C"/>
    <w:pPr>
      <w:spacing w:before="180" w:line="220" w:lineRule="exact"/>
      <w:jc w:val="right"/>
    </w:pPr>
    <w:rPr>
      <w:rFonts w:ascii="Arial" w:hAnsi="Arial"/>
      <w:sz w:val="18"/>
    </w:rPr>
  </w:style>
  <w:style w:type="paragraph" w:customStyle="1" w:styleId="BoxHeading1">
    <w:name w:val="Box Heading 1"/>
    <w:basedOn w:val="BodyText"/>
    <w:next w:val="Box"/>
    <w:rsid w:val="000F317C"/>
    <w:pPr>
      <w:keepNext/>
      <w:spacing w:before="200" w:line="280" w:lineRule="atLeast"/>
    </w:pPr>
    <w:rPr>
      <w:rFonts w:ascii="Arial" w:hAnsi="Arial"/>
      <w:b/>
      <w:sz w:val="22"/>
    </w:rPr>
  </w:style>
  <w:style w:type="paragraph" w:customStyle="1" w:styleId="BoxHeading2">
    <w:name w:val="Box Heading 2"/>
    <w:basedOn w:val="BoxHeading1"/>
    <w:next w:val="Normal"/>
    <w:rsid w:val="000F317C"/>
    <w:rPr>
      <w:b w:val="0"/>
      <w:i/>
    </w:rPr>
  </w:style>
  <w:style w:type="paragraph" w:customStyle="1" w:styleId="BoxListBullet">
    <w:name w:val="Box List Bullet"/>
    <w:basedOn w:val="BodyText"/>
    <w:link w:val="BoxListBulletChar"/>
    <w:rsid w:val="000F317C"/>
    <w:pPr>
      <w:keepNext/>
      <w:numPr>
        <w:numId w:val="2"/>
      </w:numPr>
      <w:spacing w:before="100" w:line="260" w:lineRule="atLeast"/>
    </w:pPr>
    <w:rPr>
      <w:rFonts w:ascii="Arial" w:hAnsi="Arial"/>
      <w:sz w:val="20"/>
    </w:rPr>
  </w:style>
  <w:style w:type="paragraph" w:customStyle="1" w:styleId="BoxListBullet2">
    <w:name w:val="Box List Bullet 2"/>
    <w:basedOn w:val="BoxListBullet"/>
    <w:rsid w:val="000F317C"/>
    <w:pPr>
      <w:numPr>
        <w:numId w:val="3"/>
      </w:numPr>
      <w:ind w:left="568" w:hanging="284"/>
    </w:pPr>
  </w:style>
  <w:style w:type="paragraph" w:customStyle="1" w:styleId="BoxListNumber">
    <w:name w:val="Box List Number"/>
    <w:basedOn w:val="BodyText"/>
    <w:rsid w:val="000F317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F317C"/>
    <w:pPr>
      <w:numPr>
        <w:ilvl w:val="1"/>
      </w:numPr>
      <w:ind w:left="681" w:hanging="397"/>
    </w:pPr>
  </w:style>
  <w:style w:type="paragraph" w:customStyle="1" w:styleId="BoxQuote">
    <w:name w:val="Box Quote"/>
    <w:basedOn w:val="BodyText"/>
    <w:next w:val="Box"/>
    <w:qFormat/>
    <w:rsid w:val="000F317C"/>
    <w:pPr>
      <w:keepNext/>
      <w:spacing w:before="60" w:line="240" w:lineRule="exact"/>
      <w:ind w:left="284"/>
    </w:pPr>
    <w:rPr>
      <w:rFonts w:ascii="Arial" w:hAnsi="Arial"/>
      <w:sz w:val="18"/>
    </w:rPr>
  </w:style>
  <w:style w:type="paragraph" w:customStyle="1" w:styleId="Source">
    <w:name w:val="Source"/>
    <w:basedOn w:val="Normal"/>
    <w:next w:val="BodyText"/>
    <w:rsid w:val="000F317C"/>
    <w:pPr>
      <w:keepLines/>
      <w:spacing w:before="80" w:line="220" w:lineRule="exact"/>
      <w:jc w:val="both"/>
    </w:pPr>
    <w:rPr>
      <w:rFonts w:ascii="Arial" w:hAnsi="Arial"/>
      <w:sz w:val="18"/>
      <w:szCs w:val="20"/>
    </w:rPr>
  </w:style>
  <w:style w:type="paragraph" w:customStyle="1" w:styleId="BoxSource">
    <w:name w:val="Box Source"/>
    <w:basedOn w:val="Source"/>
    <w:next w:val="BodyText"/>
    <w:rsid w:val="000F317C"/>
    <w:pPr>
      <w:spacing w:before="120"/>
    </w:pPr>
  </w:style>
  <w:style w:type="paragraph" w:customStyle="1" w:styleId="BoxSubtitle">
    <w:name w:val="Box Subtitle"/>
    <w:basedOn w:val="BoxTitle"/>
    <w:next w:val="Normal"/>
    <w:rsid w:val="000F317C"/>
    <w:pPr>
      <w:spacing w:after="80" w:line="200" w:lineRule="exact"/>
      <w:ind w:firstLine="0"/>
    </w:pPr>
    <w:rPr>
      <w:b w:val="0"/>
      <w:sz w:val="20"/>
    </w:rPr>
  </w:style>
  <w:style w:type="paragraph" w:customStyle="1" w:styleId="Chapter">
    <w:name w:val="Chapter"/>
    <w:basedOn w:val="Heading1"/>
    <w:next w:val="BodyText"/>
    <w:semiHidden/>
    <w:rsid w:val="000F317C"/>
    <w:pPr>
      <w:ind w:left="0" w:firstLine="0"/>
      <w:outlineLvl w:val="9"/>
    </w:pPr>
  </w:style>
  <w:style w:type="paragraph" w:customStyle="1" w:styleId="ChapterSummary">
    <w:name w:val="Chapter Summary"/>
    <w:basedOn w:val="BodyText"/>
    <w:rsid w:val="000F317C"/>
    <w:pPr>
      <w:spacing w:line="280" w:lineRule="atLeast"/>
      <w:ind w:left="907"/>
    </w:pPr>
    <w:rPr>
      <w:rFonts w:ascii="Arial" w:hAnsi="Arial"/>
      <w:b/>
      <w:sz w:val="20"/>
    </w:rPr>
  </w:style>
  <w:style w:type="character" w:styleId="CommentReference">
    <w:name w:val="annotation reference"/>
    <w:basedOn w:val="DefaultParagraphFont"/>
    <w:rsid w:val="000F317C"/>
    <w:rPr>
      <w:b/>
      <w:vanish/>
      <w:color w:val="FF00FF"/>
      <w:sz w:val="20"/>
    </w:rPr>
  </w:style>
  <w:style w:type="paragraph" w:styleId="CommentText">
    <w:name w:val="annotation text"/>
    <w:basedOn w:val="Normal"/>
    <w:link w:val="CommentTextChar"/>
    <w:rsid w:val="000F317C"/>
    <w:pPr>
      <w:spacing w:before="120" w:line="240" w:lineRule="atLeast"/>
      <w:ind w:left="567" w:hanging="567"/>
    </w:pPr>
    <w:rPr>
      <w:sz w:val="20"/>
    </w:rPr>
  </w:style>
  <w:style w:type="character" w:customStyle="1" w:styleId="CommentTextChar">
    <w:name w:val="Comment Text Char"/>
    <w:basedOn w:val="DefaultParagraphFont"/>
    <w:link w:val="CommentText"/>
    <w:rsid w:val="00BF455F"/>
    <w:rPr>
      <w:szCs w:val="24"/>
    </w:rPr>
  </w:style>
  <w:style w:type="paragraph" w:customStyle="1" w:styleId="Continued">
    <w:name w:val="Continued"/>
    <w:basedOn w:val="BoxContinued"/>
    <w:next w:val="BodyText"/>
    <w:rsid w:val="000F317C"/>
  </w:style>
  <w:style w:type="character" w:customStyle="1" w:styleId="DocumentInfo">
    <w:name w:val="Document Info"/>
    <w:basedOn w:val="DefaultParagraphFont"/>
    <w:semiHidden/>
    <w:rsid w:val="000F317C"/>
    <w:rPr>
      <w:rFonts w:ascii="Arial" w:hAnsi="Arial"/>
      <w:sz w:val="14"/>
    </w:rPr>
  </w:style>
  <w:style w:type="character" w:customStyle="1" w:styleId="DraftingNote0">
    <w:name w:val="Drafting Note"/>
    <w:basedOn w:val="DefaultParagraphFont"/>
    <w:rsid w:val="000F317C"/>
    <w:rPr>
      <w:b/>
      <w:color w:val="FF0000"/>
      <w:sz w:val="24"/>
      <w:u w:val="dotted"/>
    </w:rPr>
  </w:style>
  <w:style w:type="paragraph" w:customStyle="1" w:styleId="Figure">
    <w:name w:val="Figure"/>
    <w:basedOn w:val="BodyText"/>
    <w:rsid w:val="000F317C"/>
    <w:pPr>
      <w:keepNext/>
      <w:spacing w:before="120" w:after="120" w:line="240" w:lineRule="atLeast"/>
      <w:jc w:val="center"/>
    </w:pPr>
  </w:style>
  <w:style w:type="paragraph" w:customStyle="1" w:styleId="FigureTitle">
    <w:name w:val="Figure Title"/>
    <w:basedOn w:val="Caption"/>
    <w:next w:val="Subtitle"/>
    <w:rsid w:val="000F317C"/>
    <w:pPr>
      <w:spacing w:before="120"/>
    </w:pPr>
  </w:style>
  <w:style w:type="paragraph" w:styleId="Subtitle">
    <w:name w:val="Subtitle"/>
    <w:basedOn w:val="Caption"/>
    <w:link w:val="SubtitleChar"/>
    <w:qFormat/>
    <w:rsid w:val="000F317C"/>
    <w:pPr>
      <w:spacing w:before="0" w:line="200" w:lineRule="exact"/>
      <w:ind w:firstLine="0"/>
    </w:pPr>
    <w:rPr>
      <w:b w:val="0"/>
      <w:sz w:val="20"/>
    </w:rPr>
  </w:style>
  <w:style w:type="character" w:customStyle="1" w:styleId="SubtitleChar">
    <w:name w:val="Subtitle Char"/>
    <w:basedOn w:val="DefaultParagraphFont"/>
    <w:link w:val="Subtitle"/>
    <w:rsid w:val="000F317C"/>
    <w:rPr>
      <w:rFonts w:ascii="Arial" w:hAnsi="Arial"/>
      <w:szCs w:val="24"/>
    </w:rPr>
  </w:style>
  <w:style w:type="paragraph" w:customStyle="1" w:styleId="Finding">
    <w:name w:val="Finding"/>
    <w:basedOn w:val="BodyText"/>
    <w:rsid w:val="000F317C"/>
    <w:pPr>
      <w:keepLines/>
      <w:spacing w:before="120" w:line="280" w:lineRule="atLeast"/>
    </w:pPr>
    <w:rPr>
      <w:rFonts w:ascii="Arial" w:hAnsi="Arial"/>
      <w:sz w:val="22"/>
    </w:rPr>
  </w:style>
  <w:style w:type="paragraph" w:customStyle="1" w:styleId="FindingBullet">
    <w:name w:val="Finding Bullet"/>
    <w:basedOn w:val="Finding"/>
    <w:rsid w:val="000F317C"/>
    <w:pPr>
      <w:numPr>
        <w:numId w:val="4"/>
      </w:numPr>
      <w:spacing w:before="80"/>
    </w:pPr>
  </w:style>
  <w:style w:type="paragraph" w:customStyle="1" w:styleId="FindingNoTitle">
    <w:name w:val="Finding NoTitle"/>
    <w:basedOn w:val="Finding"/>
    <w:semiHidden/>
    <w:rsid w:val="000F317C"/>
    <w:pPr>
      <w:spacing w:before="240"/>
    </w:pPr>
  </w:style>
  <w:style w:type="paragraph" w:customStyle="1" w:styleId="RecTitle">
    <w:name w:val="Rec Title"/>
    <w:basedOn w:val="BodyText"/>
    <w:next w:val="Rec"/>
    <w:qFormat/>
    <w:rsid w:val="000F317C"/>
    <w:pPr>
      <w:keepNext/>
      <w:keepLines/>
      <w:spacing w:line="280" w:lineRule="atLeast"/>
    </w:pPr>
    <w:rPr>
      <w:rFonts w:ascii="Arial" w:hAnsi="Arial"/>
      <w:caps/>
      <w:sz w:val="18"/>
    </w:rPr>
  </w:style>
  <w:style w:type="paragraph" w:customStyle="1" w:styleId="FindingTitle">
    <w:name w:val="Finding Title"/>
    <w:basedOn w:val="RecTitle"/>
    <w:next w:val="Finding"/>
    <w:rsid w:val="000F317C"/>
  </w:style>
  <w:style w:type="character" w:styleId="FootnoteReference">
    <w:name w:val="footnote reference"/>
    <w:basedOn w:val="DefaultParagraphFont"/>
    <w:rsid w:val="000F317C"/>
    <w:rPr>
      <w:rFonts w:ascii="Times New Roman" w:hAnsi="Times New Roman"/>
      <w:position w:val="6"/>
      <w:sz w:val="20"/>
      <w:vertAlign w:val="baseline"/>
    </w:rPr>
  </w:style>
  <w:style w:type="paragraph" w:styleId="FootnoteText">
    <w:name w:val="footnote text"/>
    <w:basedOn w:val="BodyText"/>
    <w:link w:val="FootnoteTextChar"/>
    <w:rsid w:val="000F317C"/>
    <w:pPr>
      <w:tabs>
        <w:tab w:val="left" w:pos="284"/>
      </w:tabs>
      <w:spacing w:before="80" w:line="240" w:lineRule="exact"/>
      <w:ind w:left="284" w:hanging="284"/>
    </w:pPr>
    <w:rPr>
      <w:sz w:val="20"/>
    </w:rPr>
  </w:style>
  <w:style w:type="character" w:customStyle="1" w:styleId="FootnoteTextChar">
    <w:name w:val="Footnote Text Char"/>
    <w:basedOn w:val="DefaultParagraphFont"/>
    <w:link w:val="FootnoteText"/>
    <w:rsid w:val="00BF455F"/>
  </w:style>
  <w:style w:type="paragraph" w:customStyle="1" w:styleId="InformationRequest">
    <w:name w:val="Information Request"/>
    <w:basedOn w:val="Finding"/>
    <w:next w:val="BodyText"/>
    <w:rsid w:val="000F317C"/>
    <w:rPr>
      <w:i/>
    </w:rPr>
  </w:style>
  <w:style w:type="paragraph" w:customStyle="1" w:styleId="Jurisdictioncommentsbodytext">
    <w:name w:val="Jurisdiction comments body text"/>
    <w:rsid w:val="000F317C"/>
    <w:pPr>
      <w:spacing w:after="140"/>
      <w:jc w:val="both"/>
    </w:pPr>
    <w:rPr>
      <w:rFonts w:ascii="Arial" w:hAnsi="Arial"/>
      <w:sz w:val="24"/>
      <w:lang w:eastAsia="en-US"/>
    </w:rPr>
  </w:style>
  <w:style w:type="paragraph" w:customStyle="1" w:styleId="Jurisdictioncommentsheading">
    <w:name w:val="Jurisdiction comments heading"/>
    <w:rsid w:val="000F317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F317C"/>
    <w:pPr>
      <w:numPr>
        <w:numId w:val="5"/>
      </w:numPr>
      <w:spacing w:after="140"/>
      <w:jc w:val="both"/>
    </w:pPr>
    <w:rPr>
      <w:rFonts w:ascii="Arial" w:hAnsi="Arial"/>
      <w:sz w:val="24"/>
      <w:lang w:eastAsia="en-US"/>
    </w:rPr>
  </w:style>
  <w:style w:type="paragraph" w:styleId="ListBullet">
    <w:name w:val="List Bullet"/>
    <w:basedOn w:val="BodyText"/>
    <w:rsid w:val="000F317C"/>
    <w:pPr>
      <w:numPr>
        <w:numId w:val="6"/>
      </w:numPr>
      <w:spacing w:before="120"/>
    </w:pPr>
  </w:style>
  <w:style w:type="paragraph" w:styleId="ListBullet2">
    <w:name w:val="List Bullet 2"/>
    <w:basedOn w:val="BodyText"/>
    <w:rsid w:val="000F317C"/>
    <w:pPr>
      <w:numPr>
        <w:numId w:val="7"/>
      </w:numPr>
      <w:spacing w:before="120"/>
    </w:pPr>
  </w:style>
  <w:style w:type="paragraph" w:styleId="ListBullet3">
    <w:name w:val="List Bullet 3"/>
    <w:basedOn w:val="BodyText"/>
    <w:rsid w:val="000F317C"/>
    <w:pPr>
      <w:numPr>
        <w:numId w:val="8"/>
      </w:numPr>
      <w:spacing w:before="120"/>
      <w:ind w:left="1020" w:hanging="340"/>
    </w:pPr>
  </w:style>
  <w:style w:type="paragraph" w:styleId="ListNumber">
    <w:name w:val="List Number"/>
    <w:basedOn w:val="BodyText"/>
    <w:rsid w:val="000F317C"/>
    <w:pPr>
      <w:numPr>
        <w:numId w:val="13"/>
      </w:numPr>
      <w:spacing w:before="120"/>
    </w:pPr>
  </w:style>
  <w:style w:type="paragraph" w:styleId="ListNumber2">
    <w:name w:val="List Number 2"/>
    <w:basedOn w:val="ListNumber"/>
    <w:rsid w:val="000F317C"/>
    <w:pPr>
      <w:numPr>
        <w:ilvl w:val="1"/>
      </w:numPr>
    </w:pPr>
  </w:style>
  <w:style w:type="paragraph" w:styleId="ListNumber3">
    <w:name w:val="List Number 3"/>
    <w:basedOn w:val="ListNumber2"/>
    <w:rsid w:val="000F317C"/>
    <w:pPr>
      <w:numPr>
        <w:ilvl w:val="2"/>
      </w:numPr>
    </w:pPr>
  </w:style>
  <w:style w:type="character" w:customStyle="1" w:styleId="NoteLabel">
    <w:name w:val="Note Label"/>
    <w:basedOn w:val="DefaultParagraphFont"/>
    <w:rsid w:val="000F317C"/>
    <w:rPr>
      <w:rFonts w:ascii="Arial" w:hAnsi="Arial"/>
      <w:b/>
      <w:position w:val="6"/>
      <w:sz w:val="18"/>
    </w:rPr>
  </w:style>
  <w:style w:type="paragraph" w:customStyle="1" w:styleId="PartDivider">
    <w:name w:val="Part Divider"/>
    <w:basedOn w:val="BodyText"/>
    <w:next w:val="BodyText"/>
    <w:semiHidden/>
    <w:rsid w:val="000F317C"/>
    <w:pPr>
      <w:spacing w:before="0" w:line="40" w:lineRule="exact"/>
      <w:jc w:val="right"/>
    </w:pPr>
    <w:rPr>
      <w:smallCaps/>
      <w:sz w:val="16"/>
    </w:rPr>
  </w:style>
  <w:style w:type="paragraph" w:customStyle="1" w:styleId="PartNumber">
    <w:name w:val="Part Number"/>
    <w:basedOn w:val="BodyText"/>
    <w:next w:val="BodyText"/>
    <w:semiHidden/>
    <w:rsid w:val="000F317C"/>
    <w:pPr>
      <w:spacing w:before="4000" w:line="320" w:lineRule="exact"/>
      <w:ind w:left="6634"/>
      <w:jc w:val="right"/>
    </w:pPr>
    <w:rPr>
      <w:smallCaps/>
      <w:spacing w:val="60"/>
      <w:sz w:val="32"/>
    </w:rPr>
  </w:style>
  <w:style w:type="paragraph" w:customStyle="1" w:styleId="PartTitle">
    <w:name w:val="Part Title"/>
    <w:basedOn w:val="BodyText"/>
    <w:semiHidden/>
    <w:rsid w:val="000F317C"/>
    <w:pPr>
      <w:spacing w:before="160" w:after="1360" w:line="520" w:lineRule="exact"/>
      <w:ind w:right="2381"/>
      <w:jc w:val="right"/>
    </w:pPr>
    <w:rPr>
      <w:smallCaps/>
      <w:sz w:val="52"/>
    </w:rPr>
  </w:style>
  <w:style w:type="paragraph" w:styleId="Quote">
    <w:name w:val="Quote"/>
    <w:basedOn w:val="BodyText"/>
    <w:next w:val="BodyText"/>
    <w:link w:val="QuoteChar"/>
    <w:qFormat/>
    <w:rsid w:val="000F317C"/>
    <w:pPr>
      <w:spacing w:before="120" w:line="280" w:lineRule="exact"/>
      <w:ind w:left="340"/>
    </w:pPr>
    <w:rPr>
      <w:sz w:val="22"/>
    </w:rPr>
  </w:style>
  <w:style w:type="character" w:customStyle="1" w:styleId="QuoteChar">
    <w:name w:val="Quote Char"/>
    <w:basedOn w:val="DefaultParagraphFont"/>
    <w:link w:val="Quote"/>
    <w:rsid w:val="00BF455F"/>
    <w:rPr>
      <w:sz w:val="22"/>
    </w:rPr>
  </w:style>
  <w:style w:type="paragraph" w:customStyle="1" w:styleId="QuoteBullet">
    <w:name w:val="Quote Bullet"/>
    <w:basedOn w:val="Quote"/>
    <w:rsid w:val="000F317C"/>
    <w:pPr>
      <w:numPr>
        <w:numId w:val="9"/>
      </w:numPr>
    </w:pPr>
  </w:style>
  <w:style w:type="paragraph" w:customStyle="1" w:styleId="Rec">
    <w:name w:val="Rec"/>
    <w:basedOn w:val="BodyText"/>
    <w:qFormat/>
    <w:rsid w:val="000F317C"/>
    <w:pPr>
      <w:keepLines/>
      <w:spacing w:before="120" w:line="280" w:lineRule="atLeast"/>
    </w:pPr>
    <w:rPr>
      <w:rFonts w:ascii="Arial" w:hAnsi="Arial"/>
      <w:sz w:val="22"/>
    </w:rPr>
  </w:style>
  <w:style w:type="paragraph" w:customStyle="1" w:styleId="RecBullet">
    <w:name w:val="Rec Bullet"/>
    <w:basedOn w:val="Rec"/>
    <w:rsid w:val="000F317C"/>
    <w:pPr>
      <w:numPr>
        <w:numId w:val="10"/>
      </w:numPr>
      <w:spacing w:before="80"/>
    </w:pPr>
  </w:style>
  <w:style w:type="paragraph" w:customStyle="1" w:styleId="RecB">
    <w:name w:val="RecB"/>
    <w:basedOn w:val="Normal"/>
    <w:semiHidden/>
    <w:rsid w:val="000F317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F317C"/>
    <w:pPr>
      <w:numPr>
        <w:numId w:val="11"/>
      </w:numPr>
      <w:spacing w:before="80"/>
    </w:pPr>
  </w:style>
  <w:style w:type="paragraph" w:customStyle="1" w:styleId="RecBNoTitle">
    <w:name w:val="RecB NoTitle"/>
    <w:basedOn w:val="RecB"/>
    <w:semiHidden/>
    <w:rsid w:val="000F317C"/>
    <w:pPr>
      <w:spacing w:before="240"/>
    </w:pPr>
  </w:style>
  <w:style w:type="paragraph" w:customStyle="1" w:styleId="Reference">
    <w:name w:val="Reference"/>
    <w:basedOn w:val="BodyText"/>
    <w:rsid w:val="000F317C"/>
    <w:pPr>
      <w:spacing w:before="120"/>
      <w:ind w:left="340" w:hanging="340"/>
    </w:pPr>
  </w:style>
  <w:style w:type="paragraph" w:customStyle="1" w:styleId="SequenceInfo">
    <w:name w:val="Sequence Info"/>
    <w:basedOn w:val="BodyText"/>
    <w:semiHidden/>
    <w:rsid w:val="000F317C"/>
    <w:rPr>
      <w:vanish/>
      <w:sz w:val="16"/>
    </w:rPr>
  </w:style>
  <w:style w:type="paragraph" w:customStyle="1" w:styleId="SideNote">
    <w:name w:val="Side Note"/>
    <w:basedOn w:val="BodyText"/>
    <w:next w:val="BodyText"/>
    <w:semiHidden/>
    <w:rsid w:val="000F317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F317C"/>
    <w:pPr>
      <w:framePr w:wrap="around"/>
      <w:numPr>
        <w:numId w:val="12"/>
      </w:numPr>
      <w:tabs>
        <w:tab w:val="left" w:pos="227"/>
      </w:tabs>
    </w:pPr>
  </w:style>
  <w:style w:type="paragraph" w:customStyle="1" w:styleId="SideNoteGraphic">
    <w:name w:val="Side Note Graphic"/>
    <w:basedOn w:val="SideNote"/>
    <w:next w:val="BodyText"/>
    <w:semiHidden/>
    <w:rsid w:val="000F317C"/>
    <w:pPr>
      <w:framePr w:wrap="around"/>
    </w:pPr>
  </w:style>
  <w:style w:type="paragraph" w:customStyle="1" w:styleId="TableColumnHeading">
    <w:name w:val="Table Column Heading"/>
    <w:basedOn w:val="TableBodyText"/>
    <w:rsid w:val="000F317C"/>
    <w:pPr>
      <w:spacing w:before="80" w:after="80"/>
    </w:pPr>
    <w:rPr>
      <w:i/>
    </w:rPr>
  </w:style>
  <w:style w:type="paragraph" w:styleId="TableofFigures">
    <w:name w:val="table of figures"/>
    <w:basedOn w:val="TOC3"/>
    <w:next w:val="BodyText"/>
    <w:rsid w:val="000F317C"/>
    <w:pPr>
      <w:ind w:left="737" w:hanging="737"/>
    </w:pPr>
  </w:style>
  <w:style w:type="paragraph" w:customStyle="1" w:styleId="TableTitle">
    <w:name w:val="Table Title"/>
    <w:basedOn w:val="Caption"/>
    <w:next w:val="Subtitle"/>
    <w:qFormat/>
    <w:rsid w:val="000F317C"/>
    <w:pPr>
      <w:spacing w:before="120"/>
    </w:pPr>
  </w:style>
  <w:style w:type="paragraph" w:customStyle="1" w:styleId="TableUnitsRow">
    <w:name w:val="Table Units Row"/>
    <w:basedOn w:val="TableBodyText"/>
    <w:rsid w:val="000F317C"/>
    <w:pPr>
      <w:spacing w:before="40"/>
    </w:pPr>
  </w:style>
  <w:style w:type="paragraph" w:styleId="TOC1">
    <w:name w:val="toc 1"/>
    <w:basedOn w:val="Normal"/>
    <w:next w:val="TOC2"/>
    <w:link w:val="TOC1Char"/>
    <w:rsid w:val="000F317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0F317C"/>
    <w:pPr>
      <w:ind w:left="1191" w:firstLine="0"/>
    </w:pPr>
  </w:style>
  <w:style w:type="paragraph" w:customStyle="1" w:styleId="RecBBullet2">
    <w:name w:val="RecB Bullet 2"/>
    <w:basedOn w:val="ListBullet2"/>
    <w:semiHidden/>
    <w:rsid w:val="000F317C"/>
    <w:pPr>
      <w:pBdr>
        <w:left w:val="single" w:sz="24" w:space="29" w:color="C0C0C0"/>
      </w:pBdr>
    </w:pPr>
    <w:rPr>
      <w:b/>
      <w:i/>
    </w:rPr>
  </w:style>
  <w:style w:type="paragraph" w:styleId="BalloonText">
    <w:name w:val="Balloon Text"/>
    <w:basedOn w:val="Normal"/>
    <w:link w:val="BalloonTextChar"/>
    <w:rsid w:val="000F317C"/>
    <w:rPr>
      <w:rFonts w:ascii="Tahoma" w:hAnsi="Tahoma" w:cs="Tahoma"/>
      <w:sz w:val="16"/>
      <w:szCs w:val="16"/>
    </w:rPr>
  </w:style>
  <w:style w:type="character" w:customStyle="1" w:styleId="BalloonTextChar">
    <w:name w:val="Balloon Text Char"/>
    <w:basedOn w:val="DefaultParagraphFont"/>
    <w:link w:val="BalloonText"/>
    <w:rsid w:val="000F317C"/>
    <w:rPr>
      <w:rFonts w:ascii="Tahoma" w:hAnsi="Tahoma" w:cs="Tahoma"/>
      <w:sz w:val="16"/>
      <w:szCs w:val="16"/>
    </w:rPr>
  </w:style>
  <w:style w:type="paragraph" w:customStyle="1" w:styleId="BoxListBullet3">
    <w:name w:val="Box List Bullet 3"/>
    <w:basedOn w:val="ListBullet3"/>
    <w:rsid w:val="000F317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F317C"/>
    <w:rPr>
      <w:i/>
      <w:iCs/>
    </w:rPr>
  </w:style>
  <w:style w:type="paragraph" w:customStyle="1" w:styleId="BoxQuoteBullet">
    <w:name w:val="Box Quote Bullet"/>
    <w:basedOn w:val="BoxQuote"/>
    <w:next w:val="Box"/>
    <w:rsid w:val="000F317C"/>
    <w:pPr>
      <w:numPr>
        <w:numId w:val="15"/>
      </w:numPr>
      <w:ind w:left="568" w:hanging="284"/>
    </w:pPr>
  </w:style>
  <w:style w:type="paragraph" w:customStyle="1" w:styleId="InformationRequestBullet">
    <w:name w:val="Information Request Bullet"/>
    <w:basedOn w:val="ListBullet"/>
    <w:next w:val="BodyText"/>
    <w:rsid w:val="000F317C"/>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0F317C"/>
    <w:pPr>
      <w:keepNext/>
      <w:spacing w:before="360" w:line="80" w:lineRule="exact"/>
      <w:jc w:val="left"/>
    </w:pPr>
  </w:style>
  <w:style w:type="paragraph" w:customStyle="1" w:styleId="BoxSpaceBelow">
    <w:name w:val="Box Space Below"/>
    <w:basedOn w:val="Box"/>
    <w:rsid w:val="000F317C"/>
    <w:pPr>
      <w:keepNext w:val="0"/>
      <w:spacing w:before="60" w:after="60" w:line="80" w:lineRule="exact"/>
    </w:pPr>
    <w:rPr>
      <w:sz w:val="14"/>
    </w:rPr>
  </w:style>
  <w:style w:type="paragraph" w:customStyle="1" w:styleId="KeyPointsListBullet">
    <w:name w:val="Key Points List Bullet"/>
    <w:basedOn w:val="Normal"/>
    <w:qFormat/>
    <w:rsid w:val="000F317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F317C"/>
    <w:pPr>
      <w:numPr>
        <w:numId w:val="19"/>
      </w:numPr>
      <w:ind w:left="568" w:hanging="284"/>
    </w:pPr>
  </w:style>
  <w:style w:type="paragraph" w:customStyle="1" w:styleId="InformationRequestTitle">
    <w:name w:val="Information Request Title"/>
    <w:basedOn w:val="FindingTitle"/>
    <w:next w:val="InformationRequest"/>
    <w:rsid w:val="000F317C"/>
    <w:rPr>
      <w:i/>
    </w:rPr>
  </w:style>
  <w:style w:type="paragraph" w:customStyle="1" w:styleId="Space">
    <w:name w:val="Space"/>
    <w:basedOn w:val="Normal"/>
    <w:rsid w:val="000F317C"/>
    <w:pPr>
      <w:keepNext/>
      <w:spacing w:line="120" w:lineRule="exact"/>
      <w:jc w:val="both"/>
    </w:pPr>
    <w:rPr>
      <w:rFonts w:ascii="Arial" w:hAnsi="Arial"/>
      <w:sz w:val="20"/>
      <w:szCs w:val="20"/>
    </w:rPr>
  </w:style>
  <w:style w:type="paragraph" w:customStyle="1" w:styleId="Heading1nochapterno">
    <w:name w:val="Heading 1 (no chapter no.)"/>
    <w:basedOn w:val="Heading1"/>
    <w:rsid w:val="000F317C"/>
    <w:pPr>
      <w:spacing w:before="0"/>
      <w:ind w:left="0" w:firstLine="0"/>
    </w:pPr>
  </w:style>
  <w:style w:type="paragraph" w:customStyle="1" w:styleId="Heading2nosectionno">
    <w:name w:val="Heading 2 (no section no.)"/>
    <w:basedOn w:val="Heading2"/>
    <w:rsid w:val="000F317C"/>
    <w:pPr>
      <w:ind w:left="0" w:firstLine="0"/>
    </w:pPr>
  </w:style>
  <w:style w:type="paragraph" w:customStyle="1" w:styleId="Figurespace">
    <w:name w:val="Figure space"/>
    <w:basedOn w:val="Box"/>
    <w:rsid w:val="000F317C"/>
    <w:pPr>
      <w:spacing w:before="0" w:line="120" w:lineRule="exact"/>
    </w:pPr>
  </w:style>
  <w:style w:type="paragraph" w:customStyle="1" w:styleId="FooterDraftReport">
    <w:name w:val="FooterDraftReport"/>
    <w:basedOn w:val="Footer"/>
    <w:link w:val="FooterDraftReportChar"/>
    <w:rsid w:val="000F317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F317C"/>
    <w:rPr>
      <w:rFonts w:ascii="Arial" w:hAnsi="Arial"/>
      <w:caps/>
      <w:spacing w:val="-4"/>
      <w:sz w:val="16"/>
    </w:rPr>
  </w:style>
  <w:style w:type="character" w:customStyle="1" w:styleId="FooterDraftReportChar">
    <w:name w:val="FooterDraftReport Char"/>
    <w:basedOn w:val="FooterChar"/>
    <w:link w:val="FooterDraftReport"/>
    <w:rsid w:val="000F317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F31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xListBulletChar">
    <w:name w:val="Box List Bullet Char"/>
    <w:link w:val="BoxListBullet"/>
    <w:rsid w:val="00BA41CB"/>
    <w:rPr>
      <w:rFonts w:ascii="Arial" w:hAnsi="Arial"/>
    </w:rPr>
  </w:style>
  <w:style w:type="character" w:customStyle="1" w:styleId="TOC1Char">
    <w:name w:val="TOC 1 Char"/>
    <w:basedOn w:val="DefaultParagraphFont"/>
    <w:link w:val="TOC1"/>
    <w:rsid w:val="000F317C"/>
    <w:rPr>
      <w:rFonts w:ascii="Arial" w:hAnsi="Arial"/>
      <w:b/>
      <w:sz w:val="26"/>
      <w:szCs w:val="26"/>
      <w:lang w:eastAsia="en-US"/>
    </w:rPr>
  </w:style>
  <w:style w:type="paragraph" w:styleId="NormalWeb">
    <w:name w:val="Normal (Web)"/>
    <w:basedOn w:val="Normal"/>
    <w:uiPriority w:val="99"/>
    <w:unhideWhenUsed/>
    <w:rsid w:val="00A04DA1"/>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455103">
      <w:bodyDiv w:val="1"/>
      <w:marLeft w:val="0"/>
      <w:marRight w:val="0"/>
      <w:marTop w:val="0"/>
      <w:marBottom w:val="0"/>
      <w:divBdr>
        <w:top w:val="none" w:sz="0" w:space="0" w:color="auto"/>
        <w:left w:val="none" w:sz="0" w:space="0" w:color="auto"/>
        <w:bottom w:val="none" w:sz="0" w:space="0" w:color="auto"/>
        <w:right w:val="none" w:sz="0" w:space="0" w:color="auto"/>
      </w:divBdr>
    </w:div>
    <w:div w:id="455031427">
      <w:bodyDiv w:val="1"/>
      <w:marLeft w:val="0"/>
      <w:marRight w:val="0"/>
      <w:marTop w:val="0"/>
      <w:marBottom w:val="0"/>
      <w:divBdr>
        <w:top w:val="none" w:sz="0" w:space="0" w:color="auto"/>
        <w:left w:val="none" w:sz="0" w:space="0" w:color="auto"/>
        <w:bottom w:val="none" w:sz="0" w:space="0" w:color="auto"/>
        <w:right w:val="none" w:sz="0" w:space="0" w:color="auto"/>
      </w:divBdr>
    </w:div>
    <w:div w:id="585119328">
      <w:bodyDiv w:val="1"/>
      <w:marLeft w:val="0"/>
      <w:marRight w:val="0"/>
      <w:marTop w:val="0"/>
      <w:marBottom w:val="0"/>
      <w:divBdr>
        <w:top w:val="none" w:sz="0" w:space="0" w:color="auto"/>
        <w:left w:val="none" w:sz="0" w:space="0" w:color="auto"/>
        <w:bottom w:val="none" w:sz="0" w:space="0" w:color="auto"/>
        <w:right w:val="none" w:sz="0" w:space="0" w:color="auto"/>
      </w:divBdr>
    </w:div>
    <w:div w:id="943464477">
      <w:bodyDiv w:val="1"/>
      <w:marLeft w:val="0"/>
      <w:marRight w:val="0"/>
      <w:marTop w:val="0"/>
      <w:marBottom w:val="0"/>
      <w:divBdr>
        <w:top w:val="none" w:sz="0" w:space="0" w:color="auto"/>
        <w:left w:val="none" w:sz="0" w:space="0" w:color="auto"/>
        <w:bottom w:val="none" w:sz="0" w:space="0" w:color="auto"/>
        <w:right w:val="none" w:sz="0" w:space="0" w:color="auto"/>
      </w:divBdr>
    </w:div>
    <w:div w:id="1087121037">
      <w:bodyDiv w:val="1"/>
      <w:marLeft w:val="0"/>
      <w:marRight w:val="0"/>
      <w:marTop w:val="0"/>
      <w:marBottom w:val="0"/>
      <w:divBdr>
        <w:top w:val="none" w:sz="0" w:space="0" w:color="auto"/>
        <w:left w:val="none" w:sz="0" w:space="0" w:color="auto"/>
        <w:bottom w:val="none" w:sz="0" w:space="0" w:color="auto"/>
        <w:right w:val="none" w:sz="0" w:space="0" w:color="auto"/>
      </w:divBdr>
    </w:div>
    <w:div w:id="1154687815">
      <w:bodyDiv w:val="1"/>
      <w:marLeft w:val="0"/>
      <w:marRight w:val="0"/>
      <w:marTop w:val="0"/>
      <w:marBottom w:val="0"/>
      <w:divBdr>
        <w:top w:val="none" w:sz="0" w:space="0" w:color="auto"/>
        <w:left w:val="none" w:sz="0" w:space="0" w:color="auto"/>
        <w:bottom w:val="none" w:sz="0" w:space="0" w:color="auto"/>
        <w:right w:val="none" w:sz="0" w:space="0" w:color="auto"/>
      </w:divBdr>
    </w:div>
    <w:div w:id="1187985350">
      <w:bodyDiv w:val="1"/>
      <w:marLeft w:val="0"/>
      <w:marRight w:val="0"/>
      <w:marTop w:val="0"/>
      <w:marBottom w:val="0"/>
      <w:divBdr>
        <w:top w:val="none" w:sz="0" w:space="0" w:color="auto"/>
        <w:left w:val="none" w:sz="0" w:space="0" w:color="auto"/>
        <w:bottom w:val="none" w:sz="0" w:space="0" w:color="auto"/>
        <w:right w:val="none" w:sz="0" w:space="0" w:color="auto"/>
      </w:divBdr>
    </w:div>
    <w:div w:id="1305499870">
      <w:bodyDiv w:val="1"/>
      <w:marLeft w:val="0"/>
      <w:marRight w:val="0"/>
      <w:marTop w:val="0"/>
      <w:marBottom w:val="0"/>
      <w:divBdr>
        <w:top w:val="none" w:sz="0" w:space="0" w:color="auto"/>
        <w:left w:val="none" w:sz="0" w:space="0" w:color="auto"/>
        <w:bottom w:val="none" w:sz="0" w:space="0" w:color="auto"/>
        <w:right w:val="none" w:sz="0" w:space="0" w:color="auto"/>
      </w:divBdr>
    </w:div>
    <w:div w:id="1632783168">
      <w:bodyDiv w:val="1"/>
      <w:marLeft w:val="0"/>
      <w:marRight w:val="0"/>
      <w:marTop w:val="0"/>
      <w:marBottom w:val="0"/>
      <w:divBdr>
        <w:top w:val="none" w:sz="0" w:space="0" w:color="auto"/>
        <w:left w:val="none" w:sz="0" w:space="0" w:color="auto"/>
        <w:bottom w:val="none" w:sz="0" w:space="0" w:color="auto"/>
        <w:right w:val="none" w:sz="0" w:space="0" w:color="auto"/>
      </w:divBdr>
    </w:div>
    <w:div w:id="189897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rost\AppData\Local\Microsoft\Windows\Temporary%20Internet%20Files\Content.MSO\D81B404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1D0D1-16B5-4A71-81BD-C7E9F1FF8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D81B4046.dotm</Template>
  <TotalTime>136</TotalTime>
  <Pages>19</Pages>
  <Words>7251</Words>
  <Characters>41546</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DQI F Community Services - Report on Government Services 2015</vt:lpstr>
    </vt:vector>
  </TitlesOfParts>
  <Company>Productivity Commission</Company>
  <LinksUpToDate>false</LinksUpToDate>
  <CharactersWithSpaces>48700</CharactersWithSpaces>
  <SharedDoc>false</SharedDoc>
  <HLinks>
    <vt:vector size="138" baseType="variant">
      <vt:variant>
        <vt:i4>1376305</vt:i4>
      </vt:variant>
      <vt:variant>
        <vt:i4>134</vt:i4>
      </vt:variant>
      <vt:variant>
        <vt:i4>0</vt:i4>
      </vt:variant>
      <vt:variant>
        <vt:i4>5</vt:i4>
      </vt:variant>
      <vt:variant>
        <vt:lpwstr/>
      </vt:variant>
      <vt:variant>
        <vt:lpwstr>_Toc340735149</vt:lpwstr>
      </vt:variant>
      <vt:variant>
        <vt:i4>1376305</vt:i4>
      </vt:variant>
      <vt:variant>
        <vt:i4>128</vt:i4>
      </vt:variant>
      <vt:variant>
        <vt:i4>0</vt:i4>
      </vt:variant>
      <vt:variant>
        <vt:i4>5</vt:i4>
      </vt:variant>
      <vt:variant>
        <vt:lpwstr/>
      </vt:variant>
      <vt:variant>
        <vt:lpwstr>_Toc340735148</vt:lpwstr>
      </vt:variant>
      <vt:variant>
        <vt:i4>1376305</vt:i4>
      </vt:variant>
      <vt:variant>
        <vt:i4>122</vt:i4>
      </vt:variant>
      <vt:variant>
        <vt:i4>0</vt:i4>
      </vt:variant>
      <vt:variant>
        <vt:i4>5</vt:i4>
      </vt:variant>
      <vt:variant>
        <vt:lpwstr/>
      </vt:variant>
      <vt:variant>
        <vt:lpwstr>_Toc340735147</vt:lpwstr>
      </vt:variant>
      <vt:variant>
        <vt:i4>1376305</vt:i4>
      </vt:variant>
      <vt:variant>
        <vt:i4>116</vt:i4>
      </vt:variant>
      <vt:variant>
        <vt:i4>0</vt:i4>
      </vt:variant>
      <vt:variant>
        <vt:i4>5</vt:i4>
      </vt:variant>
      <vt:variant>
        <vt:lpwstr/>
      </vt:variant>
      <vt:variant>
        <vt:lpwstr>_Toc340735146</vt:lpwstr>
      </vt:variant>
      <vt:variant>
        <vt:i4>1376305</vt:i4>
      </vt:variant>
      <vt:variant>
        <vt:i4>110</vt:i4>
      </vt:variant>
      <vt:variant>
        <vt:i4>0</vt:i4>
      </vt:variant>
      <vt:variant>
        <vt:i4>5</vt:i4>
      </vt:variant>
      <vt:variant>
        <vt:lpwstr/>
      </vt:variant>
      <vt:variant>
        <vt:lpwstr>_Toc340735145</vt:lpwstr>
      </vt:variant>
      <vt:variant>
        <vt:i4>1376305</vt:i4>
      </vt:variant>
      <vt:variant>
        <vt:i4>104</vt:i4>
      </vt:variant>
      <vt:variant>
        <vt:i4>0</vt:i4>
      </vt:variant>
      <vt:variant>
        <vt:i4>5</vt:i4>
      </vt:variant>
      <vt:variant>
        <vt:lpwstr/>
      </vt:variant>
      <vt:variant>
        <vt:lpwstr>_Toc340735144</vt:lpwstr>
      </vt:variant>
      <vt:variant>
        <vt:i4>1376305</vt:i4>
      </vt:variant>
      <vt:variant>
        <vt:i4>98</vt:i4>
      </vt:variant>
      <vt:variant>
        <vt:i4>0</vt:i4>
      </vt:variant>
      <vt:variant>
        <vt:i4>5</vt:i4>
      </vt:variant>
      <vt:variant>
        <vt:lpwstr/>
      </vt:variant>
      <vt:variant>
        <vt:lpwstr>_Toc340735143</vt:lpwstr>
      </vt:variant>
      <vt:variant>
        <vt:i4>1376305</vt:i4>
      </vt:variant>
      <vt:variant>
        <vt:i4>92</vt:i4>
      </vt:variant>
      <vt:variant>
        <vt:i4>0</vt:i4>
      </vt:variant>
      <vt:variant>
        <vt:i4>5</vt:i4>
      </vt:variant>
      <vt:variant>
        <vt:lpwstr/>
      </vt:variant>
      <vt:variant>
        <vt:lpwstr>_Toc340735142</vt:lpwstr>
      </vt:variant>
      <vt:variant>
        <vt:i4>1376305</vt:i4>
      </vt:variant>
      <vt:variant>
        <vt:i4>86</vt:i4>
      </vt:variant>
      <vt:variant>
        <vt:i4>0</vt:i4>
      </vt:variant>
      <vt:variant>
        <vt:i4>5</vt:i4>
      </vt:variant>
      <vt:variant>
        <vt:lpwstr/>
      </vt:variant>
      <vt:variant>
        <vt:lpwstr>_Toc340735141</vt:lpwstr>
      </vt:variant>
      <vt:variant>
        <vt:i4>1376305</vt:i4>
      </vt:variant>
      <vt:variant>
        <vt:i4>80</vt:i4>
      </vt:variant>
      <vt:variant>
        <vt:i4>0</vt:i4>
      </vt:variant>
      <vt:variant>
        <vt:i4>5</vt:i4>
      </vt:variant>
      <vt:variant>
        <vt:lpwstr/>
      </vt:variant>
      <vt:variant>
        <vt:lpwstr>_Toc340735140</vt:lpwstr>
      </vt:variant>
      <vt:variant>
        <vt:i4>1179697</vt:i4>
      </vt:variant>
      <vt:variant>
        <vt:i4>74</vt:i4>
      </vt:variant>
      <vt:variant>
        <vt:i4>0</vt:i4>
      </vt:variant>
      <vt:variant>
        <vt:i4>5</vt:i4>
      </vt:variant>
      <vt:variant>
        <vt:lpwstr/>
      </vt:variant>
      <vt:variant>
        <vt:lpwstr>_Toc340735139</vt:lpwstr>
      </vt:variant>
      <vt:variant>
        <vt:i4>1179697</vt:i4>
      </vt:variant>
      <vt:variant>
        <vt:i4>68</vt:i4>
      </vt:variant>
      <vt:variant>
        <vt:i4>0</vt:i4>
      </vt:variant>
      <vt:variant>
        <vt:i4>5</vt:i4>
      </vt:variant>
      <vt:variant>
        <vt:lpwstr/>
      </vt:variant>
      <vt:variant>
        <vt:lpwstr>_Toc340735138</vt:lpwstr>
      </vt:variant>
      <vt:variant>
        <vt:i4>1179697</vt:i4>
      </vt:variant>
      <vt:variant>
        <vt:i4>62</vt:i4>
      </vt:variant>
      <vt:variant>
        <vt:i4>0</vt:i4>
      </vt:variant>
      <vt:variant>
        <vt:i4>5</vt:i4>
      </vt:variant>
      <vt:variant>
        <vt:lpwstr/>
      </vt:variant>
      <vt:variant>
        <vt:lpwstr>_Toc340735137</vt:lpwstr>
      </vt:variant>
      <vt:variant>
        <vt:i4>1179697</vt:i4>
      </vt:variant>
      <vt:variant>
        <vt:i4>56</vt:i4>
      </vt:variant>
      <vt:variant>
        <vt:i4>0</vt:i4>
      </vt:variant>
      <vt:variant>
        <vt:i4>5</vt:i4>
      </vt:variant>
      <vt:variant>
        <vt:lpwstr/>
      </vt:variant>
      <vt:variant>
        <vt:lpwstr>_Toc340735136</vt:lpwstr>
      </vt:variant>
      <vt:variant>
        <vt:i4>1179697</vt:i4>
      </vt:variant>
      <vt:variant>
        <vt:i4>50</vt:i4>
      </vt:variant>
      <vt:variant>
        <vt:i4>0</vt:i4>
      </vt:variant>
      <vt:variant>
        <vt:i4>5</vt:i4>
      </vt:variant>
      <vt:variant>
        <vt:lpwstr/>
      </vt:variant>
      <vt:variant>
        <vt:lpwstr>_Toc340735135</vt:lpwstr>
      </vt:variant>
      <vt:variant>
        <vt:i4>1179697</vt:i4>
      </vt:variant>
      <vt:variant>
        <vt:i4>44</vt:i4>
      </vt:variant>
      <vt:variant>
        <vt:i4>0</vt:i4>
      </vt:variant>
      <vt:variant>
        <vt:i4>5</vt:i4>
      </vt:variant>
      <vt:variant>
        <vt:lpwstr/>
      </vt:variant>
      <vt:variant>
        <vt:lpwstr>_Toc340735134</vt:lpwstr>
      </vt:variant>
      <vt:variant>
        <vt:i4>1179697</vt:i4>
      </vt:variant>
      <vt:variant>
        <vt:i4>38</vt:i4>
      </vt:variant>
      <vt:variant>
        <vt:i4>0</vt:i4>
      </vt:variant>
      <vt:variant>
        <vt:i4>5</vt:i4>
      </vt:variant>
      <vt:variant>
        <vt:lpwstr/>
      </vt:variant>
      <vt:variant>
        <vt:lpwstr>_Toc340735133</vt:lpwstr>
      </vt:variant>
      <vt:variant>
        <vt:i4>1179697</vt:i4>
      </vt:variant>
      <vt:variant>
        <vt:i4>32</vt:i4>
      </vt:variant>
      <vt:variant>
        <vt:i4>0</vt:i4>
      </vt:variant>
      <vt:variant>
        <vt:i4>5</vt:i4>
      </vt:variant>
      <vt:variant>
        <vt:lpwstr/>
      </vt:variant>
      <vt:variant>
        <vt:lpwstr>_Toc340735132</vt:lpwstr>
      </vt:variant>
      <vt:variant>
        <vt:i4>1179697</vt:i4>
      </vt:variant>
      <vt:variant>
        <vt:i4>26</vt:i4>
      </vt:variant>
      <vt:variant>
        <vt:i4>0</vt:i4>
      </vt:variant>
      <vt:variant>
        <vt:i4>5</vt:i4>
      </vt:variant>
      <vt:variant>
        <vt:lpwstr/>
      </vt:variant>
      <vt:variant>
        <vt:lpwstr>_Toc340735131</vt:lpwstr>
      </vt:variant>
      <vt:variant>
        <vt:i4>1179697</vt:i4>
      </vt:variant>
      <vt:variant>
        <vt:i4>20</vt:i4>
      </vt:variant>
      <vt:variant>
        <vt:i4>0</vt:i4>
      </vt:variant>
      <vt:variant>
        <vt:i4>5</vt:i4>
      </vt:variant>
      <vt:variant>
        <vt:lpwstr/>
      </vt:variant>
      <vt:variant>
        <vt:lpwstr>_Toc340735130</vt:lpwstr>
      </vt:variant>
      <vt:variant>
        <vt:i4>1245233</vt:i4>
      </vt:variant>
      <vt:variant>
        <vt:i4>14</vt:i4>
      </vt:variant>
      <vt:variant>
        <vt:i4>0</vt:i4>
      </vt:variant>
      <vt:variant>
        <vt:i4>5</vt:i4>
      </vt:variant>
      <vt:variant>
        <vt:lpwstr/>
      </vt:variant>
      <vt:variant>
        <vt:lpwstr>_Toc340735129</vt:lpwstr>
      </vt:variant>
      <vt:variant>
        <vt:i4>1245233</vt:i4>
      </vt:variant>
      <vt:variant>
        <vt:i4>8</vt:i4>
      </vt:variant>
      <vt:variant>
        <vt:i4>0</vt:i4>
      </vt:variant>
      <vt:variant>
        <vt:i4>5</vt:i4>
      </vt:variant>
      <vt:variant>
        <vt:lpwstr/>
      </vt:variant>
      <vt:variant>
        <vt:lpwstr>_Toc340735128</vt:lpwstr>
      </vt:variant>
      <vt:variant>
        <vt:i4>1245233</vt:i4>
      </vt:variant>
      <vt:variant>
        <vt:i4>2</vt:i4>
      </vt:variant>
      <vt:variant>
        <vt:i4>0</vt:i4>
      </vt:variant>
      <vt:variant>
        <vt:i4>5</vt:i4>
      </vt:variant>
      <vt:variant>
        <vt:lpwstr/>
      </vt:variant>
      <vt:variant>
        <vt:lpwstr>_Toc340735127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F Community Services - Report on Government Services 2015</dc:title>
  <dc:creator>Steering Committee for the Review of Government Service Provision</dc:creator>
  <cp:lastModifiedBy>Bucsuhazy, Rachel</cp:lastModifiedBy>
  <cp:revision>18</cp:revision>
  <cp:lastPrinted>2015-01-08T05:30:00Z</cp:lastPrinted>
  <dcterms:created xsi:type="dcterms:W3CDTF">2014-12-01T23:26:00Z</dcterms:created>
  <dcterms:modified xsi:type="dcterms:W3CDTF">2015-01-23T02:54:00Z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