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C55B44" w:rsidRDefault="007B63F5" w:rsidP="003C6E8E">
      <w:pPr>
        <w:pStyle w:val="Heading2"/>
        <w:rPr>
          <w:rFonts w:asciiTheme="minorHAnsi" w:hAnsiTheme="minorHAnsi" w:cstheme="minorHAnsi"/>
        </w:rPr>
      </w:pPr>
      <w:bookmarkStart w:id="0" w:name="_Toc306721311"/>
      <w:bookmarkStart w:id="1" w:name="_Toc341957196"/>
      <w:bookmarkStart w:id="2" w:name="_Toc404004479"/>
      <w:bookmarkStart w:id="3" w:name="_Toc278275793"/>
      <w:bookmarkStart w:id="4" w:name="_Toc278275740"/>
      <w:bookmarkStart w:id="5" w:name="_GoBack"/>
      <w:bookmarkEnd w:id="5"/>
      <w:r w:rsidRPr="00C55B44">
        <w:rPr>
          <w:rFonts w:asciiTheme="minorHAnsi" w:hAnsiTheme="minorHAnsi" w:cstheme="minorHAnsi"/>
        </w:rPr>
        <w:t>Data q</w:t>
      </w:r>
      <w:r w:rsidR="005E066E" w:rsidRPr="00C55B44">
        <w:rPr>
          <w:rFonts w:asciiTheme="minorHAnsi" w:hAnsiTheme="minorHAnsi" w:cstheme="minorHAnsi"/>
        </w:rPr>
        <w:t xml:space="preserve">uality </w:t>
      </w:r>
      <w:r w:rsidRPr="00C55B44">
        <w:rPr>
          <w:rFonts w:asciiTheme="minorHAnsi" w:hAnsiTheme="minorHAnsi" w:cstheme="minorHAnsi"/>
        </w:rPr>
        <w:t>i</w:t>
      </w:r>
      <w:r w:rsidR="005E066E" w:rsidRPr="00C55B44">
        <w:rPr>
          <w:rFonts w:asciiTheme="minorHAnsi" w:hAnsiTheme="minorHAnsi" w:cstheme="minorHAnsi"/>
        </w:rPr>
        <w:t xml:space="preserve">nformation — </w:t>
      </w:r>
      <w:r w:rsidR="009C6DDE" w:rsidRPr="00C55B44">
        <w:rPr>
          <w:rFonts w:asciiTheme="minorHAnsi" w:hAnsiTheme="minorHAnsi" w:cstheme="minorHAnsi"/>
        </w:rPr>
        <w:t>S</w:t>
      </w:r>
      <w:r w:rsidR="001268CB" w:rsidRPr="00C55B44">
        <w:rPr>
          <w:rFonts w:asciiTheme="minorHAnsi" w:hAnsiTheme="minorHAnsi" w:cstheme="minorHAnsi"/>
        </w:rPr>
        <w:t>ector overvie</w:t>
      </w:r>
      <w:r w:rsidR="00C1558F" w:rsidRPr="00C55B44">
        <w:rPr>
          <w:rFonts w:asciiTheme="minorHAnsi" w:hAnsiTheme="minorHAnsi" w:cstheme="minorHAnsi"/>
        </w:rPr>
        <w:t>w</w:t>
      </w:r>
      <w:r w:rsidR="005E066E" w:rsidRPr="00C55B44">
        <w:rPr>
          <w:rFonts w:asciiTheme="minorHAnsi" w:hAnsiTheme="minorHAnsi" w:cstheme="minorHAnsi"/>
        </w:rPr>
        <w:t xml:space="preserve"> G</w:t>
      </w:r>
      <w:bookmarkEnd w:id="0"/>
      <w:r w:rsidR="009C6DDE" w:rsidRPr="00C55B44">
        <w:rPr>
          <w:rFonts w:asciiTheme="minorHAnsi" w:hAnsiTheme="minorHAnsi" w:cstheme="minorHAnsi"/>
        </w:rPr>
        <w:t>, Housing and homelessness services</w:t>
      </w:r>
      <w:bookmarkEnd w:id="1"/>
      <w:bookmarkEnd w:id="2"/>
    </w:p>
    <w:p w:rsidR="007D10A5" w:rsidRPr="00C55B44" w:rsidRDefault="007D10A5">
      <w:pPr>
        <w:pStyle w:val="BoxSpaceAbove"/>
        <w:rPr>
          <w:rFonts w:asciiTheme="minorHAnsi" w:hAnsiTheme="minorHAnsi" w:cstheme="minorHAnsi"/>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D10A5" w:rsidRPr="00C55B44" w:rsidTr="003D7E65">
        <w:tc>
          <w:tcPr>
            <w:tcW w:w="8771" w:type="dxa"/>
            <w:tcBorders>
              <w:top w:val="single" w:sz="6" w:space="0" w:color="78A22F"/>
              <w:left w:val="nil"/>
              <w:bottom w:val="nil"/>
              <w:right w:val="nil"/>
            </w:tcBorders>
            <w:shd w:val="clear" w:color="auto" w:fill="F2F2F2"/>
          </w:tcPr>
          <w:p w:rsidR="007D10A5" w:rsidRPr="00C55B44" w:rsidRDefault="007D10A5" w:rsidP="007D10A5">
            <w:pPr>
              <w:pStyle w:val="BoxTitle"/>
              <w:rPr>
                <w:rFonts w:asciiTheme="minorHAnsi" w:hAnsiTheme="minorHAnsi" w:cstheme="minorHAnsi"/>
              </w:rPr>
            </w:pPr>
            <w:r w:rsidRPr="00C55B44">
              <w:rPr>
                <w:rFonts w:asciiTheme="minorHAnsi" w:hAnsiTheme="minorHAnsi" w:cstheme="minorHAnsi"/>
              </w:rPr>
              <w:t>Data quality information</w:t>
            </w:r>
          </w:p>
        </w:tc>
      </w:tr>
      <w:tr w:rsidR="007D10A5" w:rsidRPr="00C55B44" w:rsidTr="003D7E65">
        <w:trPr>
          <w:cantSplit/>
        </w:trPr>
        <w:tc>
          <w:tcPr>
            <w:tcW w:w="8771" w:type="dxa"/>
            <w:tcBorders>
              <w:top w:val="nil"/>
              <w:left w:val="nil"/>
              <w:bottom w:val="nil"/>
              <w:right w:val="nil"/>
            </w:tcBorders>
            <w:shd w:val="clear" w:color="auto" w:fill="F2F2F2"/>
          </w:tcPr>
          <w:p w:rsidR="007D10A5" w:rsidRPr="00C55B44" w:rsidRDefault="007D10A5" w:rsidP="007D10A5">
            <w:pPr>
              <w:pStyle w:val="Box"/>
              <w:rPr>
                <w:rFonts w:asciiTheme="minorHAnsi" w:hAnsiTheme="minorHAnsi" w:cstheme="minorHAnsi"/>
              </w:rPr>
            </w:pPr>
            <w:r w:rsidRPr="00C55B44">
              <w:rPr>
                <w:rFonts w:asciiTheme="minorHAnsi" w:hAnsiTheme="minorHAnsi" w:cstheme="minorHAnsi"/>
              </w:rPr>
              <w:t>Data quality information (DQI) provides information against the seven ABS data quality framework dimensions, for performance indicators in the Housing and homelessness services sector overview.</w:t>
            </w:r>
          </w:p>
          <w:p w:rsidR="007D10A5" w:rsidRPr="00C55B44" w:rsidRDefault="007D10A5" w:rsidP="007D10A5">
            <w:pPr>
              <w:pStyle w:val="Box"/>
              <w:rPr>
                <w:rFonts w:asciiTheme="minorHAnsi" w:hAnsiTheme="minorHAnsi" w:cstheme="minorHAnsi"/>
              </w:rPr>
            </w:pPr>
            <w:r w:rsidRPr="00C55B44">
              <w:rPr>
                <w:rFonts w:asciiTheme="minorHAnsi" w:hAnsiTheme="minorHAnsi" w:cstheme="minorHAnsi"/>
              </w:rPr>
              <w:t>Where Report on Government Services indicators align with National Agreement indicators, DQI has been sourced from the Steering Committee’s reports on National Agreeme</w:t>
            </w:r>
            <w:r w:rsidR="00E631E4">
              <w:rPr>
                <w:rFonts w:asciiTheme="minorHAnsi" w:hAnsiTheme="minorHAnsi" w:cstheme="minorHAnsi"/>
              </w:rPr>
              <w:t>nts to the COAG Reform Council.</w:t>
            </w:r>
          </w:p>
          <w:p w:rsidR="007D10A5" w:rsidRPr="00C55B44" w:rsidRDefault="007D10A5" w:rsidP="007D10A5">
            <w:pPr>
              <w:pStyle w:val="Box"/>
              <w:rPr>
                <w:rFonts w:asciiTheme="minorHAnsi" w:hAnsiTheme="minorHAnsi" w:cstheme="minorHAnsi"/>
              </w:rPr>
            </w:pPr>
            <w:r w:rsidRPr="00C55B44">
              <w:rPr>
                <w:rFonts w:asciiTheme="minorHAnsi" w:hAnsiTheme="minorHAnsi" w:cstheme="minorHAnsi"/>
              </w:rPr>
              <w:t>Technical DQI has been supplied or agreed by relevant data providers. Additional Steering Committee commentary does not necessarily reflect the views of data providers.</w:t>
            </w:r>
          </w:p>
        </w:tc>
      </w:tr>
      <w:tr w:rsidR="007D10A5" w:rsidRPr="00C55B44" w:rsidTr="003D7E65">
        <w:trPr>
          <w:cantSplit/>
        </w:trPr>
        <w:tc>
          <w:tcPr>
            <w:tcW w:w="8771" w:type="dxa"/>
            <w:tcBorders>
              <w:top w:val="nil"/>
              <w:left w:val="nil"/>
              <w:bottom w:val="single" w:sz="6" w:space="0" w:color="78A22F"/>
              <w:right w:val="nil"/>
            </w:tcBorders>
            <w:shd w:val="clear" w:color="auto" w:fill="F2F2F2"/>
          </w:tcPr>
          <w:p w:rsidR="007D10A5" w:rsidRPr="00C55B44" w:rsidRDefault="007D10A5">
            <w:pPr>
              <w:pStyle w:val="Box"/>
              <w:spacing w:before="0" w:line="120" w:lineRule="exact"/>
              <w:rPr>
                <w:rFonts w:asciiTheme="minorHAnsi" w:hAnsiTheme="minorHAnsi" w:cstheme="minorHAnsi"/>
              </w:rPr>
            </w:pPr>
          </w:p>
        </w:tc>
      </w:tr>
      <w:tr w:rsidR="007D10A5" w:rsidRPr="00C55B44" w:rsidTr="003D7E65">
        <w:tc>
          <w:tcPr>
            <w:tcW w:w="8771" w:type="dxa"/>
            <w:tcBorders>
              <w:top w:val="single" w:sz="6" w:space="0" w:color="78A22F"/>
              <w:left w:val="nil"/>
              <w:bottom w:val="nil"/>
              <w:right w:val="nil"/>
            </w:tcBorders>
          </w:tcPr>
          <w:p w:rsidR="007D10A5" w:rsidRPr="00C55B44" w:rsidRDefault="007D10A5" w:rsidP="003D7E65">
            <w:pPr>
              <w:pStyle w:val="BoxSpaceBelow"/>
              <w:rPr>
                <w:rFonts w:asciiTheme="minorHAnsi" w:hAnsiTheme="minorHAnsi" w:cstheme="minorHAnsi"/>
              </w:rPr>
            </w:pPr>
          </w:p>
        </w:tc>
      </w:tr>
    </w:tbl>
    <w:p w:rsidR="00B45911" w:rsidRPr="00C55B44" w:rsidRDefault="005E066E" w:rsidP="007D10A5">
      <w:pPr>
        <w:pStyle w:val="BodyText"/>
        <w:rPr>
          <w:rFonts w:asciiTheme="minorHAnsi" w:hAnsiTheme="minorHAnsi" w:cstheme="minorHAnsi"/>
        </w:rPr>
      </w:pPr>
      <w:r w:rsidRPr="00C55B44">
        <w:rPr>
          <w:rFonts w:asciiTheme="minorHAnsi" w:hAnsiTheme="minorHAnsi" w:cstheme="minorHAnsi"/>
        </w:rPr>
        <w:t xml:space="preserve">DQI </w:t>
      </w:r>
      <w:r w:rsidR="003C0921">
        <w:rPr>
          <w:rFonts w:asciiTheme="minorHAnsi" w:hAnsiTheme="minorHAnsi" w:cstheme="minorHAnsi"/>
        </w:rPr>
        <w:t xml:space="preserve">is </w:t>
      </w:r>
      <w:r w:rsidRPr="00C55B44">
        <w:rPr>
          <w:rFonts w:asciiTheme="minorHAnsi" w:hAnsiTheme="minorHAnsi" w:cstheme="minorHAnsi"/>
        </w:rPr>
        <w:t xml:space="preserve"> available for the following performance indicators:</w:t>
      </w:r>
    </w:p>
    <w:sdt>
      <w:sdtPr>
        <w:rPr>
          <w:rFonts w:asciiTheme="minorHAnsi" w:hAnsiTheme="minorHAnsi" w:cstheme="minorHAnsi"/>
          <w:kern w:val="28"/>
          <w:sz w:val="52"/>
        </w:rPr>
        <w:id w:val="-1651981447"/>
        <w:docPartObj>
          <w:docPartGallery w:val="Table of Contents"/>
          <w:docPartUnique/>
        </w:docPartObj>
      </w:sdtPr>
      <w:sdtEndPr>
        <w:rPr>
          <w:kern w:val="0"/>
          <w:sz w:val="24"/>
          <w:szCs w:val="24"/>
        </w:rPr>
      </w:sdtEndPr>
      <w:sdtContent>
        <w:p w:rsidR="00676F2B" w:rsidRPr="00CA5839" w:rsidRDefault="004C5D26">
          <w:pPr>
            <w:pStyle w:val="TOC2"/>
            <w:rPr>
              <w:rFonts w:asciiTheme="minorHAnsi" w:eastAsiaTheme="minorEastAsia" w:hAnsiTheme="minorHAnsi" w:cstheme="minorHAnsi"/>
              <w:noProof/>
              <w:sz w:val="24"/>
              <w:szCs w:val="24"/>
              <w:lang w:eastAsia="en-AU"/>
            </w:rPr>
          </w:pPr>
          <w:r w:rsidRPr="00CA5839">
            <w:rPr>
              <w:rFonts w:asciiTheme="minorHAnsi" w:hAnsiTheme="minorHAnsi" w:cstheme="minorHAnsi"/>
              <w:noProof/>
              <w:sz w:val="24"/>
              <w:szCs w:val="24"/>
            </w:rPr>
            <w:t>Low income households in rental stress</w:t>
          </w:r>
          <w:r w:rsidR="00676F2B" w:rsidRPr="00CA5839">
            <w:rPr>
              <w:rFonts w:asciiTheme="minorHAnsi" w:hAnsiTheme="minorHAnsi" w:cstheme="minorHAnsi"/>
              <w:noProof/>
              <w:sz w:val="24"/>
              <w:szCs w:val="24"/>
            </w:rPr>
            <w:tab/>
          </w:r>
          <w:r w:rsidR="00DA63F4" w:rsidRPr="00CA5839">
            <w:rPr>
              <w:rFonts w:asciiTheme="minorHAnsi" w:hAnsiTheme="minorHAnsi" w:cstheme="minorHAnsi"/>
              <w:noProof/>
              <w:sz w:val="24"/>
              <w:szCs w:val="24"/>
            </w:rPr>
            <w:t>2</w:t>
          </w:r>
        </w:p>
        <w:p w:rsidR="004C5D26" w:rsidRPr="00CA5839" w:rsidRDefault="00676F2B" w:rsidP="0076083F">
          <w:pPr>
            <w:pStyle w:val="TOC2"/>
            <w:rPr>
              <w:rFonts w:asciiTheme="minorHAnsi" w:hAnsiTheme="minorHAnsi" w:cstheme="minorHAnsi"/>
              <w:sz w:val="24"/>
              <w:szCs w:val="24"/>
            </w:rPr>
          </w:pPr>
          <w:r w:rsidRPr="00CA5839">
            <w:rPr>
              <w:rFonts w:asciiTheme="minorHAnsi" w:hAnsiTheme="minorHAnsi" w:cstheme="minorHAnsi"/>
              <w:noProof/>
              <w:sz w:val="24"/>
              <w:szCs w:val="24"/>
            </w:rPr>
            <w:t>P</w:t>
          </w:r>
          <w:r w:rsidR="00781C59" w:rsidRPr="00CA5839">
            <w:rPr>
              <w:rFonts w:asciiTheme="minorHAnsi" w:hAnsiTheme="minorHAnsi" w:cstheme="minorHAnsi"/>
              <w:noProof/>
              <w:sz w:val="24"/>
              <w:szCs w:val="24"/>
            </w:rPr>
            <w:t>roportion of Aboriginal and Torres Strait Islander households living in overcrowded conditions</w:t>
          </w:r>
          <w:r w:rsidRPr="00CA5839">
            <w:rPr>
              <w:rFonts w:asciiTheme="minorHAnsi" w:hAnsiTheme="minorHAnsi" w:cstheme="minorHAnsi"/>
              <w:noProof/>
              <w:sz w:val="24"/>
              <w:szCs w:val="24"/>
            </w:rPr>
            <w:tab/>
          </w:r>
          <w:r w:rsidR="00DA63F4" w:rsidRPr="00CA5839">
            <w:rPr>
              <w:rFonts w:asciiTheme="minorHAnsi" w:hAnsiTheme="minorHAnsi" w:cstheme="minorHAnsi"/>
              <w:noProof/>
              <w:sz w:val="24"/>
              <w:szCs w:val="24"/>
            </w:rPr>
            <w:t>4</w:t>
          </w:r>
        </w:p>
        <w:p w:rsidR="00781C59" w:rsidRPr="00CA5839" w:rsidRDefault="00781C59" w:rsidP="00781C59">
          <w:pPr>
            <w:pStyle w:val="TOC2"/>
            <w:rPr>
              <w:rFonts w:asciiTheme="minorHAnsi" w:eastAsiaTheme="minorEastAsia" w:hAnsiTheme="minorHAnsi" w:cstheme="minorHAnsi"/>
              <w:noProof/>
              <w:sz w:val="24"/>
              <w:szCs w:val="24"/>
              <w:lang w:eastAsia="en-AU"/>
            </w:rPr>
          </w:pPr>
          <w:r w:rsidRPr="00CA5839">
            <w:rPr>
              <w:rFonts w:asciiTheme="minorHAnsi" w:hAnsiTheme="minorHAnsi" w:cstheme="minorHAnsi"/>
              <w:noProof/>
              <w:sz w:val="24"/>
              <w:szCs w:val="24"/>
            </w:rPr>
            <w:t>Aboriginal and Torres Strait Islander households living in dwellings of an acceptable standard</w:t>
          </w:r>
          <w:r w:rsidRPr="00CA5839">
            <w:rPr>
              <w:rFonts w:asciiTheme="minorHAnsi" w:hAnsiTheme="minorHAnsi" w:cstheme="minorHAnsi"/>
              <w:noProof/>
              <w:sz w:val="24"/>
              <w:szCs w:val="24"/>
            </w:rPr>
            <w:tab/>
          </w:r>
          <w:r w:rsidR="00DA63F4" w:rsidRPr="00CA5839">
            <w:rPr>
              <w:rFonts w:asciiTheme="minorHAnsi" w:hAnsiTheme="minorHAnsi" w:cstheme="minorHAnsi"/>
              <w:noProof/>
              <w:sz w:val="24"/>
              <w:szCs w:val="24"/>
            </w:rPr>
            <w:t>9</w:t>
          </w:r>
        </w:p>
        <w:p w:rsidR="0076083F" w:rsidRPr="00CA5839" w:rsidRDefault="00781C59" w:rsidP="0076083F">
          <w:pPr>
            <w:pStyle w:val="TOC2"/>
            <w:rPr>
              <w:rFonts w:asciiTheme="minorHAnsi" w:eastAsiaTheme="minorEastAsia" w:hAnsiTheme="minorHAnsi" w:cstheme="minorHAnsi"/>
              <w:noProof/>
              <w:sz w:val="24"/>
              <w:szCs w:val="24"/>
            </w:rPr>
          </w:pPr>
          <w:r w:rsidRPr="00CA5839">
            <w:rPr>
              <w:rFonts w:asciiTheme="minorHAnsi" w:hAnsiTheme="minorHAnsi" w:cstheme="minorHAnsi"/>
              <w:noProof/>
              <w:sz w:val="24"/>
              <w:szCs w:val="24"/>
            </w:rPr>
            <w:t>Australians who are homelessness</w:t>
          </w:r>
          <w:r w:rsidRPr="00CA5839">
            <w:rPr>
              <w:rFonts w:asciiTheme="minorHAnsi" w:eastAsiaTheme="minorEastAsia" w:hAnsiTheme="minorHAnsi" w:cstheme="minorHAnsi"/>
              <w:noProof/>
              <w:sz w:val="24"/>
              <w:szCs w:val="24"/>
            </w:rPr>
            <w:tab/>
          </w:r>
          <w:r w:rsidR="00DA63F4" w:rsidRPr="00CA5839">
            <w:rPr>
              <w:rFonts w:asciiTheme="minorHAnsi" w:eastAsiaTheme="minorEastAsia" w:hAnsiTheme="minorHAnsi" w:cstheme="minorHAnsi"/>
              <w:noProof/>
              <w:sz w:val="24"/>
              <w:szCs w:val="24"/>
            </w:rPr>
            <w:t>13</w:t>
          </w:r>
        </w:p>
      </w:sdtContent>
    </w:sdt>
    <w:p w:rsidR="007E1567" w:rsidRPr="00C55B44" w:rsidRDefault="0031201E" w:rsidP="00BC6FE9">
      <w:pPr>
        <w:pStyle w:val="Heading2"/>
        <w:spacing w:before="480"/>
        <w:ind w:left="0"/>
        <w:rPr>
          <w:rFonts w:asciiTheme="minorHAnsi" w:hAnsiTheme="minorHAnsi" w:cstheme="minorHAnsi"/>
        </w:rPr>
      </w:pPr>
      <w:bookmarkStart w:id="6" w:name="_Toc278275794"/>
      <w:r w:rsidRPr="00C55B44">
        <w:rPr>
          <w:rFonts w:asciiTheme="minorHAnsi" w:hAnsiTheme="minorHAnsi" w:cstheme="minorHAnsi"/>
        </w:rPr>
        <w:br w:type="page"/>
      </w:r>
      <w:bookmarkStart w:id="7" w:name="_Toc341957197"/>
      <w:bookmarkStart w:id="8" w:name="_Toc404004480"/>
      <w:r w:rsidR="00676F2B" w:rsidRPr="00C55B44">
        <w:rPr>
          <w:rFonts w:asciiTheme="minorHAnsi" w:hAnsiTheme="minorHAnsi" w:cstheme="minorHAnsi"/>
        </w:rPr>
        <w:lastRenderedPageBreak/>
        <w:tab/>
      </w:r>
      <w:r w:rsidR="007E1567" w:rsidRPr="00C55B44">
        <w:rPr>
          <w:rFonts w:asciiTheme="minorHAnsi" w:hAnsiTheme="minorHAnsi" w:cstheme="minorHAnsi"/>
        </w:rPr>
        <w:t>Performance indicator</w:t>
      </w:r>
      <w:bookmarkEnd w:id="3"/>
      <w:bookmarkEnd w:id="4"/>
      <w:bookmarkEnd w:id="6"/>
      <w:bookmarkEnd w:id="7"/>
      <w:r w:rsidR="00FD704D" w:rsidRPr="00C55B44">
        <w:rPr>
          <w:rFonts w:asciiTheme="minorHAnsi" w:hAnsiTheme="minorHAnsi" w:cstheme="minorHAnsi"/>
        </w:rPr>
        <w:t>s</w:t>
      </w:r>
      <w:bookmarkEnd w:id="8"/>
    </w:p>
    <w:p w:rsidR="00730827" w:rsidRPr="00C55B44" w:rsidRDefault="00D27589" w:rsidP="00284CF3">
      <w:pPr>
        <w:pStyle w:val="Heading3"/>
        <w:spacing w:before="360"/>
        <w:rPr>
          <w:rFonts w:asciiTheme="minorHAnsi" w:hAnsiTheme="minorHAnsi" w:cstheme="minorHAnsi"/>
        </w:rPr>
      </w:pPr>
      <w:bookmarkStart w:id="9" w:name="_Toc278275741"/>
      <w:bookmarkStart w:id="10" w:name="_Toc341957198"/>
      <w:r w:rsidRPr="00C55B44">
        <w:rPr>
          <w:rFonts w:asciiTheme="minorHAnsi" w:hAnsiTheme="minorHAnsi" w:cstheme="minorHAnsi"/>
        </w:rPr>
        <w:t>L</w:t>
      </w:r>
      <w:r w:rsidR="0030756B" w:rsidRPr="00C55B44">
        <w:rPr>
          <w:rFonts w:asciiTheme="minorHAnsi" w:hAnsiTheme="minorHAnsi" w:cstheme="minorHAnsi"/>
        </w:rPr>
        <w:t>ow income households in rental stress</w:t>
      </w:r>
      <w:bookmarkEnd w:id="9"/>
      <w:bookmarkEnd w:id="10"/>
    </w:p>
    <w:p w:rsidR="002F57CA" w:rsidRPr="00C55B44" w:rsidRDefault="00101653" w:rsidP="00101653">
      <w:pPr>
        <w:pStyle w:val="Box"/>
        <w:rPr>
          <w:rFonts w:asciiTheme="minorHAnsi" w:hAnsiTheme="minorHAnsi" w:cstheme="minorHAnsi"/>
        </w:rPr>
      </w:pPr>
      <w:r w:rsidRPr="00C55B44">
        <w:rPr>
          <w:rFonts w:asciiTheme="minorHAnsi" w:hAnsiTheme="minorHAnsi" w:cstheme="minorHAnsi"/>
        </w:rPr>
        <w:t>Data quality information for this indicator has been sourced from the Steering Committee’s report to the COAG Reform Council on the National Affordable Housing Agreement (data supplied by ABS), with additional Steering Committee comments.</w:t>
      </w:r>
    </w:p>
    <w:tbl>
      <w:tblPr>
        <w:tblW w:w="5000" w:type="pct"/>
        <w:tblCellMar>
          <w:left w:w="0" w:type="dxa"/>
          <w:right w:w="0" w:type="dxa"/>
        </w:tblCellMar>
        <w:tblLook w:val="0000" w:firstRow="0" w:lastRow="0" w:firstColumn="0" w:lastColumn="0" w:noHBand="0" w:noVBand="0"/>
        <w:tblDescription w:val="Indicator definition and description&#10;&#10;More details can be found within the text surrounding this image."/>
      </w:tblPr>
      <w:tblGrid>
        <w:gridCol w:w="1665"/>
        <w:gridCol w:w="7362"/>
      </w:tblGrid>
      <w:tr w:rsidR="00101653" w:rsidRPr="00C55B44" w:rsidTr="00101653">
        <w:tc>
          <w:tcPr>
            <w:tcW w:w="5000" w:type="pct"/>
            <w:gridSpan w:val="2"/>
          </w:tcPr>
          <w:p w:rsidR="00BB531B" w:rsidRPr="00C55B44" w:rsidRDefault="00BB531B" w:rsidP="007D0BFD">
            <w:pPr>
              <w:pStyle w:val="TableBodyText"/>
              <w:jc w:val="both"/>
              <w:rPr>
                <w:rFonts w:asciiTheme="minorHAnsi" w:hAnsiTheme="minorHAnsi" w:cstheme="minorHAnsi"/>
                <w:b/>
                <w:sz w:val="20"/>
                <w:u w:val="single"/>
              </w:rPr>
            </w:pPr>
          </w:p>
          <w:p w:rsidR="00101653" w:rsidRPr="00C55B44" w:rsidRDefault="00101653" w:rsidP="007D0BFD">
            <w:pPr>
              <w:pStyle w:val="TableBodyText"/>
              <w:jc w:val="both"/>
              <w:rPr>
                <w:rFonts w:asciiTheme="minorHAnsi" w:hAnsiTheme="minorHAnsi" w:cstheme="minorHAnsi"/>
                <w:sz w:val="20"/>
              </w:rPr>
            </w:pPr>
            <w:r w:rsidRPr="00C55B44">
              <w:rPr>
                <w:rFonts w:asciiTheme="minorHAnsi" w:hAnsiTheme="minorHAnsi" w:cstheme="minorHAnsi"/>
                <w:b/>
                <w:sz w:val="20"/>
                <w:u w:val="single"/>
              </w:rPr>
              <w:t>Indica</w:t>
            </w:r>
            <w:r w:rsidR="007D0BFD" w:rsidRPr="00C55B44">
              <w:rPr>
                <w:rFonts w:asciiTheme="minorHAnsi" w:hAnsiTheme="minorHAnsi" w:cstheme="minorHAnsi"/>
                <w:b/>
                <w:sz w:val="20"/>
                <w:u w:val="single"/>
              </w:rPr>
              <w:t xml:space="preserve">tor definition and description </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Element</w:t>
            </w:r>
          </w:p>
        </w:tc>
        <w:tc>
          <w:tcPr>
            <w:tcW w:w="4078" w:type="pct"/>
          </w:tcPr>
          <w:p w:rsidR="00730827" w:rsidRPr="00C55B44" w:rsidRDefault="0030756B"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Outcome</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Indicator</w:t>
            </w:r>
          </w:p>
        </w:tc>
        <w:tc>
          <w:tcPr>
            <w:tcW w:w="4078" w:type="pct"/>
          </w:tcPr>
          <w:p w:rsidR="00730827" w:rsidRPr="00C55B44" w:rsidRDefault="00D27589"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Proportion of l</w:t>
            </w:r>
            <w:r w:rsidR="0030756B" w:rsidRPr="00C55B44">
              <w:rPr>
                <w:rFonts w:asciiTheme="minorHAnsi" w:hAnsiTheme="minorHAnsi" w:cstheme="minorHAnsi"/>
                <w:sz w:val="20"/>
              </w:rPr>
              <w:t>ow income households in rental stress</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Measure (computation)</w:t>
            </w:r>
          </w:p>
        </w:tc>
        <w:tc>
          <w:tcPr>
            <w:tcW w:w="4078" w:type="pct"/>
          </w:tcPr>
          <w:p w:rsidR="0030756B" w:rsidRPr="00C55B44" w:rsidRDefault="0030756B"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u w:val="single"/>
              </w:rPr>
              <w:t>Numerator</w:t>
            </w:r>
            <w:r w:rsidRPr="00C55B44">
              <w:rPr>
                <w:rFonts w:asciiTheme="minorHAnsi" w:hAnsiTheme="minorHAnsi" w:cstheme="minorHAnsi"/>
                <w:sz w:val="20"/>
              </w:rPr>
              <w:t>: Number of low income households in rental stress</w:t>
            </w:r>
          </w:p>
          <w:p w:rsidR="00FC5421" w:rsidRPr="00C55B44" w:rsidRDefault="00FC5421" w:rsidP="00FE557C">
            <w:pPr>
              <w:autoSpaceDE w:val="0"/>
              <w:autoSpaceDN w:val="0"/>
              <w:adjustRightInd w:val="0"/>
              <w:spacing w:before="40" w:after="40"/>
              <w:rPr>
                <w:rFonts w:asciiTheme="minorHAnsi" w:hAnsiTheme="minorHAnsi" w:cstheme="minorHAnsi"/>
                <w:sz w:val="20"/>
                <w:szCs w:val="20"/>
              </w:rPr>
            </w:pPr>
            <w:r w:rsidRPr="00C55B44">
              <w:rPr>
                <w:rFonts w:asciiTheme="minorHAnsi" w:hAnsiTheme="minorHAnsi" w:cstheme="minorHAnsi"/>
                <w:sz w:val="20"/>
                <w:szCs w:val="20"/>
              </w:rPr>
              <w:t>For low income households, computation for numerator:</w:t>
            </w:r>
          </w:p>
          <w:p w:rsidR="00FC5421" w:rsidRPr="00C55B44" w:rsidRDefault="00FC5421" w:rsidP="00FE557C">
            <w:pPr>
              <w:pStyle w:val="TableBullet"/>
              <w:spacing w:before="40" w:line="240" w:lineRule="auto"/>
              <w:jc w:val="both"/>
              <w:rPr>
                <w:rFonts w:asciiTheme="minorHAnsi" w:hAnsiTheme="minorHAnsi" w:cstheme="minorHAnsi"/>
                <w:sz w:val="20"/>
              </w:rPr>
            </w:pPr>
            <w:r w:rsidRPr="00C55B44">
              <w:rPr>
                <w:rFonts w:asciiTheme="minorHAnsi" w:hAnsiTheme="minorHAnsi" w:cstheme="minorHAnsi"/>
                <w:sz w:val="20"/>
              </w:rPr>
              <w:t>Household income is gross household income, excluding Commonwealth Rent Assistance (CRA)</w:t>
            </w:r>
          </w:p>
          <w:p w:rsidR="00FC5421" w:rsidRPr="00C55B44" w:rsidRDefault="00FC5421" w:rsidP="00FE557C">
            <w:pPr>
              <w:pStyle w:val="TableBullet"/>
              <w:spacing w:before="40" w:line="240" w:lineRule="auto"/>
              <w:jc w:val="both"/>
              <w:rPr>
                <w:rFonts w:asciiTheme="minorHAnsi" w:hAnsiTheme="minorHAnsi" w:cstheme="minorHAnsi"/>
                <w:sz w:val="20"/>
              </w:rPr>
            </w:pPr>
            <w:r w:rsidRPr="00C55B44">
              <w:rPr>
                <w:rFonts w:asciiTheme="minorHAnsi" w:hAnsiTheme="minorHAnsi" w:cstheme="minorHAnsi"/>
                <w:sz w:val="20"/>
              </w:rPr>
              <w:t>Rental expenses is the amount paid in rent, plus any rates payments made by the tenant, less CRA or other ongoing rental assistance.</w:t>
            </w:r>
          </w:p>
          <w:p w:rsidR="00FC5421" w:rsidRPr="00C55B44" w:rsidRDefault="00FC5421" w:rsidP="00FE557C">
            <w:pPr>
              <w:pStyle w:val="TableBullet"/>
              <w:spacing w:before="40" w:line="240" w:lineRule="auto"/>
              <w:jc w:val="both"/>
              <w:rPr>
                <w:rFonts w:asciiTheme="minorHAnsi" w:hAnsiTheme="minorHAnsi" w:cstheme="minorHAnsi"/>
                <w:sz w:val="20"/>
                <w:u w:val="single"/>
              </w:rPr>
            </w:pPr>
            <w:r w:rsidRPr="00C55B44">
              <w:rPr>
                <w:rFonts w:asciiTheme="minorHAnsi" w:hAnsiTheme="minorHAnsi" w:cstheme="minorHAnsi"/>
                <w:sz w:val="20"/>
              </w:rPr>
              <w:t>Household is included in the numerator if weekly rent payments exceed 30 per cent of household income.</w:t>
            </w:r>
          </w:p>
          <w:p w:rsidR="0030756B" w:rsidRPr="00C55B44" w:rsidRDefault="0030756B"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u w:val="single"/>
              </w:rPr>
              <w:t>Denominator</w:t>
            </w:r>
            <w:r w:rsidRPr="00C55B44">
              <w:rPr>
                <w:rFonts w:asciiTheme="minorHAnsi" w:hAnsiTheme="minorHAnsi" w:cstheme="minorHAnsi"/>
                <w:sz w:val="20"/>
              </w:rPr>
              <w:t xml:space="preserve">: </w:t>
            </w:r>
            <w:r w:rsidR="00944D4A" w:rsidRPr="00C55B44">
              <w:rPr>
                <w:rFonts w:asciiTheme="minorHAnsi" w:hAnsiTheme="minorHAnsi" w:cstheme="minorHAnsi"/>
                <w:sz w:val="20"/>
              </w:rPr>
              <w:t>Total number of low income rental households, defined as being those households in the bottom two quintiles of equivalised disposable household income (excluding CRA or other rent assistance) calculated separately on a state by state and capital city balance of state basis.</w:t>
            </w:r>
          </w:p>
          <w:p w:rsidR="00730827" w:rsidRPr="00C55B44" w:rsidRDefault="0030756B"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u w:val="single"/>
              </w:rPr>
              <w:t>Computation</w:t>
            </w:r>
            <w:r w:rsidRPr="00C55B44">
              <w:rPr>
                <w:rFonts w:asciiTheme="minorHAnsi" w:hAnsiTheme="minorHAnsi" w:cstheme="minorHAnsi"/>
                <w:sz w:val="20"/>
              </w:rPr>
              <w:t>: Number of low income rental households in rental stress x 100</w:t>
            </w:r>
            <w:r w:rsidR="00D77F87" w:rsidRPr="00C55B44">
              <w:rPr>
                <w:rFonts w:asciiTheme="minorHAnsi" w:hAnsiTheme="minorHAnsi" w:cstheme="minorHAnsi"/>
                <w:sz w:val="20"/>
              </w:rPr>
              <w:t xml:space="preserve">, divided by </w:t>
            </w:r>
            <w:r w:rsidRPr="00C55B44">
              <w:rPr>
                <w:rFonts w:asciiTheme="minorHAnsi" w:hAnsiTheme="minorHAnsi" w:cstheme="minorHAnsi"/>
                <w:sz w:val="20"/>
              </w:rPr>
              <w:t xml:space="preserve">Total number of low income rental households. </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Data source/s</w:t>
            </w:r>
          </w:p>
        </w:tc>
        <w:tc>
          <w:tcPr>
            <w:tcW w:w="4078" w:type="pct"/>
          </w:tcPr>
          <w:p w:rsidR="00730827" w:rsidRPr="00C55B44" w:rsidRDefault="005167FD"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rPr>
              <w:t>Survey of Income and Housing (SIH</w:t>
            </w:r>
            <w:r w:rsidR="003C6BB7" w:rsidRPr="00C55B44">
              <w:rPr>
                <w:rFonts w:asciiTheme="minorHAnsi" w:hAnsiTheme="minorHAnsi" w:cstheme="minorHAnsi"/>
                <w:sz w:val="20"/>
              </w:rPr>
              <w:t>)</w:t>
            </w:r>
            <w:r w:rsidRPr="00C55B44">
              <w:rPr>
                <w:rFonts w:asciiTheme="minorHAnsi" w:hAnsiTheme="minorHAnsi" w:cstheme="minorHAnsi"/>
                <w:sz w:val="20"/>
              </w:rPr>
              <w:t>.</w:t>
            </w:r>
          </w:p>
        </w:tc>
      </w:tr>
      <w:tr w:rsidR="00730827" w:rsidRPr="00C55B44" w:rsidTr="00730827">
        <w:tc>
          <w:tcPr>
            <w:tcW w:w="5000" w:type="pct"/>
            <w:gridSpan w:val="2"/>
          </w:tcPr>
          <w:p w:rsidR="00404F8B" w:rsidRPr="00C55B44" w:rsidRDefault="00404F8B" w:rsidP="00FE557C">
            <w:pPr>
              <w:pStyle w:val="TableBodyText"/>
              <w:spacing w:before="40" w:line="240" w:lineRule="auto"/>
              <w:jc w:val="both"/>
              <w:rPr>
                <w:rFonts w:asciiTheme="minorHAnsi" w:hAnsiTheme="minorHAnsi" w:cstheme="minorHAnsi"/>
                <w:b/>
                <w:sz w:val="20"/>
                <w:u w:val="single"/>
              </w:rPr>
            </w:pPr>
          </w:p>
          <w:p w:rsidR="00730827" w:rsidRPr="00C55B44" w:rsidRDefault="00730827" w:rsidP="00FE557C">
            <w:pPr>
              <w:pStyle w:val="TableBodyText"/>
              <w:spacing w:before="40" w:line="240" w:lineRule="auto"/>
              <w:jc w:val="both"/>
              <w:rPr>
                <w:rFonts w:asciiTheme="minorHAnsi" w:hAnsiTheme="minorHAnsi" w:cstheme="minorHAnsi"/>
                <w:b/>
                <w:sz w:val="20"/>
                <w:u w:val="single"/>
              </w:rPr>
            </w:pPr>
            <w:r w:rsidRPr="00C55B44">
              <w:rPr>
                <w:rFonts w:asciiTheme="minorHAnsi" w:hAnsiTheme="minorHAnsi" w:cstheme="minorHAnsi"/>
                <w:b/>
                <w:sz w:val="20"/>
                <w:u w:val="single"/>
              </w:rPr>
              <w:t>Data Quality Framework Dimensions</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Institutional environment</w:t>
            </w:r>
          </w:p>
        </w:tc>
        <w:tc>
          <w:tcPr>
            <w:tcW w:w="4078" w:type="pct"/>
          </w:tcPr>
          <w:p w:rsidR="00730827" w:rsidRPr="00C55B44" w:rsidRDefault="00983A55"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For information on the institutional environment of the ABS, including the legislative obligations of the ABS, financing and governance arrangements, and mechanisms for scrutiny of ABS operations, please see ABS Institutional Environment</w:t>
            </w:r>
            <w:r w:rsidR="005167FD" w:rsidRPr="00C55B44">
              <w:rPr>
                <w:rFonts w:asciiTheme="minorHAnsi" w:hAnsiTheme="minorHAnsi" w:cstheme="minorHAnsi"/>
                <w:sz w:val="20"/>
              </w:rPr>
              <w:t>.</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Relevance</w:t>
            </w:r>
          </w:p>
        </w:tc>
        <w:tc>
          <w:tcPr>
            <w:tcW w:w="4078" w:type="pct"/>
          </w:tcPr>
          <w:p w:rsidR="00FC00C5" w:rsidRPr="00C55B44" w:rsidRDefault="00FC00C5" w:rsidP="00FE557C">
            <w:pPr>
              <w:pStyle w:val="TableBodyText"/>
              <w:spacing w:before="40" w:line="240" w:lineRule="auto"/>
              <w:jc w:val="left"/>
              <w:rPr>
                <w:rFonts w:asciiTheme="minorHAnsi" w:hAnsiTheme="minorHAnsi" w:cstheme="minorHAnsi"/>
                <w:sz w:val="20"/>
                <w:u w:val="single"/>
              </w:rPr>
            </w:pPr>
            <w:r w:rsidRPr="00C55B44">
              <w:rPr>
                <w:rFonts w:asciiTheme="minorHAnsi" w:hAnsiTheme="minorHAnsi" w:cstheme="minorHAnsi"/>
                <w:sz w:val="20"/>
                <w:u w:val="single"/>
              </w:rPr>
              <w:t>SIH</w:t>
            </w:r>
          </w:p>
          <w:p w:rsidR="00FC00C5" w:rsidRPr="00C55B44" w:rsidRDefault="00FC00C5"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 xml:space="preserve">The SIH collects data on the housing costs and income from usual residents of private dwellings in Australia. Rent payments, rates payments and CRA are separately identified. </w:t>
            </w:r>
          </w:p>
          <w:p w:rsidR="00FC00C5" w:rsidRPr="00C55B44" w:rsidRDefault="00FC00C5"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 xml:space="preserve">While the SIH does collect information on CRA, it does not separately identify other forms of ongoing rent assistance. </w:t>
            </w:r>
          </w:p>
          <w:p w:rsidR="00FC00C5" w:rsidRPr="00C55B44" w:rsidRDefault="00FC00C5"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The SIH excludes the 0.8</w:t>
            </w:r>
            <w:r w:rsidR="00054C8F">
              <w:rPr>
                <w:rFonts w:asciiTheme="minorHAnsi" w:hAnsiTheme="minorHAnsi" w:cstheme="minorHAnsi"/>
                <w:sz w:val="20"/>
              </w:rPr>
              <w:t xml:space="preserve"> per cent o</w:t>
            </w:r>
            <w:r w:rsidRPr="00C55B44">
              <w:rPr>
                <w:rFonts w:asciiTheme="minorHAnsi" w:hAnsiTheme="minorHAnsi" w:cstheme="minorHAnsi"/>
                <w:sz w:val="20"/>
              </w:rPr>
              <w:t>f the Australian population living in very remote areas. This exclusion impacts on comparability of data for the Northern Territory, where these people are around 23</w:t>
            </w:r>
            <w:r w:rsidR="00F11831">
              <w:rPr>
                <w:rFonts w:asciiTheme="minorHAnsi" w:hAnsiTheme="minorHAnsi" w:cstheme="minorHAnsi"/>
                <w:sz w:val="20"/>
              </w:rPr>
              <w:t xml:space="preserve"> per cent </w:t>
            </w:r>
            <w:r w:rsidRPr="00C55B44">
              <w:rPr>
                <w:rFonts w:asciiTheme="minorHAnsi" w:hAnsiTheme="minorHAnsi" w:cstheme="minorHAnsi"/>
                <w:sz w:val="20"/>
              </w:rPr>
              <w:t xml:space="preserve">of the population.  As a consequence of this exclusion, comparisons between </w:t>
            </w:r>
            <w:r w:rsidR="00BC2AF8" w:rsidRPr="00C55B44">
              <w:rPr>
                <w:rFonts w:asciiTheme="minorHAnsi" w:hAnsiTheme="minorHAnsi" w:cstheme="minorHAnsi"/>
                <w:sz w:val="20"/>
              </w:rPr>
              <w:t>Aboriginal and Torres Strait Islander</w:t>
            </w:r>
            <w:r w:rsidRPr="00C55B44">
              <w:rPr>
                <w:rFonts w:asciiTheme="minorHAnsi" w:hAnsiTheme="minorHAnsi" w:cstheme="minorHAnsi"/>
                <w:sz w:val="20"/>
              </w:rPr>
              <w:t xml:space="preserve"> and non-Indigenous people in remote areas are not available.</w:t>
            </w:r>
          </w:p>
          <w:p w:rsidR="003C6BB7" w:rsidRPr="00C55B44" w:rsidRDefault="00FC00C5" w:rsidP="00F11831">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The 11,290 renter households with nil or negative total income (0.9</w:t>
            </w:r>
            <w:r w:rsidR="00F11831">
              <w:rPr>
                <w:rFonts w:asciiTheme="minorHAnsi" w:hAnsiTheme="minorHAnsi" w:cstheme="minorHAnsi"/>
                <w:sz w:val="20"/>
              </w:rPr>
              <w:t xml:space="preserve"> per cent </w:t>
            </w:r>
            <w:r w:rsidRPr="00C55B44">
              <w:rPr>
                <w:rFonts w:asciiTheme="minorHAnsi" w:hAnsiTheme="minorHAnsi" w:cstheme="minorHAnsi"/>
                <w:sz w:val="20"/>
              </w:rPr>
              <w:t>of all low income renter households) have been included in the denominator but excluded from the numerator.</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Timeliness</w:t>
            </w:r>
          </w:p>
        </w:tc>
        <w:tc>
          <w:tcPr>
            <w:tcW w:w="4078" w:type="pct"/>
          </w:tcPr>
          <w:p w:rsidR="00730827" w:rsidRPr="00C55B44" w:rsidRDefault="00FC00C5"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rPr>
              <w:t>The biennial SIH is enumerated over a twelve month period to account for seasonal variability in its measures. Results for 2011-12 were released in July 2013</w:t>
            </w:r>
            <w:r w:rsidR="00D76509" w:rsidRPr="00C55B44">
              <w:rPr>
                <w:rFonts w:asciiTheme="minorHAnsi" w:hAnsiTheme="minorHAnsi" w:cstheme="minorHAnsi"/>
                <w:sz w:val="20"/>
              </w:rPr>
              <w:t>.</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lastRenderedPageBreak/>
              <w:t>Accuracy</w:t>
            </w:r>
          </w:p>
        </w:tc>
        <w:tc>
          <w:tcPr>
            <w:tcW w:w="4078" w:type="pct"/>
          </w:tcPr>
          <w:p w:rsidR="00FC00C5" w:rsidRPr="00C55B44" w:rsidRDefault="00FC00C5" w:rsidP="00FE557C">
            <w:pPr>
              <w:pStyle w:val="TableBodyText"/>
              <w:spacing w:before="40" w:line="240" w:lineRule="auto"/>
              <w:jc w:val="left"/>
              <w:rPr>
                <w:rFonts w:asciiTheme="minorHAnsi" w:hAnsiTheme="minorHAnsi" w:cstheme="minorHAnsi"/>
                <w:sz w:val="20"/>
                <w:u w:val="single"/>
              </w:rPr>
            </w:pPr>
            <w:r w:rsidRPr="00C55B44">
              <w:rPr>
                <w:rFonts w:asciiTheme="minorHAnsi" w:hAnsiTheme="minorHAnsi" w:cstheme="minorHAnsi"/>
                <w:sz w:val="20"/>
                <w:u w:val="single"/>
              </w:rPr>
              <w:t>SIH</w:t>
            </w:r>
          </w:p>
          <w:p w:rsidR="00FC00C5" w:rsidRPr="00C55B44" w:rsidRDefault="00FC00C5"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In 2011-12, the SIH sample size was decreased from 18,071 households in 2009-10 to 14,569 households in 2011-12.  The expansion of the 2009-10 sample for an extra 4,200 households located outside capital cities to better support COAG performance reporting was maintained. The additional pensioner sample of metropolitan households whose main source of income was a government pension benefit and / or allowance included in the 2009-10 SIH and HES samples to improve analysis for the Pensioner Beneficiary Living Cost Index was not maintained.</w:t>
            </w:r>
          </w:p>
          <w:p w:rsidR="00FC00C5" w:rsidRPr="00C55B44" w:rsidRDefault="00FC00C5"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The final sample on which estimates are based is composed of persons for which all necessary information is available. Of the selected dwellings, there were 18,298 in the scope of the survey, of which 14,569 (80</w:t>
            </w:r>
            <w:r w:rsidR="00F11831">
              <w:rPr>
                <w:rFonts w:asciiTheme="minorHAnsi" w:hAnsiTheme="minorHAnsi" w:cstheme="minorHAnsi"/>
                <w:sz w:val="20"/>
              </w:rPr>
              <w:t xml:space="preserve"> per cent</w:t>
            </w:r>
            <w:r w:rsidRPr="00C55B44">
              <w:rPr>
                <w:rFonts w:asciiTheme="minorHAnsi" w:hAnsiTheme="minorHAnsi" w:cstheme="minorHAnsi"/>
                <w:sz w:val="20"/>
              </w:rPr>
              <w:t>) were included as part of the final estimates.</w:t>
            </w:r>
          </w:p>
          <w:p w:rsidR="00FC00C5" w:rsidRPr="00C55B44" w:rsidRDefault="00FC00C5"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 xml:space="preserve">Most of the non-response was due to householders that were not able to be contacted. To account in part for non-response, SIH data are weighted by: state, part of state, age, sex, labour force status, number of households and household composition.  </w:t>
            </w:r>
          </w:p>
          <w:p w:rsidR="00730827" w:rsidRPr="00C55B44" w:rsidRDefault="00FC00C5" w:rsidP="00FE557C">
            <w:pPr>
              <w:pStyle w:val="TableBodyText"/>
              <w:spacing w:before="40" w:line="240" w:lineRule="auto"/>
              <w:jc w:val="left"/>
              <w:rPr>
                <w:rFonts w:asciiTheme="minorHAnsi" w:hAnsiTheme="minorHAnsi" w:cstheme="minorHAnsi"/>
                <w:sz w:val="20"/>
              </w:rPr>
            </w:pPr>
            <w:r w:rsidRPr="00C55B44">
              <w:rPr>
                <w:rFonts w:asciiTheme="minorHAnsi" w:hAnsiTheme="minorHAnsi" w:cstheme="minorHAnsi"/>
                <w:sz w:val="20"/>
              </w:rPr>
              <w:t>At the national level this Performance Indicator for 2011-12 has a relative standard error (RSE) of 3</w:t>
            </w:r>
            <w:r w:rsidR="00F11831">
              <w:rPr>
                <w:rFonts w:asciiTheme="minorHAnsi" w:hAnsiTheme="minorHAnsi" w:cstheme="minorHAnsi"/>
                <w:sz w:val="20"/>
              </w:rPr>
              <w:t xml:space="preserve"> per cent</w:t>
            </w:r>
            <w:r w:rsidRPr="00C55B44">
              <w:rPr>
                <w:rFonts w:asciiTheme="minorHAnsi" w:hAnsiTheme="minorHAnsi" w:cstheme="minorHAnsi"/>
                <w:sz w:val="20"/>
              </w:rPr>
              <w:t>.  RSEs are higher for state and territory measures, and for other disaggregations</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Coherence</w:t>
            </w:r>
          </w:p>
        </w:tc>
        <w:tc>
          <w:tcPr>
            <w:tcW w:w="4078" w:type="pct"/>
          </w:tcPr>
          <w:p w:rsidR="00FC00C5" w:rsidRPr="00C55B44" w:rsidRDefault="00FC00C5"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rPr>
              <w:t>The data items used to construct the measures are consistent between cycles within each data source and support assessment of change over time.</w:t>
            </w:r>
          </w:p>
          <w:p w:rsidR="00730827" w:rsidRPr="00C55B44" w:rsidRDefault="00FC00C5"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rPr>
              <w:t>In 2011-12, the ABS has taken steps to improve the quality of CRA data through modelling, based on eligibility criteria. Data for 2007-08, 2009-10 and 2011-12 have been calculated using the new method and consequently, data for 2007-08 and 2009-10 has been revised</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Accessibility</w:t>
            </w:r>
          </w:p>
        </w:tc>
        <w:tc>
          <w:tcPr>
            <w:tcW w:w="4078" w:type="pct"/>
          </w:tcPr>
          <w:p w:rsidR="00730827" w:rsidRPr="00C55B44" w:rsidRDefault="00FC00C5"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rPr>
              <w:t>The unit record data used to compile this measure are available to other users through the Confidentialised Unit Record File (CURFs) released by ABS.</w:t>
            </w:r>
          </w:p>
        </w:tc>
      </w:tr>
      <w:tr w:rsidR="00730827" w:rsidRPr="00C55B44" w:rsidTr="00DD3D61">
        <w:tc>
          <w:tcPr>
            <w:tcW w:w="922" w:type="pct"/>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Interpretability</w:t>
            </w:r>
          </w:p>
        </w:tc>
        <w:tc>
          <w:tcPr>
            <w:tcW w:w="4078" w:type="pct"/>
          </w:tcPr>
          <w:p w:rsidR="00730827" w:rsidRPr="00C55B44" w:rsidRDefault="00FC00C5"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rPr>
              <w:t>Information is available for both collections to aid interpretation of the data. See the Survey of Income and Housing, User Guide, Australia, 2011-12 on the ABS web site.</w:t>
            </w:r>
          </w:p>
        </w:tc>
      </w:tr>
      <w:tr w:rsidR="00730827" w:rsidRPr="00C55B44" w:rsidTr="00730827">
        <w:tc>
          <w:tcPr>
            <w:tcW w:w="5000" w:type="pct"/>
            <w:gridSpan w:val="2"/>
            <w:shd w:val="clear" w:color="auto" w:fill="auto"/>
          </w:tcPr>
          <w:p w:rsidR="00730827" w:rsidRPr="00C55B44" w:rsidRDefault="00730827" w:rsidP="00FE557C">
            <w:pPr>
              <w:pStyle w:val="TableBodyText"/>
              <w:spacing w:before="40" w:line="240" w:lineRule="auto"/>
              <w:jc w:val="left"/>
              <w:rPr>
                <w:rFonts w:asciiTheme="minorHAnsi" w:hAnsiTheme="minorHAnsi" w:cstheme="minorHAnsi"/>
                <w:b/>
                <w:sz w:val="20"/>
                <w:u w:val="single"/>
              </w:rPr>
            </w:pPr>
            <w:r w:rsidRPr="00C55B44">
              <w:rPr>
                <w:rFonts w:asciiTheme="minorHAnsi" w:hAnsiTheme="minorHAnsi" w:cstheme="minorHAnsi"/>
                <w:b/>
                <w:sz w:val="20"/>
                <w:u w:val="single"/>
              </w:rPr>
              <w:t>Data Gaps/Issues Analysis</w:t>
            </w:r>
          </w:p>
        </w:tc>
      </w:tr>
      <w:tr w:rsidR="00730827" w:rsidRPr="00C55B44" w:rsidTr="00DD3D61">
        <w:tc>
          <w:tcPr>
            <w:tcW w:w="922" w:type="pct"/>
            <w:shd w:val="clear" w:color="auto" w:fill="auto"/>
          </w:tcPr>
          <w:p w:rsidR="00730827" w:rsidRPr="00C55B44" w:rsidRDefault="00730827" w:rsidP="00FE557C">
            <w:pPr>
              <w:pStyle w:val="TableBodyText"/>
              <w:spacing w:before="40" w:line="240" w:lineRule="auto"/>
              <w:jc w:val="left"/>
              <w:rPr>
                <w:rFonts w:asciiTheme="minorHAnsi" w:hAnsiTheme="minorHAnsi" w:cstheme="minorHAnsi"/>
                <w:b/>
                <w:sz w:val="20"/>
              </w:rPr>
            </w:pPr>
            <w:r w:rsidRPr="00C55B44">
              <w:rPr>
                <w:rFonts w:asciiTheme="minorHAnsi" w:hAnsiTheme="minorHAnsi" w:cstheme="minorHAnsi"/>
                <w:b/>
                <w:sz w:val="20"/>
              </w:rPr>
              <w:t>Key data gaps/ issues</w:t>
            </w:r>
          </w:p>
        </w:tc>
        <w:tc>
          <w:tcPr>
            <w:tcW w:w="4078" w:type="pct"/>
            <w:shd w:val="clear" w:color="auto" w:fill="auto"/>
          </w:tcPr>
          <w:p w:rsidR="00730827" w:rsidRPr="00C55B44" w:rsidRDefault="00730827" w:rsidP="00FE557C">
            <w:pPr>
              <w:pStyle w:val="TableBodyText"/>
              <w:spacing w:before="40" w:line="240" w:lineRule="auto"/>
              <w:jc w:val="both"/>
              <w:rPr>
                <w:rFonts w:asciiTheme="minorHAnsi" w:hAnsiTheme="minorHAnsi" w:cstheme="minorHAnsi"/>
                <w:sz w:val="20"/>
              </w:rPr>
            </w:pPr>
            <w:r w:rsidRPr="00C55B44">
              <w:rPr>
                <w:rFonts w:asciiTheme="minorHAnsi" w:hAnsiTheme="minorHAnsi" w:cstheme="minorHAnsi"/>
                <w:sz w:val="20"/>
              </w:rPr>
              <w:t xml:space="preserve">The Steering Committee notes the following key data gaps/issues: </w:t>
            </w:r>
          </w:p>
          <w:p w:rsidR="007F2378" w:rsidRPr="00C55B44" w:rsidRDefault="007F2378" w:rsidP="00FE557C">
            <w:pPr>
              <w:pStyle w:val="TableBullet"/>
              <w:spacing w:before="40" w:line="240" w:lineRule="auto"/>
              <w:jc w:val="both"/>
              <w:rPr>
                <w:rFonts w:asciiTheme="minorHAnsi" w:hAnsiTheme="minorHAnsi" w:cstheme="minorHAnsi"/>
                <w:sz w:val="20"/>
              </w:rPr>
            </w:pPr>
            <w:r w:rsidRPr="00C55B44">
              <w:rPr>
                <w:rFonts w:asciiTheme="minorHAnsi" w:hAnsiTheme="minorHAnsi" w:cstheme="minorHAnsi"/>
                <w:sz w:val="20"/>
              </w:rPr>
              <w:t>SIH data are only available every two years. An assessment of the relative speed of change in results for this indicator is required to determine whether more regular data collection is necessary.</w:t>
            </w:r>
          </w:p>
          <w:p w:rsidR="007F2378" w:rsidRPr="00C55B44" w:rsidRDefault="007F2378" w:rsidP="00FE557C">
            <w:pPr>
              <w:pStyle w:val="TableBullet"/>
              <w:spacing w:before="40" w:line="240" w:lineRule="auto"/>
              <w:jc w:val="both"/>
              <w:rPr>
                <w:rFonts w:asciiTheme="minorHAnsi" w:hAnsiTheme="minorHAnsi" w:cstheme="minorHAnsi"/>
                <w:sz w:val="20"/>
              </w:rPr>
            </w:pPr>
            <w:r w:rsidRPr="00C55B44">
              <w:rPr>
                <w:rFonts w:asciiTheme="minorHAnsi" w:hAnsiTheme="minorHAnsi" w:cstheme="minorHAnsi"/>
                <w:sz w:val="20"/>
              </w:rPr>
              <w:t>The size of the RSEs mean that the data may not be adequate for measuring change over time for some disaggregations. Small year to year movements may be difficult to de</w:t>
            </w:r>
            <w:r w:rsidR="00500E95" w:rsidRPr="00C55B44">
              <w:rPr>
                <w:rFonts w:asciiTheme="minorHAnsi" w:hAnsiTheme="minorHAnsi" w:cstheme="minorHAnsi"/>
                <w:sz w:val="20"/>
              </w:rPr>
              <w:t>tect if the size of the RSEs is</w:t>
            </w:r>
            <w:r w:rsidRPr="00C55B44">
              <w:rPr>
                <w:rFonts w:asciiTheme="minorHAnsi" w:hAnsiTheme="minorHAnsi" w:cstheme="minorHAnsi"/>
                <w:sz w:val="20"/>
              </w:rPr>
              <w:t xml:space="preserve"> large compared to the size of the difference between estimates.</w:t>
            </w:r>
          </w:p>
          <w:p w:rsidR="007F2378" w:rsidRPr="00C55B44" w:rsidRDefault="007F2378" w:rsidP="00FE557C">
            <w:pPr>
              <w:pStyle w:val="TableBullet"/>
              <w:spacing w:before="40" w:line="240" w:lineRule="auto"/>
              <w:jc w:val="both"/>
              <w:rPr>
                <w:rFonts w:asciiTheme="minorHAnsi" w:hAnsiTheme="minorHAnsi" w:cstheme="minorHAnsi"/>
                <w:sz w:val="20"/>
              </w:rPr>
            </w:pPr>
            <w:r w:rsidRPr="00C55B44">
              <w:rPr>
                <w:rFonts w:asciiTheme="minorHAnsi" w:hAnsiTheme="minorHAnsi" w:cstheme="minorHAnsi"/>
                <w:sz w:val="20"/>
              </w:rPr>
              <w:t>Low income households in State or Territory housing authority dwellings have access to rebated rents and generally pay no more than 25 per cent of their assessable income in rent.</w:t>
            </w:r>
          </w:p>
          <w:p w:rsidR="00730827" w:rsidRPr="00C55B44" w:rsidRDefault="00910938" w:rsidP="00FE557C">
            <w:pPr>
              <w:pStyle w:val="TableBullet"/>
              <w:spacing w:before="40" w:line="240" w:lineRule="auto"/>
              <w:jc w:val="both"/>
              <w:rPr>
                <w:rFonts w:asciiTheme="minorHAnsi" w:hAnsiTheme="minorHAnsi" w:cstheme="minorHAnsi"/>
                <w:sz w:val="20"/>
              </w:rPr>
            </w:pPr>
            <w:r w:rsidRPr="00C55B44">
              <w:rPr>
                <w:rFonts w:asciiTheme="minorHAnsi" w:hAnsiTheme="minorHAnsi" w:cstheme="minorHAnsi"/>
                <w:sz w:val="20"/>
              </w:rPr>
              <w:t>The measures of low income households in rental stress produced by the SIH are a point in time measure and not designed to measure sustained rental stress. They would not include rent adjustments yet to be made by the state and territory housing authority</w:t>
            </w:r>
            <w:r w:rsidR="006B3370" w:rsidRPr="00C55B44">
              <w:rPr>
                <w:rFonts w:asciiTheme="minorHAnsi" w:hAnsiTheme="minorHAnsi" w:cstheme="minorHAnsi"/>
                <w:sz w:val="20"/>
              </w:rPr>
              <w:t>.</w:t>
            </w:r>
          </w:p>
        </w:tc>
      </w:tr>
    </w:tbl>
    <w:p w:rsidR="00B02671" w:rsidRPr="00C55B44" w:rsidRDefault="004E5241" w:rsidP="00B02671">
      <w:pPr>
        <w:keepNext/>
        <w:spacing w:before="120" w:line="320" w:lineRule="exact"/>
        <w:outlineLvl w:val="3"/>
        <w:rPr>
          <w:rFonts w:asciiTheme="minorHAnsi" w:hAnsiTheme="minorHAnsi" w:cstheme="minorHAnsi"/>
          <w:b/>
        </w:rPr>
      </w:pPr>
      <w:r w:rsidRPr="00C55B44">
        <w:rPr>
          <w:rFonts w:asciiTheme="minorHAnsi" w:hAnsiTheme="minorHAnsi" w:cstheme="minorHAnsi"/>
        </w:rPr>
        <w:br w:type="page"/>
      </w:r>
      <w:bookmarkStart w:id="11" w:name="_Toc278275743"/>
      <w:r w:rsidR="00B02671" w:rsidRPr="00C55B44">
        <w:rPr>
          <w:rFonts w:asciiTheme="minorHAnsi" w:hAnsiTheme="minorHAnsi" w:cstheme="minorHAnsi"/>
          <w:b/>
        </w:rPr>
        <w:lastRenderedPageBreak/>
        <w:t xml:space="preserve">Proportion of </w:t>
      </w:r>
      <w:r w:rsidR="00BC2AF8" w:rsidRPr="00C55B44">
        <w:rPr>
          <w:rFonts w:asciiTheme="minorHAnsi" w:hAnsiTheme="minorHAnsi" w:cstheme="minorHAnsi"/>
          <w:b/>
        </w:rPr>
        <w:t>Aboriginal and Torres Strait Islander</w:t>
      </w:r>
      <w:r w:rsidR="00B02671" w:rsidRPr="00C55B44">
        <w:rPr>
          <w:rFonts w:asciiTheme="minorHAnsi" w:hAnsiTheme="minorHAnsi" w:cstheme="minorHAnsi"/>
          <w:b/>
        </w:rPr>
        <w:t xml:space="preserve"> households l</w:t>
      </w:r>
      <w:r w:rsidR="00725526" w:rsidRPr="00C55B44">
        <w:rPr>
          <w:rFonts w:asciiTheme="minorHAnsi" w:hAnsiTheme="minorHAnsi" w:cstheme="minorHAnsi"/>
          <w:b/>
        </w:rPr>
        <w:t>iving in overcrowded conditions</w:t>
      </w:r>
    </w:p>
    <w:p w:rsidR="00B02671" w:rsidRPr="00C55B44" w:rsidRDefault="00B02671" w:rsidP="00B02671">
      <w:pPr>
        <w:rPr>
          <w:rFonts w:asciiTheme="minorHAnsi" w:hAnsiTheme="minorHAnsi" w:cstheme="minorHAnsi"/>
          <w:szCs w:val="20"/>
        </w:rPr>
      </w:pPr>
    </w:p>
    <w:tbl>
      <w:tblPr>
        <w:tblW w:w="9072" w:type="dxa"/>
        <w:tblInd w:w="108" w:type="dxa"/>
        <w:tblLayout w:type="fixed"/>
        <w:tblLook w:val="01E0" w:firstRow="1" w:lastRow="1" w:firstColumn="1" w:lastColumn="1" w:noHBand="0" w:noVBand="0"/>
      </w:tblPr>
      <w:tblGrid>
        <w:gridCol w:w="1701"/>
        <w:gridCol w:w="169"/>
        <w:gridCol w:w="7202"/>
      </w:tblGrid>
      <w:tr w:rsidR="00B02671" w:rsidRPr="00C55B44" w:rsidTr="00133BAF">
        <w:trPr>
          <w:trHeight w:val="660"/>
        </w:trPr>
        <w:tc>
          <w:tcPr>
            <w:tcW w:w="1701" w:type="dxa"/>
            <w:shd w:val="clear" w:color="auto" w:fill="auto"/>
          </w:tcPr>
          <w:p w:rsidR="00B02671" w:rsidRPr="00C55B44" w:rsidRDefault="00B02671" w:rsidP="003D7E65">
            <w:pPr>
              <w:keepLines/>
              <w:spacing w:before="120" w:after="120" w:line="220" w:lineRule="atLeast"/>
              <w:ind w:left="6"/>
              <w:rPr>
                <w:rFonts w:asciiTheme="minorHAnsi" w:hAnsiTheme="minorHAnsi" w:cstheme="minorHAnsi"/>
                <w:b/>
                <w:sz w:val="20"/>
                <w:szCs w:val="20"/>
              </w:rPr>
            </w:pPr>
            <w:r w:rsidRPr="00C55B44">
              <w:rPr>
                <w:rFonts w:asciiTheme="minorHAnsi" w:hAnsiTheme="minorHAnsi" w:cstheme="minorHAnsi"/>
                <w:b/>
                <w:sz w:val="20"/>
                <w:szCs w:val="20"/>
              </w:rPr>
              <w:t>Outcome:</w:t>
            </w:r>
          </w:p>
        </w:tc>
        <w:tc>
          <w:tcPr>
            <w:tcW w:w="7371" w:type="dxa"/>
            <w:gridSpan w:val="2"/>
            <w:shd w:val="clear" w:color="auto" w:fill="auto"/>
          </w:tcPr>
          <w:p w:rsidR="00B02671" w:rsidRPr="00C55B44" w:rsidRDefault="00BC2AF8" w:rsidP="003D7E65">
            <w:pPr>
              <w:keepNext/>
              <w:keepLines/>
              <w:spacing w:before="120" w:after="120" w:line="220" w:lineRule="atLeast"/>
              <w:ind w:right="113"/>
              <w:jc w:val="both"/>
              <w:rPr>
                <w:rFonts w:asciiTheme="minorHAnsi" w:hAnsiTheme="minorHAnsi" w:cstheme="minorHAnsi"/>
                <w:sz w:val="20"/>
                <w:szCs w:val="20"/>
              </w:rPr>
            </w:pPr>
            <w:r w:rsidRPr="00C55B44">
              <w:rPr>
                <w:rFonts w:asciiTheme="minorHAnsi" w:hAnsiTheme="minorHAnsi" w:cstheme="minorHAnsi"/>
                <w:sz w:val="20"/>
                <w:szCs w:val="20"/>
              </w:rPr>
              <w:t>Aboriginal and Torres Strait Islander</w:t>
            </w:r>
            <w:r w:rsidR="00B02671" w:rsidRPr="00C55B44">
              <w:rPr>
                <w:rFonts w:asciiTheme="minorHAnsi" w:hAnsiTheme="minorHAnsi" w:cstheme="minorHAnsi"/>
                <w:sz w:val="20"/>
                <w:szCs w:val="20"/>
              </w:rPr>
              <w:t xml:space="preserve"> people have improved housing amenity and reduced overcrowding, particularly in remote areas and discrete communities</w:t>
            </w:r>
          </w:p>
        </w:tc>
      </w:tr>
      <w:tr w:rsidR="00B02671" w:rsidRPr="00C55B44" w:rsidTr="00133BAF">
        <w:trPr>
          <w:trHeight w:val="711"/>
        </w:trPr>
        <w:tc>
          <w:tcPr>
            <w:tcW w:w="1701" w:type="dxa"/>
            <w:shd w:val="clear" w:color="auto" w:fill="auto"/>
          </w:tcPr>
          <w:p w:rsidR="00B02671" w:rsidRPr="00C55B44" w:rsidRDefault="00B02671" w:rsidP="003D7E65">
            <w:pPr>
              <w:keepLines/>
              <w:spacing w:before="120" w:after="120" w:line="220" w:lineRule="atLeast"/>
              <w:ind w:right="113"/>
              <w:rPr>
                <w:rFonts w:asciiTheme="minorHAnsi" w:hAnsiTheme="minorHAnsi" w:cstheme="minorHAnsi"/>
                <w:b/>
                <w:sz w:val="20"/>
                <w:szCs w:val="20"/>
              </w:rPr>
            </w:pPr>
            <w:r w:rsidRPr="00C55B44">
              <w:rPr>
                <w:rFonts w:asciiTheme="minorHAnsi" w:hAnsiTheme="minorHAnsi" w:cstheme="minorHAnsi"/>
                <w:b/>
                <w:sz w:val="20"/>
                <w:szCs w:val="20"/>
              </w:rPr>
              <w:t>Indicator:</w:t>
            </w:r>
          </w:p>
        </w:tc>
        <w:tc>
          <w:tcPr>
            <w:tcW w:w="7371" w:type="dxa"/>
            <w:gridSpan w:val="2"/>
            <w:shd w:val="clear" w:color="auto" w:fill="auto"/>
          </w:tcPr>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 xml:space="preserve">Proportion of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households that are living in overcrowded conditions.</w:t>
            </w:r>
          </w:p>
        </w:tc>
      </w:tr>
      <w:tr w:rsidR="00B02671" w:rsidRPr="00C55B44" w:rsidTr="00133BAF">
        <w:trPr>
          <w:trHeight w:val="1429"/>
        </w:trPr>
        <w:tc>
          <w:tcPr>
            <w:tcW w:w="1701" w:type="dxa"/>
            <w:shd w:val="clear" w:color="auto" w:fill="auto"/>
          </w:tcPr>
          <w:p w:rsidR="00B02671" w:rsidRPr="00C55B44" w:rsidRDefault="00B02671" w:rsidP="003D7E65">
            <w:pPr>
              <w:keepLines/>
              <w:spacing w:before="120" w:after="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Measure: (computation)</w:t>
            </w:r>
          </w:p>
        </w:tc>
        <w:tc>
          <w:tcPr>
            <w:tcW w:w="7371" w:type="dxa"/>
            <w:gridSpan w:val="2"/>
            <w:shd w:val="clear" w:color="auto" w:fill="auto"/>
          </w:tcPr>
          <w:p w:rsidR="00B02671" w:rsidRPr="00C55B44" w:rsidRDefault="00B02671" w:rsidP="003D7E65">
            <w:pPr>
              <w:keepNext/>
              <w:keepLines/>
              <w:spacing w:before="120" w:after="120" w:line="220" w:lineRule="atLeast"/>
              <w:ind w:left="6" w:right="113"/>
              <w:rPr>
                <w:rFonts w:asciiTheme="minorHAnsi" w:hAnsiTheme="minorHAnsi" w:cstheme="minorHAnsi"/>
                <w:sz w:val="20"/>
                <w:szCs w:val="20"/>
              </w:rPr>
            </w:pPr>
            <w:r w:rsidRPr="00C55B44">
              <w:rPr>
                <w:rFonts w:asciiTheme="minorHAnsi" w:hAnsiTheme="minorHAnsi" w:cstheme="minorHAnsi"/>
                <w:sz w:val="20"/>
                <w:szCs w:val="20"/>
              </w:rPr>
              <w:t>The measure is presented as a proportion and is defined as:</w:t>
            </w:r>
          </w:p>
          <w:p w:rsidR="00B02671" w:rsidRPr="00C55B44" w:rsidRDefault="00B02671" w:rsidP="003D7E65">
            <w:pPr>
              <w:keepNext/>
              <w:numPr>
                <w:ilvl w:val="0"/>
                <w:numId w:val="1"/>
              </w:numPr>
              <w:spacing w:before="120" w:after="120"/>
              <w:jc w:val="both"/>
              <w:rPr>
                <w:rFonts w:asciiTheme="minorHAnsi" w:hAnsiTheme="minorHAnsi" w:cstheme="minorHAnsi"/>
                <w:sz w:val="20"/>
                <w:szCs w:val="20"/>
              </w:rPr>
            </w:pPr>
            <w:r w:rsidRPr="00C55B44">
              <w:rPr>
                <w:rFonts w:asciiTheme="minorHAnsi" w:hAnsiTheme="minorHAnsi" w:cstheme="minorHAnsi"/>
                <w:i/>
                <w:sz w:val="20"/>
                <w:szCs w:val="20"/>
              </w:rPr>
              <w:t>numerator</w:t>
            </w:r>
            <w:r w:rsidRPr="00C55B44">
              <w:rPr>
                <w:rFonts w:asciiTheme="minorHAnsi" w:hAnsiTheme="minorHAnsi" w:cstheme="minorHAnsi"/>
                <w:sz w:val="20"/>
                <w:szCs w:val="20"/>
              </w:rPr>
              <w:t xml:space="preserve"> — number of overcrowded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households (calculated using the Canadian National Occupancy Standard)</w:t>
            </w:r>
          </w:p>
          <w:p w:rsidR="00B02671" w:rsidRPr="00C55B44" w:rsidRDefault="00B02671" w:rsidP="003D7E65">
            <w:pPr>
              <w:keepNext/>
              <w:numPr>
                <w:ilvl w:val="0"/>
                <w:numId w:val="1"/>
              </w:numPr>
              <w:spacing w:before="120" w:after="120"/>
              <w:jc w:val="both"/>
              <w:rPr>
                <w:rFonts w:asciiTheme="minorHAnsi" w:hAnsiTheme="minorHAnsi" w:cstheme="minorHAnsi"/>
                <w:sz w:val="20"/>
                <w:szCs w:val="20"/>
              </w:rPr>
            </w:pPr>
            <w:r w:rsidRPr="00C55B44">
              <w:rPr>
                <w:rFonts w:asciiTheme="minorHAnsi" w:hAnsiTheme="minorHAnsi" w:cstheme="minorHAnsi"/>
                <w:i/>
                <w:sz w:val="20"/>
                <w:szCs w:val="20"/>
              </w:rPr>
              <w:t>denominator</w:t>
            </w:r>
            <w:r w:rsidRPr="00C55B44">
              <w:rPr>
                <w:rFonts w:asciiTheme="minorHAnsi" w:hAnsiTheme="minorHAnsi" w:cstheme="minorHAnsi"/>
                <w:sz w:val="20"/>
                <w:szCs w:val="20"/>
              </w:rPr>
              <w:t xml:space="preserve"> — total number of all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households for which bedroom requirements and dwelling details are known</w:t>
            </w:r>
          </w:p>
        </w:tc>
      </w:tr>
      <w:tr w:rsidR="00B02671" w:rsidRPr="00C55B44" w:rsidTr="00133BAF">
        <w:trPr>
          <w:trHeight w:val="1467"/>
        </w:trPr>
        <w:tc>
          <w:tcPr>
            <w:tcW w:w="1701" w:type="dxa"/>
            <w:shd w:val="clear" w:color="auto" w:fill="auto"/>
          </w:tcPr>
          <w:p w:rsidR="00B02671" w:rsidRPr="00C55B44" w:rsidRDefault="00B02671" w:rsidP="003D7E65">
            <w:pPr>
              <w:keepLines/>
              <w:spacing w:before="120" w:after="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Data source/s</w:t>
            </w:r>
          </w:p>
        </w:tc>
        <w:tc>
          <w:tcPr>
            <w:tcW w:w="7371" w:type="dxa"/>
            <w:gridSpan w:val="2"/>
            <w:shd w:val="clear" w:color="auto" w:fill="auto"/>
          </w:tcPr>
          <w:p w:rsidR="00B02671" w:rsidRPr="00C55B44" w:rsidRDefault="00B02671" w:rsidP="003D7E65">
            <w:pPr>
              <w:pStyle w:val="TableBodyText"/>
              <w:jc w:val="both"/>
              <w:rPr>
                <w:rFonts w:asciiTheme="minorHAnsi" w:hAnsiTheme="minorHAnsi" w:cstheme="minorHAnsi"/>
                <w:b/>
                <w:i/>
                <w:sz w:val="20"/>
              </w:rPr>
            </w:pPr>
            <w:r w:rsidRPr="00C55B44">
              <w:rPr>
                <w:rFonts w:asciiTheme="minorHAnsi" w:hAnsiTheme="minorHAnsi" w:cstheme="minorHAnsi"/>
                <w:b/>
                <w:i/>
                <w:sz w:val="20"/>
              </w:rPr>
              <w:t>Public rental housing and SOMIH</w:t>
            </w:r>
          </w:p>
          <w:p w:rsidR="00B02671" w:rsidRPr="00C55B44" w:rsidRDefault="00B02671" w:rsidP="003D7E65">
            <w:pPr>
              <w:pStyle w:val="TableBodyText"/>
              <w:jc w:val="both"/>
              <w:rPr>
                <w:rFonts w:asciiTheme="minorHAnsi" w:hAnsiTheme="minorHAnsi" w:cstheme="minorHAnsi"/>
                <w:sz w:val="20"/>
              </w:rPr>
            </w:pPr>
            <w:r w:rsidRPr="00C55B44">
              <w:rPr>
                <w:rFonts w:asciiTheme="minorHAnsi" w:hAnsiTheme="minorHAnsi" w:cstheme="minorHAnsi"/>
                <w:sz w:val="20"/>
              </w:rPr>
              <w:t>Data sets are provided annually to the AIHW by jurisdictions. The data contain information about public rental and SOMIH dwellings, households assisted and households on the waitlist, during the previous financial year and as at 30 June, and are drawn from administrative data held by the jurisdictions. The latest data are for the 2013-14 collection year.</w:t>
            </w:r>
          </w:p>
          <w:p w:rsidR="00B02671" w:rsidRPr="00C55B44" w:rsidRDefault="00B02671" w:rsidP="003D7E65">
            <w:pPr>
              <w:pStyle w:val="TableBodyText"/>
              <w:jc w:val="both"/>
              <w:rPr>
                <w:rFonts w:asciiTheme="minorHAnsi" w:hAnsiTheme="minorHAnsi" w:cstheme="minorHAnsi"/>
                <w:sz w:val="20"/>
              </w:rPr>
            </w:pPr>
            <w:r w:rsidRPr="00C55B44">
              <w:rPr>
                <w:rFonts w:asciiTheme="minorHAnsi" w:hAnsiTheme="minorHAnsi" w:cstheme="minorHAnsi"/>
                <w:b/>
                <w:i/>
                <w:sz w:val="20"/>
              </w:rPr>
              <w:t>Mainstream community housing</w:t>
            </w:r>
            <w:r w:rsidRPr="00C55B44">
              <w:rPr>
                <w:rFonts w:asciiTheme="minorHAnsi" w:hAnsiTheme="minorHAnsi" w:cstheme="minorHAnsi"/>
                <w:sz w:val="20"/>
              </w:rPr>
              <w:t xml:space="preserve"> </w:t>
            </w:r>
          </w:p>
          <w:p w:rsidR="00B02671" w:rsidRPr="00C55B44" w:rsidRDefault="00B02671" w:rsidP="003D7E65">
            <w:pPr>
              <w:pStyle w:val="TableBodyText"/>
              <w:jc w:val="both"/>
              <w:rPr>
                <w:rFonts w:asciiTheme="minorHAnsi" w:hAnsiTheme="minorHAnsi" w:cstheme="minorHAnsi"/>
                <w:b/>
                <w:i/>
                <w:color w:val="808080" w:themeColor="background1" w:themeShade="80"/>
                <w:sz w:val="20"/>
              </w:rPr>
            </w:pPr>
            <w:r w:rsidRPr="00C55B44">
              <w:rPr>
                <w:rFonts w:asciiTheme="minorHAnsi" w:hAnsiTheme="minorHAnsi" w:cstheme="minorHAnsi"/>
                <w:sz w:val="20"/>
              </w:rPr>
              <w:t>Data are provided annually to the AIHW by jurisdictions and are sourced from community housing organisations via a survey and from the jurisdiction’s administrative systems. The annual data collection captures information about community housing organisations, the dwellings and tenancy rental units they manage, households on the waiting list, and the tenants and households assisted. Limited financial information from the previous financial year is also collected.</w:t>
            </w:r>
          </w:p>
          <w:p w:rsidR="00B02671" w:rsidRPr="00C55B44" w:rsidRDefault="00B02671" w:rsidP="003D7E65">
            <w:pPr>
              <w:pStyle w:val="TableBodyText"/>
              <w:jc w:val="both"/>
              <w:rPr>
                <w:rFonts w:asciiTheme="minorHAnsi" w:hAnsiTheme="minorHAnsi" w:cstheme="minorHAnsi"/>
                <w:sz w:val="20"/>
              </w:rPr>
            </w:pPr>
            <w:r w:rsidRPr="00C55B44">
              <w:rPr>
                <w:rFonts w:asciiTheme="minorHAnsi" w:hAnsiTheme="minorHAnsi" w:cstheme="minorHAnsi"/>
                <w:b/>
                <w:i/>
                <w:sz w:val="20"/>
              </w:rPr>
              <w:t>Indigenous community housing</w:t>
            </w:r>
            <w:r w:rsidRPr="00C55B44">
              <w:rPr>
                <w:rFonts w:asciiTheme="minorHAnsi" w:hAnsiTheme="minorHAnsi" w:cstheme="minorHAnsi"/>
                <w:sz w:val="20"/>
              </w:rPr>
              <w:t xml:space="preserve"> </w:t>
            </w:r>
          </w:p>
          <w:p w:rsidR="00B02671" w:rsidRPr="00C55B44" w:rsidRDefault="00B02671" w:rsidP="003D7E65">
            <w:pPr>
              <w:pStyle w:val="TableBodyText"/>
              <w:jc w:val="both"/>
              <w:rPr>
                <w:rFonts w:asciiTheme="minorHAnsi" w:hAnsiTheme="minorHAnsi" w:cstheme="minorHAnsi"/>
                <w:sz w:val="20"/>
              </w:rPr>
            </w:pPr>
            <w:r w:rsidRPr="00C55B44">
              <w:rPr>
                <w:rFonts w:asciiTheme="minorHAnsi" w:hAnsiTheme="minorHAnsi" w:cstheme="minorHAnsi"/>
                <w:sz w:val="20"/>
              </w:rPr>
              <w:t xml:space="preserve">Data are provided annually to the AIHW by jurisdictions and are sourced from administrative data held by jurisdictional funding bodies as well as survey data from Indigenous Community Housing Organisations (ICHOs). </w:t>
            </w:r>
          </w:p>
          <w:p w:rsidR="00B02671" w:rsidRPr="00C55B44" w:rsidRDefault="00B02671" w:rsidP="003D7E65">
            <w:pPr>
              <w:keepNext/>
              <w:keepLines/>
              <w:spacing w:before="120" w:after="120" w:line="220" w:lineRule="atLeast"/>
              <w:ind w:left="6" w:right="113"/>
              <w:jc w:val="both"/>
              <w:rPr>
                <w:rFonts w:asciiTheme="minorHAnsi" w:hAnsiTheme="minorHAnsi" w:cstheme="minorHAnsi"/>
                <w:b/>
                <w:sz w:val="20"/>
                <w:szCs w:val="20"/>
              </w:rPr>
            </w:pPr>
            <w:r w:rsidRPr="00C55B44">
              <w:rPr>
                <w:rFonts w:asciiTheme="minorHAnsi" w:hAnsiTheme="minorHAnsi" w:cstheme="minorHAnsi"/>
                <w:sz w:val="20"/>
                <w:szCs w:val="20"/>
              </w:rPr>
              <w:t>The annual data collection captures information about ICHOs, the dwellings they manage and the households assisted at 30 June. Financial information is for the year ending 30 June. The latest data are for the 2012-14 collection year.</w:t>
            </w:r>
          </w:p>
        </w:tc>
      </w:tr>
      <w:tr w:rsidR="00B02671" w:rsidRPr="00C55B44" w:rsidTr="00133BAF">
        <w:trPr>
          <w:trHeight w:val="2620"/>
        </w:trPr>
        <w:tc>
          <w:tcPr>
            <w:tcW w:w="1701" w:type="dxa"/>
            <w:shd w:val="clear" w:color="auto" w:fill="auto"/>
          </w:tcPr>
          <w:p w:rsidR="00B02671" w:rsidRPr="00C55B44" w:rsidRDefault="00B02671" w:rsidP="003D7E65">
            <w:pPr>
              <w:keepLines/>
              <w:spacing w:before="120" w:after="120" w:line="220" w:lineRule="atLeast"/>
              <w:ind w:left="6" w:right="-147"/>
              <w:rPr>
                <w:rFonts w:asciiTheme="minorHAnsi" w:hAnsiTheme="minorHAnsi" w:cstheme="minorHAnsi"/>
                <w:b/>
                <w:sz w:val="20"/>
                <w:szCs w:val="20"/>
              </w:rPr>
            </w:pPr>
            <w:r w:rsidRPr="00C55B44">
              <w:rPr>
                <w:rFonts w:asciiTheme="minorHAnsi" w:hAnsiTheme="minorHAnsi" w:cstheme="minorHAnsi"/>
                <w:b/>
                <w:sz w:val="20"/>
                <w:szCs w:val="20"/>
              </w:rPr>
              <w:t>Institutional environment</w:t>
            </w:r>
          </w:p>
        </w:tc>
        <w:tc>
          <w:tcPr>
            <w:tcW w:w="7371" w:type="dxa"/>
            <w:gridSpan w:val="2"/>
            <w:shd w:val="clear" w:color="auto" w:fill="auto"/>
          </w:tcPr>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 xml:space="preserve">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AIHW website (www.aihw.gov.au).  </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B02671" w:rsidRPr="00C55B44" w:rsidTr="00133BAF">
        <w:trPr>
          <w:trHeight w:val="1418"/>
        </w:trPr>
        <w:tc>
          <w:tcPr>
            <w:tcW w:w="1701" w:type="dxa"/>
            <w:shd w:val="clear" w:color="auto" w:fill="auto"/>
          </w:tcPr>
          <w:p w:rsidR="00B02671" w:rsidRPr="00C55B44" w:rsidRDefault="00B02671" w:rsidP="003D7E65">
            <w:pPr>
              <w:keepLines/>
              <w:spacing w:before="120" w:after="120" w:line="220" w:lineRule="atLeast"/>
              <w:ind w:left="6"/>
              <w:rPr>
                <w:rFonts w:asciiTheme="minorHAnsi" w:hAnsiTheme="minorHAnsi" w:cstheme="minorHAnsi"/>
                <w:b/>
                <w:sz w:val="20"/>
                <w:szCs w:val="20"/>
              </w:rPr>
            </w:pPr>
            <w:r w:rsidRPr="00C55B44">
              <w:rPr>
                <w:rFonts w:asciiTheme="minorHAnsi" w:hAnsiTheme="minorHAnsi" w:cstheme="minorHAnsi"/>
                <w:b/>
                <w:sz w:val="20"/>
                <w:szCs w:val="20"/>
              </w:rPr>
              <w:lastRenderedPageBreak/>
              <w:t>Relevance</w:t>
            </w:r>
          </w:p>
        </w:tc>
        <w:tc>
          <w:tcPr>
            <w:tcW w:w="7371" w:type="dxa"/>
            <w:gridSpan w:val="2"/>
            <w:shd w:val="clear" w:color="auto" w:fill="auto"/>
          </w:tcPr>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Public rental housing and SOMIH</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The data collected are an administrative by-product of the management of public rental housing and SOMIH programs run by the jurisdictions and conform well in terms of scope, coverage and reference period.</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Mainstream community housing</w:t>
            </w:r>
          </w:p>
          <w:p w:rsidR="00B02671" w:rsidRPr="00C55B44" w:rsidRDefault="00B02671" w:rsidP="003D7E65">
            <w:pPr>
              <w:keepNext/>
              <w:keepLines/>
              <w:tabs>
                <w:tab w:val="left" w:pos="1455"/>
              </w:tabs>
              <w:spacing w:after="4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 xml:space="preserve">Community housing dwellings include all tenancy (rental) units under management of a community housing organisation (excluding dwellings managed by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community housing organisations, State Housing Authorities or Specialist Homelessness Service agencies). Additional jurisdiction-specific inclusions and exclusions also apply.</w:t>
            </w:r>
          </w:p>
          <w:p w:rsidR="00B02671" w:rsidRPr="00C55B44" w:rsidRDefault="00B02671" w:rsidP="003D7E65">
            <w:pPr>
              <w:keepNext/>
              <w:keepLines/>
              <w:tabs>
                <w:tab w:val="left" w:pos="1455"/>
              </w:tabs>
              <w:spacing w:after="4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The data collected by the jurisdictions conform well in terms of reference period; however, due to the jurisdiction-specific inclusions and exclusions, the data does not conform well in terms of organisation coverage and reporting.</w:t>
            </w:r>
          </w:p>
          <w:p w:rsidR="00B02671" w:rsidRPr="00C55B44" w:rsidRDefault="00B02671" w:rsidP="003D7E65">
            <w:pPr>
              <w:pStyle w:val="TableBodyText"/>
              <w:jc w:val="both"/>
              <w:rPr>
                <w:rFonts w:asciiTheme="minorHAnsi" w:hAnsiTheme="minorHAnsi" w:cstheme="minorHAnsi"/>
                <w:sz w:val="20"/>
              </w:rPr>
            </w:pPr>
            <w:r w:rsidRPr="00C55B44">
              <w:rPr>
                <w:rFonts w:asciiTheme="minorHAnsi" w:hAnsiTheme="minorHAnsi" w:cstheme="minorHAnsi"/>
                <w:sz w:val="20"/>
              </w:rPr>
              <w:t>Not all data items required are available for all households. Only households with complete information have been included in the calculation.</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Indigenous Community Housing</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 xml:space="preserve">Includes all dwellings targeted to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people that are managed by an ICHO. ICHOs include community organisations such as resource agencies and land councils, which have a range of functions, provided that they manage housing for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people.</w:t>
            </w:r>
          </w:p>
        </w:tc>
      </w:tr>
      <w:tr w:rsidR="00B02671" w:rsidRPr="00C55B44" w:rsidTr="00133BAF">
        <w:trPr>
          <w:trHeight w:val="1014"/>
        </w:trPr>
        <w:tc>
          <w:tcPr>
            <w:tcW w:w="1701" w:type="dxa"/>
            <w:shd w:val="clear" w:color="auto" w:fill="auto"/>
          </w:tcPr>
          <w:p w:rsidR="00B02671" w:rsidRPr="00C55B44" w:rsidRDefault="00B02671" w:rsidP="003D7E65">
            <w:pPr>
              <w:keepLines/>
              <w:tabs>
                <w:tab w:val="left" w:pos="1056"/>
              </w:tabs>
              <w:spacing w:before="120" w:after="120" w:line="220" w:lineRule="atLeast"/>
              <w:ind w:left="6"/>
              <w:rPr>
                <w:rFonts w:asciiTheme="minorHAnsi" w:hAnsiTheme="minorHAnsi" w:cstheme="minorHAnsi"/>
                <w:b/>
                <w:sz w:val="20"/>
                <w:szCs w:val="20"/>
              </w:rPr>
            </w:pPr>
            <w:r w:rsidRPr="00C55B44">
              <w:rPr>
                <w:rFonts w:asciiTheme="minorHAnsi" w:hAnsiTheme="minorHAnsi" w:cstheme="minorHAnsi"/>
                <w:b/>
                <w:sz w:val="20"/>
                <w:szCs w:val="20"/>
              </w:rPr>
              <w:t>Timeliness</w:t>
            </w:r>
          </w:p>
        </w:tc>
        <w:tc>
          <w:tcPr>
            <w:tcW w:w="7371" w:type="dxa"/>
            <w:gridSpan w:val="2"/>
            <w:shd w:val="clear" w:color="auto" w:fill="auto"/>
          </w:tcPr>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Public rental housing, SOMIH and mainstream community housing</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Data are collected annually. The reference period for this indicator is 30 June 2014 for public rental housing, SOMIH and mainstream community housing.</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Indigenous Community Housing</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The reference period for this collection is the 2012–13 financial year and is mostly a 30 June 2013 snapshot, but also captures 2011–12 household activity. The most recent data available are for 2011–12.</w:t>
            </w:r>
          </w:p>
        </w:tc>
      </w:tr>
      <w:tr w:rsidR="00B02671" w:rsidRPr="00C55B44" w:rsidTr="00133BAF">
        <w:trPr>
          <w:trHeight w:val="483"/>
        </w:trPr>
        <w:tc>
          <w:tcPr>
            <w:tcW w:w="1701" w:type="dxa"/>
            <w:shd w:val="clear" w:color="auto" w:fill="auto"/>
          </w:tcPr>
          <w:p w:rsidR="00B02671" w:rsidRPr="00C55B44" w:rsidRDefault="00B02671" w:rsidP="003D7E65">
            <w:pPr>
              <w:keepLines/>
              <w:tabs>
                <w:tab w:val="left" w:pos="1056"/>
              </w:tabs>
              <w:spacing w:before="120" w:after="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Accuracy</w:t>
            </w:r>
          </w:p>
        </w:tc>
        <w:tc>
          <w:tcPr>
            <w:tcW w:w="7371" w:type="dxa"/>
            <w:gridSpan w:val="2"/>
            <w:shd w:val="clear" w:color="auto" w:fill="auto"/>
          </w:tcPr>
          <w:p w:rsidR="00B02671" w:rsidRPr="00C55B44" w:rsidRDefault="00B24B06" w:rsidP="003D7E65">
            <w:pPr>
              <w:keepNext/>
              <w:keepLines/>
              <w:spacing w:before="120" w:after="120" w:line="220" w:lineRule="atLeast"/>
              <w:ind w:left="6" w:right="113"/>
              <w:jc w:val="both"/>
              <w:rPr>
                <w:rFonts w:asciiTheme="minorHAnsi" w:hAnsiTheme="minorHAnsi" w:cstheme="minorHAnsi"/>
                <w:sz w:val="20"/>
                <w:szCs w:val="20"/>
              </w:rPr>
            </w:pPr>
            <w:r>
              <w:rPr>
                <w:rFonts w:asciiTheme="minorHAnsi" w:hAnsiTheme="minorHAnsi" w:cstheme="minorHAnsi"/>
                <w:sz w:val="20"/>
                <w:szCs w:val="20"/>
              </w:rPr>
              <w:t xml:space="preserve">There are some </w:t>
            </w:r>
            <w:r w:rsidR="00B02671" w:rsidRPr="00C55B44">
              <w:rPr>
                <w:rFonts w:asciiTheme="minorHAnsi" w:hAnsiTheme="minorHAnsi" w:cstheme="minorHAnsi"/>
                <w:sz w:val="20"/>
                <w:szCs w:val="20"/>
              </w:rPr>
              <w:t>accuracy issues with the data collected:</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Public rental housing and SOMIH</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The administrative data sets from which this collection is drawn have inaccuracies to varying degrees including missing data, out-of-date data and data coding or recording errors.</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Not all data items required are available for all households, in particular multiple-family households. In these cases, the single/couple status of household members may be derived based on information that is available including household composition and age. Only households with complete information have been included in the calculation.</w:t>
            </w:r>
          </w:p>
          <w:p w:rsidR="00B02671" w:rsidRPr="00C55B44" w:rsidRDefault="00B02671" w:rsidP="003D7E65">
            <w:pPr>
              <w:keepNext/>
              <w:keepLines/>
              <w:spacing w:before="120" w:after="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Public rental housing exclusions</w:t>
            </w:r>
          </w:p>
          <w:tbl>
            <w:tblPr>
              <w:tblW w:w="7196" w:type="dxa"/>
              <w:tblLayout w:type="fixed"/>
              <w:tblLook w:val="01E0" w:firstRow="1" w:lastRow="1" w:firstColumn="1" w:lastColumn="1" w:noHBand="0" w:noVBand="0"/>
            </w:tblPr>
            <w:tblGrid>
              <w:gridCol w:w="1384"/>
              <w:gridCol w:w="851"/>
              <w:gridCol w:w="708"/>
              <w:gridCol w:w="709"/>
              <w:gridCol w:w="709"/>
              <w:gridCol w:w="709"/>
              <w:gridCol w:w="708"/>
              <w:gridCol w:w="709"/>
              <w:gridCol w:w="709"/>
            </w:tblGrid>
            <w:tr w:rsidR="00B02671" w:rsidRPr="00C55B44" w:rsidTr="00B02671">
              <w:tc>
                <w:tcPr>
                  <w:tcW w:w="1384" w:type="dxa"/>
                  <w:tcBorders>
                    <w:top w:val="single" w:sz="4" w:space="0" w:color="auto"/>
                    <w:bottom w:val="single" w:sz="4" w:space="0" w:color="auto"/>
                  </w:tcBorders>
                </w:tcPr>
                <w:p w:rsidR="00B02671" w:rsidRPr="00C55B44" w:rsidRDefault="00B02671" w:rsidP="003D7E65">
                  <w:pPr>
                    <w:pStyle w:val="StyleTableFigSourcesfootnotesBlackBefore3ptAfter"/>
                    <w:rPr>
                      <w:rFonts w:asciiTheme="minorHAnsi" w:hAnsiTheme="minorHAnsi" w:cstheme="minorHAnsi"/>
                      <w:b/>
                      <w:snapToGrid w:val="0"/>
                      <w:sz w:val="20"/>
                    </w:rPr>
                  </w:pPr>
                  <w:r w:rsidRPr="00C55B44">
                    <w:rPr>
                      <w:rFonts w:asciiTheme="minorHAnsi" w:hAnsiTheme="minorHAnsi" w:cstheme="minorHAnsi"/>
                      <w:b/>
                      <w:snapToGrid w:val="0"/>
                      <w:sz w:val="20"/>
                    </w:rPr>
                    <w:t> PH</w:t>
                  </w:r>
                </w:p>
              </w:tc>
              <w:tc>
                <w:tcPr>
                  <w:tcW w:w="851"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NSW</w:t>
                  </w:r>
                </w:p>
              </w:tc>
              <w:tc>
                <w:tcPr>
                  <w:tcW w:w="708"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Vic</w:t>
                  </w:r>
                </w:p>
              </w:tc>
              <w:tc>
                <w:tcPr>
                  <w:tcW w:w="709"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Qld</w:t>
                  </w:r>
                </w:p>
              </w:tc>
              <w:tc>
                <w:tcPr>
                  <w:tcW w:w="709"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WA</w:t>
                  </w:r>
                </w:p>
              </w:tc>
              <w:tc>
                <w:tcPr>
                  <w:tcW w:w="709"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SA</w:t>
                  </w:r>
                </w:p>
              </w:tc>
              <w:tc>
                <w:tcPr>
                  <w:tcW w:w="708"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Tas</w:t>
                  </w:r>
                </w:p>
              </w:tc>
              <w:tc>
                <w:tcPr>
                  <w:tcW w:w="709"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snapToGrid w:val="0"/>
                      <w:sz w:val="20"/>
                    </w:rPr>
                  </w:pPr>
                  <w:r w:rsidRPr="00C55B44">
                    <w:rPr>
                      <w:rFonts w:asciiTheme="minorHAnsi" w:hAnsiTheme="minorHAnsi" w:cstheme="minorHAnsi"/>
                      <w:snapToGrid w:val="0"/>
                      <w:sz w:val="20"/>
                    </w:rPr>
                    <w:t>ACT</w:t>
                  </w:r>
                </w:p>
              </w:tc>
              <w:tc>
                <w:tcPr>
                  <w:tcW w:w="709"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snapToGrid w:val="0"/>
                      <w:sz w:val="20"/>
                    </w:rPr>
                  </w:pPr>
                  <w:r w:rsidRPr="00C55B44">
                    <w:rPr>
                      <w:rFonts w:asciiTheme="minorHAnsi" w:hAnsiTheme="minorHAnsi" w:cstheme="minorHAnsi"/>
                      <w:snapToGrid w:val="0"/>
                      <w:sz w:val="20"/>
                    </w:rPr>
                    <w:t>NT</w:t>
                  </w:r>
                </w:p>
              </w:tc>
            </w:tr>
            <w:tr w:rsidR="00B02671" w:rsidRPr="00C55B44" w:rsidTr="00D56338">
              <w:tc>
                <w:tcPr>
                  <w:tcW w:w="1384" w:type="dxa"/>
                  <w:vAlign w:val="bottom"/>
                </w:tcPr>
                <w:p w:rsidR="00B02671" w:rsidRPr="00C55B44" w:rsidRDefault="00B02671" w:rsidP="003D7E65">
                  <w:pPr>
                    <w:pStyle w:val="StyleTableFigSourcesfootnotesBlackBefore3ptAfter"/>
                    <w:rPr>
                      <w:rFonts w:asciiTheme="minorHAnsi" w:hAnsiTheme="minorHAnsi" w:cstheme="minorHAnsi"/>
                      <w:snapToGrid w:val="0"/>
                      <w:sz w:val="20"/>
                    </w:rPr>
                  </w:pPr>
                  <w:r w:rsidRPr="00C55B44">
                    <w:rPr>
                      <w:rFonts w:asciiTheme="minorHAnsi" w:hAnsiTheme="minorHAnsi" w:cstheme="minorHAnsi"/>
                      <w:snapToGrid w:val="0"/>
                      <w:sz w:val="20"/>
                    </w:rPr>
                    <w:t>Total ongoing households</w:t>
                  </w:r>
                </w:p>
              </w:tc>
              <w:tc>
                <w:tcPr>
                  <w:tcW w:w="851" w:type="dxa"/>
                  <w:vAlign w:val="center"/>
                </w:tcPr>
                <w:p w:rsidR="00B02671" w:rsidRPr="005C646B" w:rsidRDefault="00B02671" w:rsidP="00D56338">
                  <w:pPr>
                    <w:jc w:val="center"/>
                    <w:rPr>
                      <w:rFonts w:asciiTheme="minorHAnsi" w:hAnsiTheme="minorHAnsi" w:cstheme="minorHAnsi"/>
                      <w:sz w:val="16"/>
                      <w:szCs w:val="16"/>
                    </w:rPr>
                  </w:pPr>
                  <w:r w:rsidRPr="005C646B">
                    <w:rPr>
                      <w:rFonts w:asciiTheme="minorHAnsi" w:hAnsiTheme="minorHAnsi" w:cstheme="minorHAnsi"/>
                      <w:sz w:val="16"/>
                      <w:szCs w:val="16"/>
                    </w:rPr>
                    <w:t>109,370</w:t>
                  </w:r>
                </w:p>
              </w:tc>
              <w:tc>
                <w:tcPr>
                  <w:tcW w:w="708" w:type="dxa"/>
                  <w:vAlign w:val="center"/>
                </w:tcPr>
                <w:p w:rsidR="00B02671" w:rsidRPr="005C646B" w:rsidRDefault="00B02671" w:rsidP="00D56338">
                  <w:pPr>
                    <w:jc w:val="center"/>
                    <w:rPr>
                      <w:rFonts w:asciiTheme="minorHAnsi" w:hAnsiTheme="minorHAnsi" w:cstheme="minorHAnsi"/>
                      <w:sz w:val="16"/>
                      <w:szCs w:val="16"/>
                    </w:rPr>
                  </w:pPr>
                  <w:r w:rsidRPr="005C646B">
                    <w:rPr>
                      <w:rFonts w:asciiTheme="minorHAnsi" w:hAnsiTheme="minorHAnsi" w:cstheme="minorHAnsi"/>
                      <w:sz w:val="16"/>
                      <w:szCs w:val="16"/>
                    </w:rPr>
                    <w:t>63,048</w:t>
                  </w:r>
                </w:p>
              </w:tc>
              <w:tc>
                <w:tcPr>
                  <w:tcW w:w="709" w:type="dxa"/>
                  <w:vAlign w:val="center"/>
                </w:tcPr>
                <w:p w:rsidR="00B02671" w:rsidRPr="005C646B" w:rsidRDefault="00B02671" w:rsidP="00D56338">
                  <w:pPr>
                    <w:jc w:val="center"/>
                    <w:rPr>
                      <w:rFonts w:asciiTheme="minorHAnsi" w:hAnsiTheme="minorHAnsi" w:cstheme="minorHAnsi"/>
                      <w:sz w:val="16"/>
                      <w:szCs w:val="16"/>
                    </w:rPr>
                  </w:pPr>
                  <w:r w:rsidRPr="005C646B">
                    <w:rPr>
                      <w:rFonts w:asciiTheme="minorHAnsi" w:hAnsiTheme="minorHAnsi" w:cstheme="minorHAnsi"/>
                      <w:sz w:val="16"/>
                      <w:szCs w:val="16"/>
                    </w:rPr>
                    <w:t>50,570</w:t>
                  </w:r>
                </w:p>
              </w:tc>
              <w:tc>
                <w:tcPr>
                  <w:tcW w:w="709" w:type="dxa"/>
                  <w:vAlign w:val="center"/>
                </w:tcPr>
                <w:p w:rsidR="00B02671" w:rsidRPr="005C646B" w:rsidRDefault="00B02671" w:rsidP="00D56338">
                  <w:pPr>
                    <w:jc w:val="center"/>
                    <w:rPr>
                      <w:rFonts w:asciiTheme="minorHAnsi" w:hAnsiTheme="minorHAnsi" w:cstheme="minorHAnsi"/>
                      <w:sz w:val="16"/>
                      <w:szCs w:val="16"/>
                    </w:rPr>
                  </w:pPr>
                  <w:r w:rsidRPr="005C646B">
                    <w:rPr>
                      <w:rFonts w:asciiTheme="minorHAnsi" w:hAnsiTheme="minorHAnsi" w:cstheme="minorHAnsi"/>
                      <w:sz w:val="16"/>
                      <w:szCs w:val="16"/>
                    </w:rPr>
                    <w:t>32,315</w:t>
                  </w:r>
                </w:p>
              </w:tc>
              <w:tc>
                <w:tcPr>
                  <w:tcW w:w="709" w:type="dxa"/>
                  <w:vAlign w:val="center"/>
                </w:tcPr>
                <w:p w:rsidR="00B02671" w:rsidRPr="005C646B" w:rsidRDefault="00B02671" w:rsidP="00D56338">
                  <w:pPr>
                    <w:jc w:val="center"/>
                    <w:rPr>
                      <w:rFonts w:asciiTheme="minorHAnsi" w:hAnsiTheme="minorHAnsi" w:cstheme="minorHAnsi"/>
                      <w:sz w:val="16"/>
                      <w:szCs w:val="16"/>
                    </w:rPr>
                  </w:pPr>
                  <w:r w:rsidRPr="005C646B">
                    <w:rPr>
                      <w:rFonts w:asciiTheme="minorHAnsi" w:hAnsiTheme="minorHAnsi" w:cstheme="minorHAnsi"/>
                      <w:sz w:val="16"/>
                      <w:szCs w:val="16"/>
                    </w:rPr>
                    <w:t>38,008</w:t>
                  </w:r>
                </w:p>
              </w:tc>
              <w:tc>
                <w:tcPr>
                  <w:tcW w:w="708" w:type="dxa"/>
                  <w:vAlign w:val="center"/>
                </w:tcPr>
                <w:p w:rsidR="00B02671" w:rsidRPr="005C646B" w:rsidRDefault="00B02671" w:rsidP="00D56338">
                  <w:pPr>
                    <w:jc w:val="center"/>
                    <w:rPr>
                      <w:rFonts w:asciiTheme="minorHAnsi" w:hAnsiTheme="minorHAnsi" w:cstheme="minorHAnsi"/>
                      <w:sz w:val="16"/>
                      <w:szCs w:val="16"/>
                    </w:rPr>
                  </w:pPr>
                  <w:r w:rsidRPr="005C646B">
                    <w:rPr>
                      <w:rFonts w:asciiTheme="minorHAnsi" w:hAnsiTheme="minorHAnsi" w:cstheme="minorHAnsi"/>
                      <w:sz w:val="16"/>
                      <w:szCs w:val="16"/>
                    </w:rPr>
                    <w:t>8,250</w:t>
                  </w:r>
                </w:p>
              </w:tc>
              <w:tc>
                <w:tcPr>
                  <w:tcW w:w="709" w:type="dxa"/>
                  <w:vAlign w:val="center"/>
                </w:tcPr>
                <w:p w:rsidR="00B02671" w:rsidRPr="005C646B" w:rsidRDefault="00B02671" w:rsidP="00D56338">
                  <w:pPr>
                    <w:jc w:val="center"/>
                    <w:rPr>
                      <w:rFonts w:asciiTheme="minorHAnsi" w:hAnsiTheme="minorHAnsi" w:cstheme="minorHAnsi"/>
                      <w:sz w:val="16"/>
                      <w:szCs w:val="16"/>
                    </w:rPr>
                  </w:pPr>
                  <w:r w:rsidRPr="005C646B">
                    <w:rPr>
                      <w:rFonts w:asciiTheme="minorHAnsi" w:hAnsiTheme="minorHAnsi" w:cstheme="minorHAnsi"/>
                      <w:sz w:val="16"/>
                      <w:szCs w:val="16"/>
                    </w:rPr>
                    <w:t>10,727</w:t>
                  </w:r>
                </w:p>
              </w:tc>
              <w:tc>
                <w:tcPr>
                  <w:tcW w:w="709" w:type="dxa"/>
                  <w:vAlign w:val="center"/>
                </w:tcPr>
                <w:p w:rsidR="00B02671" w:rsidRPr="005C646B" w:rsidRDefault="00B02671" w:rsidP="00D56338">
                  <w:pPr>
                    <w:jc w:val="center"/>
                    <w:rPr>
                      <w:rFonts w:asciiTheme="minorHAnsi" w:hAnsiTheme="minorHAnsi" w:cstheme="minorHAnsi"/>
                      <w:sz w:val="16"/>
                      <w:szCs w:val="16"/>
                    </w:rPr>
                  </w:pPr>
                  <w:r w:rsidRPr="005C646B">
                    <w:rPr>
                      <w:rFonts w:asciiTheme="minorHAnsi" w:hAnsiTheme="minorHAnsi" w:cstheme="minorHAnsi"/>
                      <w:sz w:val="16"/>
                      <w:szCs w:val="16"/>
                    </w:rPr>
                    <w:t>4,720</w:t>
                  </w:r>
                </w:p>
              </w:tc>
            </w:tr>
            <w:tr w:rsidR="00B02671" w:rsidRPr="00C55B44" w:rsidTr="00B02671">
              <w:tc>
                <w:tcPr>
                  <w:tcW w:w="1384" w:type="dxa"/>
                  <w:vAlign w:val="bottom"/>
                </w:tcPr>
                <w:p w:rsidR="00C16FC8" w:rsidRDefault="00C16FC8" w:rsidP="003D7E65">
                  <w:pPr>
                    <w:pStyle w:val="StyleTableFigSourcesfootnotesBlackBefore3ptAfter"/>
                    <w:rPr>
                      <w:rFonts w:asciiTheme="minorHAnsi" w:hAnsiTheme="minorHAnsi" w:cstheme="minorHAnsi"/>
                      <w:b/>
                      <w:snapToGrid w:val="0"/>
                      <w:sz w:val="20"/>
                    </w:rPr>
                  </w:pPr>
                </w:p>
                <w:p w:rsidR="00B02671" w:rsidRPr="00C55B44" w:rsidRDefault="00B02671" w:rsidP="003D7E65">
                  <w:pPr>
                    <w:pStyle w:val="StyleTableFigSourcesfootnotesBlackBefore3ptAfter"/>
                    <w:rPr>
                      <w:rFonts w:asciiTheme="minorHAnsi" w:hAnsiTheme="minorHAnsi" w:cstheme="minorHAnsi"/>
                      <w:b/>
                      <w:snapToGrid w:val="0"/>
                      <w:sz w:val="20"/>
                    </w:rPr>
                  </w:pPr>
                  <w:r w:rsidRPr="00C55B44">
                    <w:rPr>
                      <w:rFonts w:asciiTheme="minorHAnsi" w:hAnsiTheme="minorHAnsi" w:cstheme="minorHAnsi"/>
                      <w:b/>
                      <w:snapToGrid w:val="0"/>
                      <w:sz w:val="20"/>
                    </w:rPr>
                    <w:t>Excludes:</w:t>
                  </w:r>
                </w:p>
              </w:tc>
              <w:tc>
                <w:tcPr>
                  <w:tcW w:w="851" w:type="dxa"/>
                  <w:vAlign w:val="bottom"/>
                </w:tcPr>
                <w:p w:rsidR="00B02671" w:rsidRPr="00C55B44" w:rsidRDefault="00B02671" w:rsidP="003D7E65">
                  <w:pPr>
                    <w:jc w:val="right"/>
                    <w:rPr>
                      <w:rFonts w:asciiTheme="minorHAnsi" w:hAnsiTheme="minorHAnsi" w:cstheme="minorHAnsi"/>
                      <w:sz w:val="20"/>
                      <w:szCs w:val="20"/>
                    </w:rPr>
                  </w:pPr>
                </w:p>
              </w:tc>
              <w:tc>
                <w:tcPr>
                  <w:tcW w:w="708" w:type="dxa"/>
                  <w:vAlign w:val="bottom"/>
                </w:tcPr>
                <w:p w:rsidR="00B02671" w:rsidRPr="00C55B44" w:rsidRDefault="00B02671" w:rsidP="003D7E65">
                  <w:pPr>
                    <w:jc w:val="right"/>
                    <w:rPr>
                      <w:rFonts w:asciiTheme="minorHAnsi" w:hAnsiTheme="minorHAnsi" w:cstheme="minorHAnsi"/>
                      <w:sz w:val="20"/>
                      <w:szCs w:val="20"/>
                    </w:rPr>
                  </w:pPr>
                </w:p>
              </w:tc>
              <w:tc>
                <w:tcPr>
                  <w:tcW w:w="709" w:type="dxa"/>
                  <w:vAlign w:val="bottom"/>
                </w:tcPr>
                <w:p w:rsidR="00B02671" w:rsidRPr="00C55B44" w:rsidRDefault="00B02671" w:rsidP="003D7E65">
                  <w:pPr>
                    <w:jc w:val="right"/>
                    <w:rPr>
                      <w:rFonts w:asciiTheme="minorHAnsi" w:hAnsiTheme="minorHAnsi" w:cstheme="minorHAnsi"/>
                      <w:sz w:val="20"/>
                      <w:szCs w:val="20"/>
                    </w:rPr>
                  </w:pPr>
                </w:p>
              </w:tc>
              <w:tc>
                <w:tcPr>
                  <w:tcW w:w="709" w:type="dxa"/>
                  <w:vAlign w:val="bottom"/>
                </w:tcPr>
                <w:p w:rsidR="00B02671" w:rsidRPr="00C55B44" w:rsidRDefault="00B02671" w:rsidP="003D7E65">
                  <w:pPr>
                    <w:jc w:val="right"/>
                    <w:rPr>
                      <w:rFonts w:asciiTheme="minorHAnsi" w:hAnsiTheme="minorHAnsi" w:cstheme="minorHAnsi"/>
                      <w:sz w:val="20"/>
                      <w:szCs w:val="20"/>
                    </w:rPr>
                  </w:pPr>
                </w:p>
              </w:tc>
              <w:tc>
                <w:tcPr>
                  <w:tcW w:w="709" w:type="dxa"/>
                  <w:vAlign w:val="bottom"/>
                </w:tcPr>
                <w:p w:rsidR="00B02671" w:rsidRPr="00C55B44" w:rsidRDefault="00B02671" w:rsidP="003D7E65">
                  <w:pPr>
                    <w:jc w:val="right"/>
                    <w:rPr>
                      <w:rFonts w:asciiTheme="minorHAnsi" w:hAnsiTheme="minorHAnsi" w:cstheme="minorHAnsi"/>
                      <w:sz w:val="20"/>
                      <w:szCs w:val="20"/>
                    </w:rPr>
                  </w:pPr>
                </w:p>
              </w:tc>
              <w:tc>
                <w:tcPr>
                  <w:tcW w:w="708" w:type="dxa"/>
                  <w:vAlign w:val="bottom"/>
                </w:tcPr>
                <w:p w:rsidR="00B02671" w:rsidRPr="00C55B44" w:rsidRDefault="00B02671" w:rsidP="003D7E65">
                  <w:pPr>
                    <w:jc w:val="right"/>
                    <w:rPr>
                      <w:rFonts w:asciiTheme="minorHAnsi" w:hAnsiTheme="minorHAnsi" w:cstheme="minorHAnsi"/>
                      <w:sz w:val="20"/>
                      <w:szCs w:val="20"/>
                    </w:rPr>
                  </w:pPr>
                </w:p>
              </w:tc>
              <w:tc>
                <w:tcPr>
                  <w:tcW w:w="709" w:type="dxa"/>
                  <w:vAlign w:val="bottom"/>
                </w:tcPr>
                <w:p w:rsidR="00B02671" w:rsidRPr="00C55B44" w:rsidRDefault="00B02671" w:rsidP="003D7E65">
                  <w:pPr>
                    <w:jc w:val="right"/>
                    <w:rPr>
                      <w:rFonts w:asciiTheme="minorHAnsi" w:hAnsiTheme="minorHAnsi" w:cstheme="minorHAnsi"/>
                      <w:sz w:val="20"/>
                      <w:szCs w:val="20"/>
                    </w:rPr>
                  </w:pPr>
                </w:p>
              </w:tc>
              <w:tc>
                <w:tcPr>
                  <w:tcW w:w="709" w:type="dxa"/>
                  <w:vAlign w:val="bottom"/>
                </w:tcPr>
                <w:p w:rsidR="00B02671" w:rsidRPr="00C55B44" w:rsidRDefault="00B02671" w:rsidP="003D7E65">
                  <w:pPr>
                    <w:jc w:val="right"/>
                    <w:rPr>
                      <w:rFonts w:asciiTheme="minorHAnsi" w:hAnsiTheme="minorHAnsi" w:cstheme="minorHAnsi"/>
                      <w:sz w:val="20"/>
                      <w:szCs w:val="20"/>
                    </w:rPr>
                  </w:pPr>
                </w:p>
              </w:tc>
            </w:tr>
            <w:tr w:rsidR="00B02671" w:rsidRPr="00C55B44" w:rsidTr="00D56338">
              <w:tc>
                <w:tcPr>
                  <w:tcW w:w="1384" w:type="dxa"/>
                  <w:vAlign w:val="bottom"/>
                </w:tcPr>
                <w:p w:rsidR="00B02671" w:rsidRPr="00C55B44" w:rsidRDefault="00B02671" w:rsidP="003D7E65">
                  <w:pPr>
                    <w:pStyle w:val="StyleTableFigSourcesfootnotesBlackBefore3ptAfter"/>
                    <w:rPr>
                      <w:rFonts w:asciiTheme="minorHAnsi" w:hAnsiTheme="minorHAnsi" w:cstheme="minorHAnsi"/>
                      <w:snapToGrid w:val="0"/>
                      <w:sz w:val="20"/>
                    </w:rPr>
                  </w:pPr>
                  <w:r w:rsidRPr="00C55B44">
                    <w:rPr>
                      <w:rFonts w:asciiTheme="minorHAnsi" w:hAnsiTheme="minorHAnsi" w:cstheme="minorHAnsi"/>
                      <w:snapToGrid w:val="0"/>
                      <w:sz w:val="20"/>
                    </w:rPr>
                    <w:lastRenderedPageBreak/>
                    <w:t>Households for which bedroom or required bedroom details unknown</w:t>
                  </w:r>
                </w:p>
              </w:tc>
              <w:tc>
                <w:tcPr>
                  <w:tcW w:w="851"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1,096</w:t>
                  </w:r>
                </w:p>
              </w:tc>
              <w:tc>
                <w:tcPr>
                  <w:tcW w:w="708"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2,412</w:t>
                  </w:r>
                </w:p>
              </w:tc>
              <w:tc>
                <w:tcPr>
                  <w:tcW w:w="709"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0</w:t>
                  </w:r>
                </w:p>
              </w:tc>
              <w:tc>
                <w:tcPr>
                  <w:tcW w:w="709"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1</w:t>
                  </w:r>
                </w:p>
              </w:tc>
              <w:tc>
                <w:tcPr>
                  <w:tcW w:w="709"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384</w:t>
                  </w:r>
                </w:p>
              </w:tc>
              <w:tc>
                <w:tcPr>
                  <w:tcW w:w="708"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3</w:t>
                  </w:r>
                </w:p>
              </w:tc>
              <w:tc>
                <w:tcPr>
                  <w:tcW w:w="709"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899</w:t>
                  </w:r>
                </w:p>
              </w:tc>
              <w:tc>
                <w:tcPr>
                  <w:tcW w:w="709"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89</w:t>
                  </w:r>
                </w:p>
              </w:tc>
            </w:tr>
            <w:tr w:rsidR="00B02671" w:rsidRPr="00C55B44" w:rsidTr="00D56338">
              <w:tc>
                <w:tcPr>
                  <w:tcW w:w="1384" w:type="dxa"/>
                  <w:tcBorders>
                    <w:bottom w:val="single" w:sz="4" w:space="0" w:color="auto"/>
                  </w:tcBorders>
                  <w:vAlign w:val="bottom"/>
                </w:tcPr>
                <w:p w:rsidR="00B02671" w:rsidRPr="00C55B44" w:rsidRDefault="00B02671" w:rsidP="003D7E65">
                  <w:pPr>
                    <w:pStyle w:val="StyleTableFigSourcesfootnotesBlackBefore3ptAfter"/>
                    <w:rPr>
                      <w:rFonts w:asciiTheme="minorHAnsi" w:hAnsiTheme="minorHAnsi" w:cstheme="minorHAnsi"/>
                      <w:b/>
                      <w:i/>
                      <w:snapToGrid w:val="0"/>
                      <w:sz w:val="20"/>
                    </w:rPr>
                  </w:pPr>
                  <w:r w:rsidRPr="00C55B44">
                    <w:rPr>
                      <w:rFonts w:asciiTheme="minorHAnsi" w:hAnsiTheme="minorHAnsi" w:cstheme="minorHAnsi"/>
                      <w:b/>
                      <w:i/>
                      <w:snapToGrid w:val="0"/>
                      <w:sz w:val="20"/>
                    </w:rPr>
                    <w:t>Exclusions as a % of total ongoing households</w:t>
                  </w:r>
                </w:p>
              </w:tc>
              <w:tc>
                <w:tcPr>
                  <w:tcW w:w="851" w:type="dxa"/>
                  <w:tcBorders>
                    <w:bottom w:val="single" w:sz="4" w:space="0" w:color="auto"/>
                  </w:tcBorders>
                  <w:vAlign w:val="center"/>
                </w:tcPr>
                <w:p w:rsidR="00B02671" w:rsidRPr="00C55B44" w:rsidRDefault="00B02671" w:rsidP="00D56338">
                  <w:pPr>
                    <w:jc w:val="center"/>
                    <w:rPr>
                      <w:rFonts w:asciiTheme="minorHAnsi" w:hAnsiTheme="minorHAnsi" w:cstheme="minorHAnsi"/>
                      <w:b/>
                      <w:bCs/>
                      <w:i/>
                      <w:iCs/>
                      <w:sz w:val="20"/>
                      <w:szCs w:val="20"/>
                    </w:rPr>
                  </w:pPr>
                  <w:r w:rsidRPr="00C55B44">
                    <w:rPr>
                      <w:rFonts w:asciiTheme="minorHAnsi" w:hAnsiTheme="minorHAnsi" w:cstheme="minorHAnsi"/>
                      <w:b/>
                      <w:bCs/>
                      <w:i/>
                      <w:iCs/>
                      <w:sz w:val="20"/>
                      <w:szCs w:val="20"/>
                    </w:rPr>
                    <w:t>1.0</w:t>
                  </w:r>
                </w:p>
              </w:tc>
              <w:tc>
                <w:tcPr>
                  <w:tcW w:w="708" w:type="dxa"/>
                  <w:tcBorders>
                    <w:bottom w:val="single" w:sz="4" w:space="0" w:color="auto"/>
                  </w:tcBorders>
                  <w:vAlign w:val="center"/>
                </w:tcPr>
                <w:p w:rsidR="00B02671" w:rsidRPr="00C55B44" w:rsidRDefault="00B02671" w:rsidP="00D56338">
                  <w:pPr>
                    <w:jc w:val="center"/>
                    <w:rPr>
                      <w:rFonts w:asciiTheme="minorHAnsi" w:hAnsiTheme="minorHAnsi" w:cstheme="minorHAnsi"/>
                      <w:b/>
                      <w:bCs/>
                      <w:i/>
                      <w:iCs/>
                      <w:sz w:val="20"/>
                      <w:szCs w:val="20"/>
                    </w:rPr>
                  </w:pPr>
                  <w:r w:rsidRPr="00C55B44">
                    <w:rPr>
                      <w:rFonts w:asciiTheme="minorHAnsi" w:hAnsiTheme="minorHAnsi" w:cstheme="minorHAnsi"/>
                      <w:b/>
                      <w:bCs/>
                      <w:i/>
                      <w:iCs/>
                      <w:sz w:val="20"/>
                      <w:szCs w:val="20"/>
                    </w:rPr>
                    <w:t>3.8</w:t>
                  </w:r>
                </w:p>
              </w:tc>
              <w:tc>
                <w:tcPr>
                  <w:tcW w:w="709" w:type="dxa"/>
                  <w:tcBorders>
                    <w:bottom w:val="single" w:sz="4" w:space="0" w:color="auto"/>
                  </w:tcBorders>
                  <w:vAlign w:val="center"/>
                </w:tcPr>
                <w:p w:rsidR="00B02671" w:rsidRPr="00C55B44" w:rsidRDefault="00B02671" w:rsidP="00D56338">
                  <w:pPr>
                    <w:jc w:val="center"/>
                    <w:rPr>
                      <w:rFonts w:asciiTheme="minorHAnsi" w:hAnsiTheme="minorHAnsi" w:cstheme="minorHAnsi"/>
                      <w:b/>
                      <w:bCs/>
                      <w:i/>
                      <w:iCs/>
                      <w:sz w:val="20"/>
                      <w:szCs w:val="20"/>
                    </w:rPr>
                  </w:pPr>
                  <w:r w:rsidRPr="00C55B44">
                    <w:rPr>
                      <w:rFonts w:asciiTheme="minorHAnsi" w:hAnsiTheme="minorHAnsi" w:cstheme="minorHAnsi"/>
                      <w:b/>
                      <w:bCs/>
                      <w:i/>
                      <w:iCs/>
                      <w:sz w:val="20"/>
                      <w:szCs w:val="20"/>
                    </w:rPr>
                    <w:t>0.0</w:t>
                  </w:r>
                </w:p>
              </w:tc>
              <w:tc>
                <w:tcPr>
                  <w:tcW w:w="709" w:type="dxa"/>
                  <w:tcBorders>
                    <w:bottom w:val="single" w:sz="4" w:space="0" w:color="auto"/>
                  </w:tcBorders>
                  <w:vAlign w:val="center"/>
                </w:tcPr>
                <w:p w:rsidR="00B02671" w:rsidRPr="00C55B44" w:rsidRDefault="00B02671" w:rsidP="00D56338">
                  <w:pPr>
                    <w:jc w:val="center"/>
                    <w:rPr>
                      <w:rFonts w:asciiTheme="minorHAnsi" w:hAnsiTheme="minorHAnsi" w:cstheme="minorHAnsi"/>
                      <w:b/>
                      <w:bCs/>
                      <w:i/>
                      <w:iCs/>
                      <w:sz w:val="20"/>
                      <w:szCs w:val="20"/>
                    </w:rPr>
                  </w:pPr>
                  <w:r w:rsidRPr="00C55B44">
                    <w:rPr>
                      <w:rFonts w:asciiTheme="minorHAnsi" w:hAnsiTheme="minorHAnsi" w:cstheme="minorHAnsi"/>
                      <w:b/>
                      <w:bCs/>
                      <w:i/>
                      <w:iCs/>
                      <w:sz w:val="20"/>
                      <w:szCs w:val="20"/>
                    </w:rPr>
                    <w:t>0.0</w:t>
                  </w:r>
                </w:p>
              </w:tc>
              <w:tc>
                <w:tcPr>
                  <w:tcW w:w="709" w:type="dxa"/>
                  <w:tcBorders>
                    <w:bottom w:val="single" w:sz="4" w:space="0" w:color="auto"/>
                  </w:tcBorders>
                  <w:vAlign w:val="center"/>
                </w:tcPr>
                <w:p w:rsidR="00B02671" w:rsidRPr="00C55B44" w:rsidRDefault="00B02671" w:rsidP="00D56338">
                  <w:pPr>
                    <w:jc w:val="center"/>
                    <w:rPr>
                      <w:rFonts w:asciiTheme="minorHAnsi" w:hAnsiTheme="minorHAnsi" w:cstheme="minorHAnsi"/>
                      <w:b/>
                      <w:bCs/>
                      <w:i/>
                      <w:iCs/>
                      <w:sz w:val="20"/>
                      <w:szCs w:val="20"/>
                    </w:rPr>
                  </w:pPr>
                  <w:r w:rsidRPr="00C55B44">
                    <w:rPr>
                      <w:rFonts w:asciiTheme="minorHAnsi" w:hAnsiTheme="minorHAnsi" w:cstheme="minorHAnsi"/>
                      <w:b/>
                      <w:bCs/>
                      <w:i/>
                      <w:iCs/>
                      <w:sz w:val="20"/>
                      <w:szCs w:val="20"/>
                    </w:rPr>
                    <w:t>1.0</w:t>
                  </w:r>
                </w:p>
              </w:tc>
              <w:tc>
                <w:tcPr>
                  <w:tcW w:w="708" w:type="dxa"/>
                  <w:tcBorders>
                    <w:bottom w:val="single" w:sz="4" w:space="0" w:color="auto"/>
                  </w:tcBorders>
                  <w:vAlign w:val="center"/>
                </w:tcPr>
                <w:p w:rsidR="00B02671" w:rsidRPr="00C55B44" w:rsidRDefault="00B02671" w:rsidP="00D56338">
                  <w:pPr>
                    <w:jc w:val="center"/>
                    <w:rPr>
                      <w:rFonts w:asciiTheme="minorHAnsi" w:hAnsiTheme="minorHAnsi" w:cstheme="minorHAnsi"/>
                      <w:b/>
                      <w:bCs/>
                      <w:i/>
                      <w:iCs/>
                      <w:sz w:val="20"/>
                      <w:szCs w:val="20"/>
                    </w:rPr>
                  </w:pPr>
                  <w:r w:rsidRPr="00C55B44">
                    <w:rPr>
                      <w:rFonts w:asciiTheme="minorHAnsi" w:hAnsiTheme="minorHAnsi" w:cstheme="minorHAnsi"/>
                      <w:b/>
                      <w:bCs/>
                      <w:i/>
                      <w:iCs/>
                      <w:sz w:val="20"/>
                      <w:szCs w:val="20"/>
                    </w:rPr>
                    <w:t>0.0</w:t>
                  </w:r>
                </w:p>
              </w:tc>
              <w:tc>
                <w:tcPr>
                  <w:tcW w:w="709" w:type="dxa"/>
                  <w:tcBorders>
                    <w:bottom w:val="single" w:sz="4" w:space="0" w:color="auto"/>
                  </w:tcBorders>
                  <w:vAlign w:val="center"/>
                </w:tcPr>
                <w:p w:rsidR="00B02671" w:rsidRPr="00C55B44" w:rsidRDefault="00B02671" w:rsidP="00D56338">
                  <w:pPr>
                    <w:jc w:val="center"/>
                    <w:rPr>
                      <w:rFonts w:asciiTheme="minorHAnsi" w:hAnsiTheme="minorHAnsi" w:cstheme="minorHAnsi"/>
                      <w:b/>
                      <w:bCs/>
                      <w:i/>
                      <w:iCs/>
                      <w:sz w:val="20"/>
                      <w:szCs w:val="20"/>
                    </w:rPr>
                  </w:pPr>
                  <w:r w:rsidRPr="00C55B44">
                    <w:rPr>
                      <w:rFonts w:asciiTheme="minorHAnsi" w:hAnsiTheme="minorHAnsi" w:cstheme="minorHAnsi"/>
                      <w:b/>
                      <w:bCs/>
                      <w:i/>
                      <w:iCs/>
                      <w:sz w:val="20"/>
                      <w:szCs w:val="20"/>
                    </w:rPr>
                    <w:t>8.4</w:t>
                  </w:r>
                </w:p>
              </w:tc>
              <w:tc>
                <w:tcPr>
                  <w:tcW w:w="709" w:type="dxa"/>
                  <w:tcBorders>
                    <w:bottom w:val="single" w:sz="4" w:space="0" w:color="auto"/>
                  </w:tcBorders>
                  <w:vAlign w:val="center"/>
                </w:tcPr>
                <w:p w:rsidR="00B02671" w:rsidRPr="00C55B44" w:rsidRDefault="00B02671" w:rsidP="00D56338">
                  <w:pPr>
                    <w:jc w:val="center"/>
                    <w:rPr>
                      <w:rFonts w:asciiTheme="minorHAnsi" w:hAnsiTheme="minorHAnsi" w:cstheme="minorHAnsi"/>
                      <w:b/>
                      <w:bCs/>
                      <w:i/>
                      <w:iCs/>
                      <w:sz w:val="20"/>
                      <w:szCs w:val="20"/>
                    </w:rPr>
                  </w:pPr>
                  <w:r w:rsidRPr="00C55B44">
                    <w:rPr>
                      <w:rFonts w:asciiTheme="minorHAnsi" w:hAnsiTheme="minorHAnsi" w:cstheme="minorHAnsi"/>
                      <w:b/>
                      <w:bCs/>
                      <w:i/>
                      <w:iCs/>
                      <w:sz w:val="20"/>
                      <w:szCs w:val="20"/>
                    </w:rPr>
                    <w:t>1.9</w:t>
                  </w:r>
                </w:p>
              </w:tc>
            </w:tr>
          </w:tbl>
          <w:p w:rsidR="00B02671" w:rsidRPr="00C55B44" w:rsidRDefault="00B02671" w:rsidP="00B02671">
            <w:pPr>
              <w:keepLines/>
              <w:spacing w:before="120" w:after="120" w:line="220" w:lineRule="exact"/>
              <w:jc w:val="both"/>
              <w:rPr>
                <w:rFonts w:asciiTheme="minorHAnsi" w:hAnsiTheme="minorHAnsi" w:cstheme="minorHAnsi"/>
                <w:sz w:val="20"/>
                <w:szCs w:val="20"/>
              </w:rPr>
            </w:pPr>
            <w:r w:rsidRPr="00C55B44">
              <w:rPr>
                <w:rFonts w:asciiTheme="minorHAnsi" w:hAnsiTheme="minorHAnsi" w:cstheme="minorHAnsi"/>
                <w:sz w:val="20"/>
                <w:szCs w:val="20"/>
              </w:rPr>
              <w:t>.. Not applicable.</w:t>
            </w:r>
          </w:p>
          <w:p w:rsidR="00B02671" w:rsidRPr="00C55B44" w:rsidRDefault="00B02671" w:rsidP="003D7E65">
            <w:pPr>
              <w:keepNext/>
              <w:keepLines/>
              <w:spacing w:before="120" w:after="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SOMIH exclusions</w:t>
            </w:r>
          </w:p>
          <w:tbl>
            <w:tblPr>
              <w:tblW w:w="5806" w:type="dxa"/>
              <w:tblLayout w:type="fixed"/>
              <w:tblLook w:val="01E0" w:firstRow="1" w:lastRow="1" w:firstColumn="1" w:lastColumn="1" w:noHBand="0" w:noVBand="0"/>
            </w:tblPr>
            <w:tblGrid>
              <w:gridCol w:w="1384"/>
              <w:gridCol w:w="737"/>
              <w:gridCol w:w="737"/>
              <w:gridCol w:w="737"/>
              <w:gridCol w:w="737"/>
              <w:gridCol w:w="737"/>
              <w:gridCol w:w="737"/>
            </w:tblGrid>
            <w:tr w:rsidR="00B02671" w:rsidRPr="00C55B44" w:rsidTr="00B02671">
              <w:tc>
                <w:tcPr>
                  <w:tcW w:w="1384" w:type="dxa"/>
                  <w:tcBorders>
                    <w:top w:val="single" w:sz="4" w:space="0" w:color="auto"/>
                    <w:bottom w:val="single" w:sz="4" w:space="0" w:color="auto"/>
                  </w:tcBorders>
                </w:tcPr>
                <w:p w:rsidR="00B02671" w:rsidRPr="00C55B44" w:rsidRDefault="00B02671" w:rsidP="003D7E65">
                  <w:pPr>
                    <w:pStyle w:val="StyleTableFigSourcesfootnotesBlackBefore3ptAfter"/>
                    <w:rPr>
                      <w:rFonts w:asciiTheme="minorHAnsi" w:hAnsiTheme="minorHAnsi" w:cstheme="minorHAnsi"/>
                      <w:b/>
                      <w:snapToGrid w:val="0"/>
                      <w:sz w:val="20"/>
                    </w:rPr>
                  </w:pPr>
                  <w:r w:rsidRPr="00C55B44">
                    <w:rPr>
                      <w:rFonts w:asciiTheme="minorHAnsi" w:hAnsiTheme="minorHAnsi" w:cstheme="minorHAnsi"/>
                      <w:b/>
                      <w:snapToGrid w:val="0"/>
                      <w:sz w:val="20"/>
                    </w:rPr>
                    <w:t> SOMIH</w:t>
                  </w:r>
                </w:p>
              </w:tc>
              <w:tc>
                <w:tcPr>
                  <w:tcW w:w="737"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NSW</w:t>
                  </w:r>
                </w:p>
              </w:tc>
              <w:tc>
                <w:tcPr>
                  <w:tcW w:w="737"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Vic</w:t>
                  </w:r>
                </w:p>
              </w:tc>
              <w:tc>
                <w:tcPr>
                  <w:tcW w:w="737"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Qld</w:t>
                  </w:r>
                </w:p>
              </w:tc>
              <w:tc>
                <w:tcPr>
                  <w:tcW w:w="737"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WA</w:t>
                  </w:r>
                </w:p>
              </w:tc>
              <w:tc>
                <w:tcPr>
                  <w:tcW w:w="737"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SA</w:t>
                  </w:r>
                </w:p>
              </w:tc>
              <w:tc>
                <w:tcPr>
                  <w:tcW w:w="737" w:type="dxa"/>
                  <w:tcBorders>
                    <w:top w:val="single" w:sz="4" w:space="0" w:color="auto"/>
                    <w:bottom w:val="single" w:sz="4" w:space="0" w:color="auto"/>
                  </w:tcBorders>
                  <w:vAlign w:val="bottom"/>
                </w:tcPr>
                <w:p w:rsidR="00B02671" w:rsidRPr="00C55B44" w:rsidRDefault="00B02671" w:rsidP="003D7E65">
                  <w:pPr>
                    <w:pStyle w:val="StyleTableFigSourcesfootnotesBlackBefore3ptAfter"/>
                    <w:jc w:val="right"/>
                    <w:rPr>
                      <w:rFonts w:asciiTheme="minorHAnsi" w:hAnsiTheme="minorHAnsi" w:cstheme="minorHAnsi"/>
                      <w:b/>
                      <w:snapToGrid w:val="0"/>
                      <w:sz w:val="20"/>
                    </w:rPr>
                  </w:pPr>
                  <w:r w:rsidRPr="00C55B44">
                    <w:rPr>
                      <w:rFonts w:asciiTheme="minorHAnsi" w:hAnsiTheme="minorHAnsi" w:cstheme="minorHAnsi"/>
                      <w:b/>
                      <w:snapToGrid w:val="0"/>
                      <w:sz w:val="20"/>
                    </w:rPr>
                    <w:t>Tas</w:t>
                  </w:r>
                </w:p>
              </w:tc>
            </w:tr>
            <w:tr w:rsidR="00B02671" w:rsidRPr="00C55B44" w:rsidTr="00D56338">
              <w:tc>
                <w:tcPr>
                  <w:tcW w:w="1384" w:type="dxa"/>
                  <w:vAlign w:val="bottom"/>
                </w:tcPr>
                <w:p w:rsidR="00B02671" w:rsidRPr="00C55B44" w:rsidRDefault="00B02671" w:rsidP="003D7E65">
                  <w:pPr>
                    <w:pStyle w:val="StyleTableFigSourcesfootnotesBlackBefore3ptAfter"/>
                    <w:rPr>
                      <w:rFonts w:asciiTheme="minorHAnsi" w:hAnsiTheme="minorHAnsi" w:cstheme="minorHAnsi"/>
                      <w:snapToGrid w:val="0"/>
                      <w:sz w:val="20"/>
                    </w:rPr>
                  </w:pPr>
                  <w:r w:rsidRPr="00C55B44">
                    <w:rPr>
                      <w:rFonts w:asciiTheme="minorHAnsi" w:hAnsiTheme="minorHAnsi" w:cstheme="minorHAnsi"/>
                      <w:snapToGrid w:val="0"/>
                      <w:sz w:val="20"/>
                    </w:rPr>
                    <w:t>Total ongoing households</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4,504</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 .</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3,270</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 .</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1,741</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275</w:t>
                  </w:r>
                </w:p>
              </w:tc>
            </w:tr>
            <w:tr w:rsidR="00B02671" w:rsidRPr="00C55B44" w:rsidTr="00D56338">
              <w:tc>
                <w:tcPr>
                  <w:tcW w:w="1384" w:type="dxa"/>
                  <w:vAlign w:val="bottom"/>
                </w:tcPr>
                <w:p w:rsidR="00B02671" w:rsidRPr="00C55B44" w:rsidRDefault="00B02671" w:rsidP="003D7E65">
                  <w:pPr>
                    <w:pStyle w:val="StyleTableFigSourcesfootnotesBlackBefore3ptAfter"/>
                    <w:rPr>
                      <w:rFonts w:asciiTheme="minorHAnsi" w:hAnsiTheme="minorHAnsi" w:cstheme="minorHAnsi"/>
                      <w:snapToGrid w:val="0"/>
                      <w:sz w:val="20"/>
                    </w:rPr>
                  </w:pPr>
                  <w:r w:rsidRPr="00C55B44">
                    <w:rPr>
                      <w:rFonts w:asciiTheme="minorHAnsi" w:hAnsiTheme="minorHAnsi" w:cstheme="minorHAnsi"/>
                      <w:b/>
                      <w:snapToGrid w:val="0"/>
                      <w:sz w:val="20"/>
                    </w:rPr>
                    <w:t>Excludes</w:t>
                  </w:r>
                  <w:r w:rsidRPr="00C55B44">
                    <w:rPr>
                      <w:rFonts w:asciiTheme="minorHAnsi" w:hAnsiTheme="minorHAnsi" w:cstheme="minorHAnsi"/>
                      <w:snapToGrid w:val="0"/>
                      <w:sz w:val="20"/>
                    </w:rPr>
                    <w:t>:</w:t>
                  </w:r>
                </w:p>
              </w:tc>
              <w:tc>
                <w:tcPr>
                  <w:tcW w:w="737" w:type="dxa"/>
                  <w:vAlign w:val="center"/>
                </w:tcPr>
                <w:p w:rsidR="00B02671" w:rsidRPr="005C646B" w:rsidRDefault="00B02671" w:rsidP="00D56338">
                  <w:pPr>
                    <w:jc w:val="center"/>
                    <w:rPr>
                      <w:rFonts w:asciiTheme="minorHAnsi" w:hAnsiTheme="minorHAnsi" w:cstheme="minorHAnsi"/>
                      <w:sz w:val="18"/>
                      <w:szCs w:val="18"/>
                    </w:rPr>
                  </w:pPr>
                </w:p>
              </w:tc>
              <w:tc>
                <w:tcPr>
                  <w:tcW w:w="737" w:type="dxa"/>
                  <w:vAlign w:val="center"/>
                </w:tcPr>
                <w:p w:rsidR="00B02671" w:rsidRPr="005C646B" w:rsidRDefault="00B02671" w:rsidP="00D56338">
                  <w:pPr>
                    <w:jc w:val="center"/>
                    <w:rPr>
                      <w:rFonts w:asciiTheme="minorHAnsi" w:hAnsiTheme="minorHAnsi" w:cstheme="minorHAnsi"/>
                      <w:sz w:val="18"/>
                      <w:szCs w:val="18"/>
                    </w:rPr>
                  </w:pPr>
                </w:p>
              </w:tc>
              <w:tc>
                <w:tcPr>
                  <w:tcW w:w="737" w:type="dxa"/>
                  <w:vAlign w:val="center"/>
                </w:tcPr>
                <w:p w:rsidR="00B02671" w:rsidRPr="005C646B" w:rsidRDefault="00B02671" w:rsidP="00D56338">
                  <w:pPr>
                    <w:jc w:val="center"/>
                    <w:rPr>
                      <w:rFonts w:asciiTheme="minorHAnsi" w:hAnsiTheme="minorHAnsi" w:cstheme="minorHAnsi"/>
                      <w:sz w:val="18"/>
                      <w:szCs w:val="18"/>
                    </w:rPr>
                  </w:pPr>
                </w:p>
              </w:tc>
              <w:tc>
                <w:tcPr>
                  <w:tcW w:w="737" w:type="dxa"/>
                  <w:vAlign w:val="center"/>
                </w:tcPr>
                <w:p w:rsidR="00B02671" w:rsidRPr="005C646B" w:rsidRDefault="00B02671" w:rsidP="00D56338">
                  <w:pPr>
                    <w:jc w:val="center"/>
                    <w:rPr>
                      <w:rFonts w:asciiTheme="minorHAnsi" w:hAnsiTheme="minorHAnsi" w:cstheme="minorHAnsi"/>
                      <w:sz w:val="18"/>
                      <w:szCs w:val="18"/>
                    </w:rPr>
                  </w:pPr>
                </w:p>
              </w:tc>
              <w:tc>
                <w:tcPr>
                  <w:tcW w:w="737" w:type="dxa"/>
                  <w:vAlign w:val="center"/>
                </w:tcPr>
                <w:p w:rsidR="00B02671" w:rsidRPr="005C646B" w:rsidRDefault="00B02671" w:rsidP="00D56338">
                  <w:pPr>
                    <w:jc w:val="center"/>
                    <w:rPr>
                      <w:rFonts w:asciiTheme="minorHAnsi" w:hAnsiTheme="minorHAnsi" w:cstheme="minorHAnsi"/>
                      <w:sz w:val="18"/>
                      <w:szCs w:val="18"/>
                    </w:rPr>
                  </w:pPr>
                </w:p>
              </w:tc>
              <w:tc>
                <w:tcPr>
                  <w:tcW w:w="737" w:type="dxa"/>
                  <w:vAlign w:val="center"/>
                </w:tcPr>
                <w:p w:rsidR="00B02671" w:rsidRPr="005C646B" w:rsidRDefault="00B02671" w:rsidP="00D56338">
                  <w:pPr>
                    <w:jc w:val="center"/>
                    <w:rPr>
                      <w:rFonts w:asciiTheme="minorHAnsi" w:hAnsiTheme="minorHAnsi" w:cstheme="minorHAnsi"/>
                      <w:sz w:val="18"/>
                      <w:szCs w:val="18"/>
                    </w:rPr>
                  </w:pPr>
                </w:p>
              </w:tc>
            </w:tr>
            <w:tr w:rsidR="00B02671" w:rsidRPr="00C55B44" w:rsidTr="00D56338">
              <w:tc>
                <w:tcPr>
                  <w:tcW w:w="1384" w:type="dxa"/>
                  <w:vAlign w:val="bottom"/>
                </w:tcPr>
                <w:p w:rsidR="00B02671" w:rsidRPr="00C55B44" w:rsidRDefault="00B02671" w:rsidP="003D7E65">
                  <w:pPr>
                    <w:pStyle w:val="StyleTableFigSourcesfootnotesBlackBefore3ptAfter"/>
                    <w:rPr>
                      <w:rFonts w:asciiTheme="minorHAnsi" w:hAnsiTheme="minorHAnsi" w:cstheme="minorHAnsi"/>
                      <w:snapToGrid w:val="0"/>
                      <w:sz w:val="20"/>
                    </w:rPr>
                  </w:pPr>
                  <w:r w:rsidRPr="00C55B44">
                    <w:rPr>
                      <w:rFonts w:asciiTheme="minorHAnsi" w:hAnsiTheme="minorHAnsi" w:cstheme="minorHAnsi"/>
                      <w:snapToGrid w:val="0"/>
                      <w:sz w:val="20"/>
                    </w:rPr>
                    <w:t>Households for which bedroom or required bedroom details unknown</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73</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 .</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0</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 .</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67</w:t>
                  </w:r>
                </w:p>
              </w:tc>
              <w:tc>
                <w:tcPr>
                  <w:tcW w:w="737" w:type="dxa"/>
                  <w:vAlign w:val="center"/>
                </w:tcPr>
                <w:p w:rsidR="00B02671" w:rsidRPr="005C646B" w:rsidRDefault="00B02671" w:rsidP="00D56338">
                  <w:pPr>
                    <w:jc w:val="center"/>
                    <w:rPr>
                      <w:rFonts w:asciiTheme="minorHAnsi" w:hAnsiTheme="minorHAnsi" w:cstheme="minorHAnsi"/>
                      <w:sz w:val="18"/>
                      <w:szCs w:val="18"/>
                    </w:rPr>
                  </w:pPr>
                  <w:r w:rsidRPr="005C646B">
                    <w:rPr>
                      <w:rFonts w:asciiTheme="minorHAnsi" w:hAnsiTheme="minorHAnsi" w:cstheme="minorHAnsi"/>
                      <w:sz w:val="18"/>
                      <w:szCs w:val="18"/>
                    </w:rPr>
                    <w:t>0</w:t>
                  </w:r>
                </w:p>
              </w:tc>
            </w:tr>
            <w:tr w:rsidR="00B02671" w:rsidRPr="00C55B44" w:rsidTr="00D56338">
              <w:tc>
                <w:tcPr>
                  <w:tcW w:w="1384" w:type="dxa"/>
                  <w:tcBorders>
                    <w:bottom w:val="single" w:sz="4" w:space="0" w:color="auto"/>
                  </w:tcBorders>
                  <w:vAlign w:val="bottom"/>
                </w:tcPr>
                <w:p w:rsidR="00B02671" w:rsidRPr="00C55B44" w:rsidRDefault="00B02671" w:rsidP="003D7E65">
                  <w:pPr>
                    <w:pStyle w:val="StyleTableFigSourcesfootnotesBlackBefore3ptAfter"/>
                    <w:rPr>
                      <w:rFonts w:asciiTheme="minorHAnsi" w:hAnsiTheme="minorHAnsi" w:cstheme="minorHAnsi"/>
                      <w:b/>
                      <w:i/>
                      <w:snapToGrid w:val="0"/>
                      <w:sz w:val="20"/>
                    </w:rPr>
                  </w:pPr>
                  <w:r w:rsidRPr="00C55B44">
                    <w:rPr>
                      <w:rFonts w:asciiTheme="minorHAnsi" w:hAnsiTheme="minorHAnsi" w:cstheme="minorHAnsi"/>
                      <w:b/>
                      <w:i/>
                      <w:snapToGrid w:val="0"/>
                      <w:sz w:val="20"/>
                    </w:rPr>
                    <w:t>Exclusions as a % of total ongoing households</w:t>
                  </w:r>
                </w:p>
              </w:tc>
              <w:tc>
                <w:tcPr>
                  <w:tcW w:w="737" w:type="dxa"/>
                  <w:tcBorders>
                    <w:bottom w:val="single" w:sz="4" w:space="0" w:color="auto"/>
                  </w:tcBorders>
                  <w:vAlign w:val="center"/>
                </w:tcPr>
                <w:p w:rsidR="00B02671" w:rsidRPr="005C646B" w:rsidRDefault="00B02671" w:rsidP="00D56338">
                  <w:pPr>
                    <w:jc w:val="center"/>
                    <w:rPr>
                      <w:rFonts w:asciiTheme="minorHAnsi" w:hAnsiTheme="minorHAnsi" w:cstheme="minorHAnsi"/>
                      <w:b/>
                      <w:bCs/>
                      <w:i/>
                      <w:iCs/>
                      <w:sz w:val="18"/>
                      <w:szCs w:val="18"/>
                    </w:rPr>
                  </w:pPr>
                  <w:r w:rsidRPr="005C646B">
                    <w:rPr>
                      <w:rFonts w:asciiTheme="minorHAnsi" w:hAnsiTheme="minorHAnsi" w:cstheme="minorHAnsi"/>
                      <w:b/>
                      <w:bCs/>
                      <w:i/>
                      <w:iCs/>
                      <w:sz w:val="18"/>
                      <w:szCs w:val="18"/>
                    </w:rPr>
                    <w:t>1.6</w:t>
                  </w:r>
                </w:p>
              </w:tc>
              <w:tc>
                <w:tcPr>
                  <w:tcW w:w="737" w:type="dxa"/>
                  <w:tcBorders>
                    <w:bottom w:val="single" w:sz="4" w:space="0" w:color="auto"/>
                  </w:tcBorders>
                  <w:vAlign w:val="center"/>
                </w:tcPr>
                <w:p w:rsidR="00B02671" w:rsidRPr="005C646B" w:rsidRDefault="00B02671" w:rsidP="00D56338">
                  <w:pPr>
                    <w:jc w:val="center"/>
                    <w:rPr>
                      <w:rFonts w:asciiTheme="minorHAnsi" w:hAnsiTheme="minorHAnsi" w:cstheme="minorHAnsi"/>
                      <w:b/>
                      <w:bCs/>
                      <w:i/>
                      <w:iCs/>
                      <w:sz w:val="18"/>
                      <w:szCs w:val="18"/>
                    </w:rPr>
                  </w:pPr>
                  <w:r w:rsidRPr="005C646B">
                    <w:rPr>
                      <w:rFonts w:asciiTheme="minorHAnsi" w:hAnsiTheme="minorHAnsi" w:cstheme="minorHAnsi"/>
                      <w:b/>
                      <w:bCs/>
                      <w:i/>
                      <w:iCs/>
                      <w:sz w:val="18"/>
                      <w:szCs w:val="18"/>
                    </w:rPr>
                    <w:t>. .</w:t>
                  </w:r>
                </w:p>
              </w:tc>
              <w:tc>
                <w:tcPr>
                  <w:tcW w:w="737" w:type="dxa"/>
                  <w:tcBorders>
                    <w:bottom w:val="single" w:sz="4" w:space="0" w:color="auto"/>
                  </w:tcBorders>
                  <w:vAlign w:val="center"/>
                </w:tcPr>
                <w:p w:rsidR="00B02671" w:rsidRPr="005C646B" w:rsidRDefault="00B02671" w:rsidP="00D56338">
                  <w:pPr>
                    <w:jc w:val="center"/>
                    <w:rPr>
                      <w:rFonts w:asciiTheme="minorHAnsi" w:hAnsiTheme="minorHAnsi" w:cstheme="minorHAnsi"/>
                      <w:b/>
                      <w:bCs/>
                      <w:i/>
                      <w:iCs/>
                      <w:sz w:val="18"/>
                      <w:szCs w:val="18"/>
                    </w:rPr>
                  </w:pPr>
                  <w:r w:rsidRPr="005C646B">
                    <w:rPr>
                      <w:rFonts w:asciiTheme="minorHAnsi" w:hAnsiTheme="minorHAnsi" w:cstheme="minorHAnsi"/>
                      <w:b/>
                      <w:bCs/>
                      <w:i/>
                      <w:iCs/>
                      <w:sz w:val="18"/>
                      <w:szCs w:val="18"/>
                    </w:rPr>
                    <w:t>0.0</w:t>
                  </w:r>
                </w:p>
              </w:tc>
              <w:tc>
                <w:tcPr>
                  <w:tcW w:w="737" w:type="dxa"/>
                  <w:tcBorders>
                    <w:bottom w:val="single" w:sz="4" w:space="0" w:color="auto"/>
                  </w:tcBorders>
                  <w:vAlign w:val="center"/>
                </w:tcPr>
                <w:p w:rsidR="00B02671" w:rsidRPr="005C646B" w:rsidRDefault="00B02671" w:rsidP="00D56338">
                  <w:pPr>
                    <w:jc w:val="center"/>
                    <w:rPr>
                      <w:rFonts w:asciiTheme="minorHAnsi" w:hAnsiTheme="minorHAnsi" w:cstheme="minorHAnsi"/>
                      <w:b/>
                      <w:bCs/>
                      <w:i/>
                      <w:iCs/>
                      <w:sz w:val="18"/>
                      <w:szCs w:val="18"/>
                    </w:rPr>
                  </w:pPr>
                  <w:r w:rsidRPr="005C646B">
                    <w:rPr>
                      <w:rFonts w:asciiTheme="minorHAnsi" w:hAnsiTheme="minorHAnsi" w:cstheme="minorHAnsi"/>
                      <w:b/>
                      <w:bCs/>
                      <w:i/>
                      <w:iCs/>
                      <w:sz w:val="18"/>
                      <w:szCs w:val="18"/>
                    </w:rPr>
                    <w:t>. .</w:t>
                  </w:r>
                </w:p>
              </w:tc>
              <w:tc>
                <w:tcPr>
                  <w:tcW w:w="737" w:type="dxa"/>
                  <w:tcBorders>
                    <w:bottom w:val="single" w:sz="4" w:space="0" w:color="auto"/>
                  </w:tcBorders>
                  <w:vAlign w:val="center"/>
                </w:tcPr>
                <w:p w:rsidR="00B02671" w:rsidRPr="005C646B" w:rsidRDefault="00B02671" w:rsidP="00D56338">
                  <w:pPr>
                    <w:jc w:val="center"/>
                    <w:rPr>
                      <w:rFonts w:asciiTheme="minorHAnsi" w:hAnsiTheme="minorHAnsi" w:cstheme="minorHAnsi"/>
                      <w:b/>
                      <w:bCs/>
                      <w:i/>
                      <w:iCs/>
                      <w:sz w:val="18"/>
                      <w:szCs w:val="18"/>
                    </w:rPr>
                  </w:pPr>
                  <w:r w:rsidRPr="005C646B">
                    <w:rPr>
                      <w:rFonts w:asciiTheme="minorHAnsi" w:hAnsiTheme="minorHAnsi" w:cstheme="minorHAnsi"/>
                      <w:b/>
                      <w:bCs/>
                      <w:i/>
                      <w:iCs/>
                      <w:sz w:val="18"/>
                      <w:szCs w:val="18"/>
                    </w:rPr>
                    <w:t>3.8</w:t>
                  </w:r>
                </w:p>
              </w:tc>
              <w:tc>
                <w:tcPr>
                  <w:tcW w:w="737" w:type="dxa"/>
                  <w:tcBorders>
                    <w:bottom w:val="single" w:sz="4" w:space="0" w:color="auto"/>
                  </w:tcBorders>
                  <w:vAlign w:val="center"/>
                </w:tcPr>
                <w:p w:rsidR="00B02671" w:rsidRPr="005C646B" w:rsidRDefault="00B02671" w:rsidP="00D56338">
                  <w:pPr>
                    <w:jc w:val="center"/>
                    <w:rPr>
                      <w:rFonts w:asciiTheme="minorHAnsi" w:hAnsiTheme="minorHAnsi" w:cstheme="minorHAnsi"/>
                      <w:b/>
                      <w:bCs/>
                      <w:i/>
                      <w:iCs/>
                      <w:sz w:val="18"/>
                      <w:szCs w:val="18"/>
                    </w:rPr>
                  </w:pPr>
                  <w:r w:rsidRPr="005C646B">
                    <w:rPr>
                      <w:rFonts w:asciiTheme="minorHAnsi" w:hAnsiTheme="minorHAnsi" w:cstheme="minorHAnsi"/>
                      <w:b/>
                      <w:bCs/>
                      <w:i/>
                      <w:iCs/>
                      <w:sz w:val="18"/>
                      <w:szCs w:val="18"/>
                    </w:rPr>
                    <w:t>0.0</w:t>
                  </w:r>
                </w:p>
              </w:tc>
            </w:tr>
          </w:tbl>
          <w:p w:rsidR="00B02671" w:rsidRPr="00C55B44" w:rsidRDefault="00B02671" w:rsidP="003D7E65">
            <w:pPr>
              <w:keepLines/>
              <w:spacing w:before="120" w:after="120" w:line="220" w:lineRule="exact"/>
              <w:jc w:val="both"/>
              <w:rPr>
                <w:rFonts w:asciiTheme="minorHAnsi" w:hAnsiTheme="minorHAnsi" w:cstheme="minorHAnsi"/>
                <w:sz w:val="20"/>
                <w:szCs w:val="20"/>
              </w:rPr>
            </w:pPr>
            <w:r w:rsidRPr="00C55B44">
              <w:rPr>
                <w:rFonts w:asciiTheme="minorHAnsi" w:hAnsiTheme="minorHAnsi" w:cstheme="minorHAnsi"/>
                <w:sz w:val="20"/>
                <w:szCs w:val="20"/>
              </w:rPr>
              <w:t>.. Not applicable. – Nil or rounded to 0.</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Disaggregation can lead to small cell sizes which are volatile - very small cells have been suppressed to protect confidentiality.</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Mainstream community housing</w:t>
            </w:r>
          </w:p>
          <w:p w:rsidR="00B02671" w:rsidRPr="00C55B44" w:rsidRDefault="00B02671" w:rsidP="003D7E65">
            <w:pPr>
              <w:rPr>
                <w:rFonts w:asciiTheme="minorHAnsi" w:hAnsiTheme="minorHAnsi" w:cstheme="minorHAnsi"/>
                <w:sz w:val="20"/>
                <w:szCs w:val="20"/>
              </w:rPr>
            </w:pPr>
            <w:r w:rsidRPr="00C55B44">
              <w:rPr>
                <w:rFonts w:asciiTheme="minorHAnsi" w:hAnsiTheme="minorHAnsi" w:cstheme="minorHAnsi"/>
                <w:sz w:val="20"/>
                <w:szCs w:val="20"/>
              </w:rPr>
              <w:t xml:space="preserve">Data are incomplete for some jurisdictions due to non-reporting or under reporting by community housing organisations. The information was sourced via a survey of community housing organisations conducted by state/territory housing authorities and/or from administrative records held by them. </w:t>
            </w:r>
          </w:p>
          <w:p w:rsidR="00B02671" w:rsidRPr="00C55B44" w:rsidRDefault="00B02671" w:rsidP="003D7E65">
            <w:pPr>
              <w:keepNext/>
              <w:keepLines/>
              <w:spacing w:after="40" w:line="220" w:lineRule="atLeast"/>
              <w:ind w:left="6" w:right="113"/>
              <w:jc w:val="both"/>
              <w:rPr>
                <w:rFonts w:asciiTheme="minorHAnsi" w:hAnsiTheme="minorHAnsi" w:cstheme="minorHAnsi"/>
                <w:sz w:val="20"/>
                <w:szCs w:val="20"/>
              </w:rPr>
            </w:pPr>
          </w:p>
          <w:tbl>
            <w:tblPr>
              <w:tblW w:w="7247" w:type="dxa"/>
              <w:tblLayout w:type="fixed"/>
              <w:tblLook w:val="04A0" w:firstRow="1" w:lastRow="0" w:firstColumn="1" w:lastColumn="0" w:noHBand="0" w:noVBand="1"/>
            </w:tblPr>
            <w:tblGrid>
              <w:gridCol w:w="1310"/>
              <w:gridCol w:w="709"/>
              <w:gridCol w:w="554"/>
              <w:gridCol w:w="13"/>
              <w:gridCol w:w="561"/>
              <w:gridCol w:w="712"/>
              <w:gridCol w:w="710"/>
              <w:gridCol w:w="557"/>
              <w:gridCol w:w="151"/>
              <w:gridCol w:w="728"/>
              <w:gridCol w:w="517"/>
              <w:gridCol w:w="57"/>
              <w:gridCol w:w="639"/>
              <w:gridCol w:w="29"/>
            </w:tblGrid>
            <w:tr w:rsidR="005A1C87" w:rsidRPr="00C55B44" w:rsidTr="00B24B06">
              <w:trPr>
                <w:gridAfter w:val="1"/>
                <w:wAfter w:w="20" w:type="pct"/>
                <w:trHeight w:val="270"/>
              </w:trPr>
              <w:tc>
                <w:tcPr>
                  <w:tcW w:w="904" w:type="pct"/>
                  <w:tcBorders>
                    <w:top w:val="single" w:sz="8" w:space="0" w:color="auto"/>
                    <w:left w:val="nil"/>
                    <w:bottom w:val="single" w:sz="8" w:space="0" w:color="auto"/>
                    <w:right w:val="nil"/>
                  </w:tcBorders>
                  <w:shd w:val="clear" w:color="000000" w:fill="FFFFFF"/>
                  <w:vAlign w:val="center"/>
                  <w:hideMark/>
                </w:tcPr>
                <w:p w:rsidR="00B02671" w:rsidRPr="00C55B44" w:rsidRDefault="00B02671" w:rsidP="003D7E65">
                  <w:pPr>
                    <w:rPr>
                      <w:rFonts w:asciiTheme="minorHAnsi" w:hAnsiTheme="minorHAnsi" w:cstheme="minorHAnsi"/>
                      <w:b/>
                      <w:bCs/>
                      <w:color w:val="000000"/>
                      <w:sz w:val="20"/>
                      <w:szCs w:val="20"/>
                    </w:rPr>
                  </w:pPr>
                  <w:r w:rsidRPr="00C55B44">
                    <w:rPr>
                      <w:rFonts w:asciiTheme="minorHAnsi" w:hAnsiTheme="minorHAnsi" w:cstheme="minorHAnsi"/>
                      <w:b/>
                      <w:bCs/>
                      <w:color w:val="000000"/>
                      <w:sz w:val="20"/>
                      <w:szCs w:val="20"/>
                    </w:rPr>
                    <w:t> </w:t>
                  </w:r>
                </w:p>
              </w:tc>
              <w:tc>
                <w:tcPr>
                  <w:tcW w:w="489" w:type="pct"/>
                  <w:tcBorders>
                    <w:top w:val="single" w:sz="8" w:space="0" w:color="auto"/>
                    <w:left w:val="nil"/>
                    <w:bottom w:val="single" w:sz="8" w:space="0" w:color="auto"/>
                    <w:right w:val="nil"/>
                  </w:tcBorders>
                  <w:shd w:val="clear" w:color="000000" w:fill="FFFFFF"/>
                  <w:vAlign w:val="center"/>
                  <w:hideMark/>
                </w:tcPr>
                <w:p w:rsidR="00B02671" w:rsidRPr="00D56338" w:rsidRDefault="00B02671" w:rsidP="007422A3">
                  <w:pPr>
                    <w:jc w:val="right"/>
                    <w:rPr>
                      <w:rFonts w:asciiTheme="minorHAnsi" w:hAnsiTheme="minorHAnsi" w:cstheme="minorHAnsi"/>
                      <w:b/>
                      <w:color w:val="000000"/>
                      <w:sz w:val="16"/>
                      <w:szCs w:val="16"/>
                    </w:rPr>
                  </w:pPr>
                  <w:r w:rsidRPr="00D56338">
                    <w:rPr>
                      <w:rFonts w:asciiTheme="minorHAnsi" w:hAnsiTheme="minorHAnsi" w:cstheme="minorHAnsi"/>
                      <w:b/>
                      <w:color w:val="000000"/>
                      <w:sz w:val="16"/>
                      <w:szCs w:val="16"/>
                    </w:rPr>
                    <w:t>NSW</w:t>
                  </w:r>
                </w:p>
              </w:tc>
              <w:tc>
                <w:tcPr>
                  <w:tcW w:w="391" w:type="pct"/>
                  <w:gridSpan w:val="2"/>
                  <w:tcBorders>
                    <w:top w:val="single" w:sz="8" w:space="0" w:color="auto"/>
                    <w:left w:val="nil"/>
                    <w:bottom w:val="single" w:sz="8" w:space="0" w:color="auto"/>
                    <w:right w:val="nil"/>
                  </w:tcBorders>
                  <w:shd w:val="clear" w:color="000000" w:fill="FFFFFF"/>
                  <w:vAlign w:val="center"/>
                  <w:hideMark/>
                </w:tcPr>
                <w:p w:rsidR="00B02671" w:rsidRPr="00D56338" w:rsidRDefault="00B02671" w:rsidP="007422A3">
                  <w:pPr>
                    <w:jc w:val="right"/>
                    <w:rPr>
                      <w:rFonts w:asciiTheme="minorHAnsi" w:hAnsiTheme="minorHAnsi" w:cstheme="minorHAnsi"/>
                      <w:b/>
                      <w:color w:val="000000"/>
                      <w:sz w:val="16"/>
                      <w:szCs w:val="16"/>
                    </w:rPr>
                  </w:pPr>
                  <w:r w:rsidRPr="00D56338">
                    <w:rPr>
                      <w:rFonts w:asciiTheme="minorHAnsi" w:hAnsiTheme="minorHAnsi" w:cstheme="minorHAnsi"/>
                      <w:b/>
                      <w:color w:val="000000"/>
                      <w:sz w:val="16"/>
                      <w:szCs w:val="16"/>
                    </w:rPr>
                    <w:t>Vic</w:t>
                  </w:r>
                </w:p>
              </w:tc>
              <w:tc>
                <w:tcPr>
                  <w:tcW w:w="387" w:type="pct"/>
                  <w:tcBorders>
                    <w:top w:val="single" w:sz="8" w:space="0" w:color="auto"/>
                    <w:left w:val="nil"/>
                    <w:bottom w:val="single" w:sz="8" w:space="0" w:color="auto"/>
                    <w:right w:val="nil"/>
                  </w:tcBorders>
                  <w:shd w:val="clear" w:color="000000" w:fill="FFFFFF"/>
                  <w:vAlign w:val="center"/>
                  <w:hideMark/>
                </w:tcPr>
                <w:p w:rsidR="00B02671" w:rsidRPr="00D56338" w:rsidRDefault="00B02671" w:rsidP="007422A3">
                  <w:pPr>
                    <w:jc w:val="right"/>
                    <w:rPr>
                      <w:rFonts w:asciiTheme="minorHAnsi" w:hAnsiTheme="minorHAnsi" w:cstheme="minorHAnsi"/>
                      <w:b/>
                      <w:color w:val="000000"/>
                      <w:sz w:val="16"/>
                      <w:szCs w:val="16"/>
                    </w:rPr>
                  </w:pPr>
                  <w:r w:rsidRPr="00D56338">
                    <w:rPr>
                      <w:rFonts w:asciiTheme="minorHAnsi" w:hAnsiTheme="minorHAnsi" w:cstheme="minorHAnsi"/>
                      <w:b/>
                      <w:color w:val="000000"/>
                      <w:sz w:val="16"/>
                      <w:szCs w:val="16"/>
                    </w:rPr>
                    <w:t>Qld</w:t>
                  </w:r>
                </w:p>
              </w:tc>
              <w:tc>
                <w:tcPr>
                  <w:tcW w:w="491" w:type="pct"/>
                  <w:tcBorders>
                    <w:top w:val="single" w:sz="8" w:space="0" w:color="auto"/>
                    <w:left w:val="nil"/>
                    <w:bottom w:val="single" w:sz="8" w:space="0" w:color="auto"/>
                    <w:right w:val="nil"/>
                  </w:tcBorders>
                  <w:shd w:val="clear" w:color="000000" w:fill="FFFFFF"/>
                  <w:vAlign w:val="center"/>
                  <w:hideMark/>
                </w:tcPr>
                <w:p w:rsidR="00B02671" w:rsidRPr="00D56338" w:rsidRDefault="00B02671" w:rsidP="007422A3">
                  <w:pPr>
                    <w:jc w:val="right"/>
                    <w:rPr>
                      <w:rFonts w:asciiTheme="minorHAnsi" w:hAnsiTheme="minorHAnsi" w:cstheme="minorHAnsi"/>
                      <w:b/>
                      <w:color w:val="000000"/>
                      <w:sz w:val="16"/>
                      <w:szCs w:val="16"/>
                    </w:rPr>
                  </w:pPr>
                  <w:r w:rsidRPr="00D56338">
                    <w:rPr>
                      <w:rFonts w:asciiTheme="minorHAnsi" w:hAnsiTheme="minorHAnsi" w:cstheme="minorHAnsi"/>
                      <w:b/>
                      <w:color w:val="000000"/>
                      <w:sz w:val="16"/>
                      <w:szCs w:val="16"/>
                    </w:rPr>
                    <w:t>WA</w:t>
                  </w:r>
                </w:p>
              </w:tc>
              <w:tc>
                <w:tcPr>
                  <w:tcW w:w="490" w:type="pct"/>
                  <w:tcBorders>
                    <w:top w:val="single" w:sz="8" w:space="0" w:color="auto"/>
                    <w:left w:val="nil"/>
                    <w:bottom w:val="single" w:sz="8" w:space="0" w:color="auto"/>
                    <w:right w:val="nil"/>
                  </w:tcBorders>
                  <w:shd w:val="clear" w:color="000000" w:fill="FFFFFF"/>
                  <w:vAlign w:val="center"/>
                  <w:hideMark/>
                </w:tcPr>
                <w:p w:rsidR="00B02671" w:rsidRPr="00D56338" w:rsidRDefault="00B02671" w:rsidP="007422A3">
                  <w:pPr>
                    <w:jc w:val="right"/>
                    <w:rPr>
                      <w:rFonts w:asciiTheme="minorHAnsi" w:hAnsiTheme="minorHAnsi" w:cstheme="minorHAnsi"/>
                      <w:b/>
                      <w:color w:val="000000"/>
                      <w:sz w:val="16"/>
                      <w:szCs w:val="16"/>
                    </w:rPr>
                  </w:pPr>
                  <w:r w:rsidRPr="00D56338">
                    <w:rPr>
                      <w:rFonts w:asciiTheme="minorHAnsi" w:hAnsiTheme="minorHAnsi" w:cstheme="minorHAnsi"/>
                      <w:b/>
                      <w:color w:val="000000"/>
                      <w:sz w:val="16"/>
                      <w:szCs w:val="16"/>
                    </w:rPr>
                    <w:t>SA</w:t>
                  </w:r>
                </w:p>
              </w:tc>
              <w:tc>
                <w:tcPr>
                  <w:tcW w:w="384" w:type="pct"/>
                  <w:tcBorders>
                    <w:top w:val="single" w:sz="8" w:space="0" w:color="auto"/>
                    <w:left w:val="nil"/>
                    <w:bottom w:val="single" w:sz="8" w:space="0" w:color="auto"/>
                    <w:right w:val="nil"/>
                  </w:tcBorders>
                  <w:shd w:val="clear" w:color="000000" w:fill="FFFFFF"/>
                  <w:vAlign w:val="center"/>
                  <w:hideMark/>
                </w:tcPr>
                <w:p w:rsidR="00B02671" w:rsidRPr="00D56338" w:rsidRDefault="00B02671" w:rsidP="007422A3">
                  <w:pPr>
                    <w:jc w:val="right"/>
                    <w:rPr>
                      <w:rFonts w:asciiTheme="minorHAnsi" w:hAnsiTheme="minorHAnsi" w:cstheme="minorHAnsi"/>
                      <w:b/>
                      <w:color w:val="000000"/>
                      <w:sz w:val="16"/>
                      <w:szCs w:val="16"/>
                    </w:rPr>
                  </w:pPr>
                  <w:r w:rsidRPr="00D56338">
                    <w:rPr>
                      <w:rFonts w:asciiTheme="minorHAnsi" w:hAnsiTheme="minorHAnsi" w:cstheme="minorHAnsi"/>
                      <w:b/>
                      <w:color w:val="000000"/>
                      <w:sz w:val="16"/>
                      <w:szCs w:val="16"/>
                    </w:rPr>
                    <w:t>Tas</w:t>
                  </w:r>
                </w:p>
              </w:tc>
              <w:tc>
                <w:tcPr>
                  <w:tcW w:w="606" w:type="pct"/>
                  <w:gridSpan w:val="2"/>
                  <w:tcBorders>
                    <w:top w:val="single" w:sz="8" w:space="0" w:color="auto"/>
                    <w:left w:val="nil"/>
                    <w:bottom w:val="single" w:sz="8" w:space="0" w:color="auto"/>
                    <w:right w:val="nil"/>
                  </w:tcBorders>
                  <w:shd w:val="clear" w:color="000000" w:fill="FFFFFF"/>
                  <w:vAlign w:val="center"/>
                  <w:hideMark/>
                </w:tcPr>
                <w:p w:rsidR="00B02671" w:rsidRPr="00D56338" w:rsidRDefault="00B02671" w:rsidP="007422A3">
                  <w:pPr>
                    <w:jc w:val="right"/>
                    <w:rPr>
                      <w:rFonts w:asciiTheme="minorHAnsi" w:hAnsiTheme="minorHAnsi" w:cstheme="minorHAnsi"/>
                      <w:b/>
                      <w:color w:val="000000"/>
                      <w:sz w:val="16"/>
                      <w:szCs w:val="16"/>
                    </w:rPr>
                  </w:pPr>
                  <w:r w:rsidRPr="00D56338">
                    <w:rPr>
                      <w:rFonts w:asciiTheme="minorHAnsi" w:hAnsiTheme="minorHAnsi" w:cstheme="minorHAnsi"/>
                      <w:b/>
                      <w:color w:val="000000"/>
                      <w:sz w:val="16"/>
                      <w:szCs w:val="16"/>
                    </w:rPr>
                    <w:t>ACT</w:t>
                  </w:r>
                </w:p>
              </w:tc>
              <w:tc>
                <w:tcPr>
                  <w:tcW w:w="357" w:type="pct"/>
                  <w:tcBorders>
                    <w:top w:val="single" w:sz="8" w:space="0" w:color="auto"/>
                    <w:left w:val="nil"/>
                    <w:bottom w:val="single" w:sz="8" w:space="0" w:color="auto"/>
                    <w:right w:val="nil"/>
                  </w:tcBorders>
                  <w:shd w:val="clear" w:color="000000" w:fill="FFFFFF"/>
                  <w:vAlign w:val="center"/>
                  <w:hideMark/>
                </w:tcPr>
                <w:p w:rsidR="00B02671" w:rsidRPr="00D56338" w:rsidRDefault="00B02671" w:rsidP="007422A3">
                  <w:pPr>
                    <w:jc w:val="right"/>
                    <w:rPr>
                      <w:rFonts w:asciiTheme="minorHAnsi" w:hAnsiTheme="minorHAnsi" w:cstheme="minorHAnsi"/>
                      <w:b/>
                      <w:color w:val="000000"/>
                      <w:sz w:val="16"/>
                      <w:szCs w:val="16"/>
                    </w:rPr>
                  </w:pPr>
                  <w:r w:rsidRPr="00D56338">
                    <w:rPr>
                      <w:rFonts w:asciiTheme="minorHAnsi" w:hAnsiTheme="minorHAnsi" w:cstheme="minorHAnsi"/>
                      <w:b/>
                      <w:color w:val="000000"/>
                      <w:sz w:val="16"/>
                      <w:szCs w:val="16"/>
                    </w:rPr>
                    <w:t>NT</w:t>
                  </w:r>
                </w:p>
              </w:tc>
              <w:tc>
                <w:tcPr>
                  <w:tcW w:w="480" w:type="pct"/>
                  <w:gridSpan w:val="2"/>
                  <w:tcBorders>
                    <w:top w:val="single" w:sz="8" w:space="0" w:color="auto"/>
                    <w:left w:val="nil"/>
                    <w:bottom w:val="single" w:sz="8" w:space="0" w:color="auto"/>
                    <w:right w:val="nil"/>
                  </w:tcBorders>
                  <w:shd w:val="clear" w:color="000000" w:fill="FFFFFF"/>
                  <w:vAlign w:val="center"/>
                  <w:hideMark/>
                </w:tcPr>
                <w:p w:rsidR="00B02671" w:rsidRPr="00D56338" w:rsidRDefault="00B02671" w:rsidP="007422A3">
                  <w:pPr>
                    <w:jc w:val="right"/>
                    <w:rPr>
                      <w:rFonts w:asciiTheme="minorHAnsi" w:hAnsiTheme="minorHAnsi" w:cstheme="minorHAnsi"/>
                      <w:b/>
                      <w:color w:val="000000"/>
                      <w:sz w:val="16"/>
                      <w:szCs w:val="16"/>
                    </w:rPr>
                  </w:pPr>
                  <w:r w:rsidRPr="00D56338">
                    <w:rPr>
                      <w:rFonts w:asciiTheme="minorHAnsi" w:hAnsiTheme="minorHAnsi" w:cstheme="minorHAnsi"/>
                      <w:b/>
                      <w:color w:val="000000"/>
                      <w:sz w:val="16"/>
                      <w:szCs w:val="16"/>
                    </w:rPr>
                    <w:t>Aust</w:t>
                  </w:r>
                </w:p>
              </w:tc>
            </w:tr>
            <w:tr w:rsidR="005A1C87" w:rsidRPr="00D56338" w:rsidTr="00B24B06">
              <w:trPr>
                <w:gridAfter w:val="1"/>
                <w:wAfter w:w="20" w:type="pct"/>
                <w:trHeight w:val="675"/>
              </w:trPr>
              <w:tc>
                <w:tcPr>
                  <w:tcW w:w="904" w:type="pct"/>
                  <w:tcBorders>
                    <w:top w:val="nil"/>
                    <w:left w:val="nil"/>
                    <w:bottom w:val="nil"/>
                    <w:right w:val="nil"/>
                  </w:tcBorders>
                  <w:shd w:val="clear" w:color="000000" w:fill="FFFFFF"/>
                  <w:vAlign w:val="bottom"/>
                  <w:hideMark/>
                </w:tcPr>
                <w:p w:rsidR="00B02671" w:rsidRPr="00C55B44" w:rsidRDefault="00BC2AF8" w:rsidP="003D7E65">
                  <w:pPr>
                    <w:rPr>
                      <w:rFonts w:asciiTheme="minorHAnsi" w:hAnsiTheme="minorHAnsi" w:cstheme="minorHAnsi"/>
                      <w:color w:val="000000"/>
                      <w:sz w:val="18"/>
                      <w:szCs w:val="18"/>
                    </w:rPr>
                  </w:pPr>
                  <w:r w:rsidRPr="00C55B44">
                    <w:rPr>
                      <w:rFonts w:asciiTheme="minorHAnsi" w:hAnsiTheme="minorHAnsi" w:cstheme="minorHAnsi"/>
                      <w:color w:val="000000"/>
                      <w:sz w:val="18"/>
                      <w:szCs w:val="18"/>
                    </w:rPr>
                    <w:t>Aboriginal and Torres Strait Islander</w:t>
                  </w:r>
                  <w:r w:rsidR="00B02671" w:rsidRPr="00C55B44">
                    <w:rPr>
                      <w:rFonts w:asciiTheme="minorHAnsi" w:hAnsiTheme="minorHAnsi" w:cstheme="minorHAnsi"/>
                      <w:color w:val="000000"/>
                      <w:sz w:val="18"/>
                      <w:szCs w:val="18"/>
                    </w:rPr>
                    <w:t xml:space="preserve"> ongoing households</w:t>
                  </w:r>
                </w:p>
              </w:tc>
              <w:tc>
                <w:tcPr>
                  <w:tcW w:w="489" w:type="pct"/>
                  <w:tcBorders>
                    <w:top w:val="nil"/>
                    <w:left w:val="nil"/>
                    <w:bottom w:val="nil"/>
                    <w:right w:val="nil"/>
                  </w:tcBorders>
                  <w:shd w:val="clear" w:color="000000" w:fill="FFFFFF"/>
                  <w:vAlign w:val="center"/>
                  <w:hideMark/>
                </w:tcPr>
                <w:p w:rsidR="00B02671" w:rsidRPr="00D56338" w:rsidRDefault="00B02671" w:rsidP="007422A3">
                  <w:pPr>
                    <w:jc w:val="right"/>
                    <w:rPr>
                      <w:rFonts w:asciiTheme="minorHAnsi" w:hAnsiTheme="minorHAnsi" w:cstheme="minorHAnsi"/>
                      <w:color w:val="000000"/>
                      <w:sz w:val="18"/>
                      <w:szCs w:val="18"/>
                    </w:rPr>
                  </w:pPr>
                  <w:r w:rsidRPr="00D56338">
                    <w:rPr>
                      <w:rFonts w:asciiTheme="minorHAnsi" w:hAnsiTheme="minorHAnsi" w:cstheme="minorHAnsi"/>
                      <w:color w:val="000000"/>
                      <w:sz w:val="18"/>
                      <w:szCs w:val="18"/>
                    </w:rPr>
                    <w:t>2,448</w:t>
                  </w:r>
                </w:p>
              </w:tc>
              <w:tc>
                <w:tcPr>
                  <w:tcW w:w="391" w:type="pct"/>
                  <w:gridSpan w:val="2"/>
                  <w:tcBorders>
                    <w:top w:val="nil"/>
                    <w:left w:val="nil"/>
                    <w:bottom w:val="nil"/>
                    <w:right w:val="nil"/>
                  </w:tcBorders>
                  <w:shd w:val="clear" w:color="000000" w:fill="FFFFFF"/>
                  <w:vAlign w:val="center"/>
                  <w:hideMark/>
                </w:tcPr>
                <w:p w:rsidR="00B02671" w:rsidRPr="00D56338" w:rsidRDefault="00B02671" w:rsidP="007422A3">
                  <w:pPr>
                    <w:jc w:val="right"/>
                    <w:rPr>
                      <w:rFonts w:asciiTheme="minorHAnsi" w:hAnsiTheme="minorHAnsi" w:cstheme="minorHAnsi"/>
                      <w:color w:val="000000"/>
                      <w:sz w:val="18"/>
                      <w:szCs w:val="18"/>
                    </w:rPr>
                  </w:pPr>
                  <w:r w:rsidRPr="00D56338">
                    <w:rPr>
                      <w:rFonts w:asciiTheme="minorHAnsi" w:hAnsiTheme="minorHAnsi" w:cstheme="minorHAnsi"/>
                      <w:color w:val="000000"/>
                      <w:sz w:val="18"/>
                      <w:szCs w:val="18"/>
                    </w:rPr>
                    <w:t>492</w:t>
                  </w:r>
                </w:p>
              </w:tc>
              <w:tc>
                <w:tcPr>
                  <w:tcW w:w="387" w:type="pct"/>
                  <w:tcBorders>
                    <w:top w:val="nil"/>
                    <w:left w:val="nil"/>
                    <w:bottom w:val="nil"/>
                    <w:right w:val="nil"/>
                  </w:tcBorders>
                  <w:shd w:val="clear" w:color="000000" w:fill="FFFFFF"/>
                  <w:vAlign w:val="center"/>
                  <w:hideMark/>
                </w:tcPr>
                <w:p w:rsidR="00B02671" w:rsidRPr="00D56338" w:rsidRDefault="00B02671" w:rsidP="007422A3">
                  <w:pPr>
                    <w:jc w:val="right"/>
                    <w:rPr>
                      <w:rFonts w:asciiTheme="minorHAnsi" w:hAnsiTheme="minorHAnsi" w:cstheme="minorHAnsi"/>
                      <w:color w:val="000000"/>
                      <w:sz w:val="18"/>
                      <w:szCs w:val="18"/>
                    </w:rPr>
                  </w:pPr>
                  <w:r w:rsidRPr="00D56338">
                    <w:rPr>
                      <w:rFonts w:asciiTheme="minorHAnsi" w:hAnsiTheme="minorHAnsi" w:cstheme="minorHAnsi"/>
                      <w:color w:val="000000"/>
                      <w:sz w:val="18"/>
                      <w:szCs w:val="18"/>
                    </w:rPr>
                    <w:t>na</w:t>
                  </w:r>
                </w:p>
              </w:tc>
              <w:tc>
                <w:tcPr>
                  <w:tcW w:w="491" w:type="pct"/>
                  <w:tcBorders>
                    <w:top w:val="nil"/>
                    <w:left w:val="nil"/>
                    <w:bottom w:val="nil"/>
                    <w:right w:val="nil"/>
                  </w:tcBorders>
                  <w:shd w:val="clear" w:color="000000" w:fill="FFFFFF"/>
                  <w:vAlign w:val="center"/>
                  <w:hideMark/>
                </w:tcPr>
                <w:p w:rsidR="00B02671" w:rsidRPr="00D56338" w:rsidRDefault="00B02671" w:rsidP="007422A3">
                  <w:pPr>
                    <w:jc w:val="right"/>
                    <w:rPr>
                      <w:rFonts w:asciiTheme="minorHAnsi" w:hAnsiTheme="minorHAnsi" w:cstheme="minorHAnsi"/>
                      <w:color w:val="000000"/>
                      <w:sz w:val="18"/>
                      <w:szCs w:val="18"/>
                    </w:rPr>
                  </w:pPr>
                  <w:r w:rsidRPr="00D56338">
                    <w:rPr>
                      <w:rFonts w:asciiTheme="minorHAnsi" w:hAnsiTheme="minorHAnsi" w:cstheme="minorHAnsi"/>
                      <w:color w:val="000000"/>
                      <w:sz w:val="18"/>
                      <w:szCs w:val="18"/>
                    </w:rPr>
                    <w:t>741</w:t>
                  </w:r>
                </w:p>
              </w:tc>
              <w:tc>
                <w:tcPr>
                  <w:tcW w:w="490" w:type="pct"/>
                  <w:tcBorders>
                    <w:top w:val="nil"/>
                    <w:left w:val="nil"/>
                    <w:bottom w:val="nil"/>
                    <w:right w:val="nil"/>
                  </w:tcBorders>
                  <w:shd w:val="clear" w:color="000000" w:fill="FFFFFF"/>
                  <w:vAlign w:val="center"/>
                  <w:hideMark/>
                </w:tcPr>
                <w:p w:rsidR="00B02671" w:rsidRPr="00D56338" w:rsidRDefault="00B02671" w:rsidP="007422A3">
                  <w:pPr>
                    <w:jc w:val="right"/>
                    <w:rPr>
                      <w:rFonts w:asciiTheme="minorHAnsi" w:hAnsiTheme="minorHAnsi" w:cstheme="minorHAnsi"/>
                      <w:color w:val="000000"/>
                      <w:sz w:val="18"/>
                      <w:szCs w:val="18"/>
                    </w:rPr>
                  </w:pPr>
                  <w:r w:rsidRPr="00D56338">
                    <w:rPr>
                      <w:rFonts w:asciiTheme="minorHAnsi" w:hAnsiTheme="minorHAnsi" w:cstheme="minorHAnsi"/>
                      <w:color w:val="000000"/>
                      <w:sz w:val="18"/>
                      <w:szCs w:val="18"/>
                    </w:rPr>
                    <w:t>187</w:t>
                  </w:r>
                </w:p>
              </w:tc>
              <w:tc>
                <w:tcPr>
                  <w:tcW w:w="384" w:type="pct"/>
                  <w:tcBorders>
                    <w:top w:val="nil"/>
                    <w:left w:val="nil"/>
                    <w:bottom w:val="nil"/>
                    <w:right w:val="nil"/>
                  </w:tcBorders>
                  <w:shd w:val="clear" w:color="000000" w:fill="FFFFFF"/>
                  <w:vAlign w:val="center"/>
                  <w:hideMark/>
                </w:tcPr>
                <w:p w:rsidR="00B02671" w:rsidRPr="00D56338" w:rsidRDefault="00B02671" w:rsidP="007422A3">
                  <w:pPr>
                    <w:jc w:val="right"/>
                    <w:rPr>
                      <w:rFonts w:asciiTheme="minorHAnsi" w:hAnsiTheme="minorHAnsi" w:cstheme="minorHAnsi"/>
                      <w:color w:val="000000"/>
                      <w:sz w:val="18"/>
                      <w:szCs w:val="18"/>
                    </w:rPr>
                  </w:pPr>
                  <w:r w:rsidRPr="00D56338">
                    <w:rPr>
                      <w:rFonts w:asciiTheme="minorHAnsi" w:hAnsiTheme="minorHAnsi" w:cstheme="minorHAnsi"/>
                      <w:color w:val="000000"/>
                      <w:sz w:val="18"/>
                      <w:szCs w:val="18"/>
                    </w:rPr>
                    <w:t>100</w:t>
                  </w:r>
                </w:p>
              </w:tc>
              <w:tc>
                <w:tcPr>
                  <w:tcW w:w="606" w:type="pct"/>
                  <w:gridSpan w:val="2"/>
                  <w:tcBorders>
                    <w:top w:val="nil"/>
                    <w:left w:val="nil"/>
                    <w:bottom w:val="nil"/>
                    <w:right w:val="nil"/>
                  </w:tcBorders>
                  <w:shd w:val="clear" w:color="000000" w:fill="FFFFFF"/>
                  <w:vAlign w:val="center"/>
                  <w:hideMark/>
                </w:tcPr>
                <w:p w:rsidR="00B02671" w:rsidRPr="00D56338" w:rsidRDefault="00B02671" w:rsidP="007422A3">
                  <w:pPr>
                    <w:jc w:val="right"/>
                    <w:rPr>
                      <w:rFonts w:asciiTheme="minorHAnsi" w:hAnsiTheme="minorHAnsi" w:cstheme="minorHAnsi"/>
                      <w:color w:val="000000"/>
                      <w:sz w:val="18"/>
                      <w:szCs w:val="18"/>
                    </w:rPr>
                  </w:pPr>
                  <w:r w:rsidRPr="00D56338">
                    <w:rPr>
                      <w:rFonts w:asciiTheme="minorHAnsi" w:hAnsiTheme="minorHAnsi" w:cstheme="minorHAnsi"/>
                      <w:color w:val="000000"/>
                      <w:sz w:val="18"/>
                      <w:szCs w:val="18"/>
                    </w:rPr>
                    <w:t>26</w:t>
                  </w:r>
                </w:p>
              </w:tc>
              <w:tc>
                <w:tcPr>
                  <w:tcW w:w="357" w:type="pct"/>
                  <w:tcBorders>
                    <w:top w:val="nil"/>
                    <w:left w:val="nil"/>
                    <w:bottom w:val="nil"/>
                    <w:right w:val="nil"/>
                  </w:tcBorders>
                  <w:shd w:val="clear" w:color="000000" w:fill="FFFFFF"/>
                  <w:vAlign w:val="center"/>
                  <w:hideMark/>
                </w:tcPr>
                <w:p w:rsidR="00B02671" w:rsidRPr="00D56338" w:rsidRDefault="00B02671" w:rsidP="007422A3">
                  <w:pPr>
                    <w:jc w:val="right"/>
                    <w:rPr>
                      <w:rFonts w:asciiTheme="minorHAnsi" w:hAnsiTheme="minorHAnsi" w:cstheme="minorHAnsi"/>
                      <w:color w:val="000000"/>
                      <w:sz w:val="18"/>
                      <w:szCs w:val="18"/>
                    </w:rPr>
                  </w:pPr>
                  <w:r w:rsidRPr="00D56338">
                    <w:rPr>
                      <w:rFonts w:asciiTheme="minorHAnsi" w:hAnsiTheme="minorHAnsi" w:cstheme="minorHAnsi"/>
                      <w:color w:val="000000"/>
                      <w:sz w:val="18"/>
                      <w:szCs w:val="18"/>
                    </w:rPr>
                    <w:t>na</w:t>
                  </w:r>
                </w:p>
              </w:tc>
              <w:tc>
                <w:tcPr>
                  <w:tcW w:w="480" w:type="pct"/>
                  <w:gridSpan w:val="2"/>
                  <w:tcBorders>
                    <w:top w:val="nil"/>
                    <w:left w:val="nil"/>
                    <w:bottom w:val="nil"/>
                    <w:right w:val="nil"/>
                  </w:tcBorders>
                  <w:shd w:val="clear" w:color="000000" w:fill="FFFFFF"/>
                  <w:vAlign w:val="center"/>
                  <w:hideMark/>
                </w:tcPr>
                <w:p w:rsidR="00B02671" w:rsidRPr="00D56338" w:rsidRDefault="00B02671" w:rsidP="007422A3">
                  <w:pPr>
                    <w:jc w:val="right"/>
                    <w:rPr>
                      <w:rFonts w:asciiTheme="minorHAnsi" w:hAnsiTheme="minorHAnsi" w:cstheme="minorHAnsi"/>
                      <w:color w:val="000000"/>
                      <w:sz w:val="18"/>
                      <w:szCs w:val="18"/>
                    </w:rPr>
                  </w:pPr>
                  <w:r w:rsidRPr="00D56338">
                    <w:rPr>
                      <w:rFonts w:asciiTheme="minorHAnsi" w:hAnsiTheme="minorHAnsi" w:cstheme="minorHAnsi"/>
                      <w:color w:val="000000"/>
                      <w:sz w:val="18"/>
                      <w:szCs w:val="18"/>
                    </w:rPr>
                    <w:t>5,088</w:t>
                  </w:r>
                </w:p>
              </w:tc>
            </w:tr>
            <w:tr w:rsidR="005A1C87" w:rsidRPr="00C55B44" w:rsidTr="00FB0D9C">
              <w:trPr>
                <w:trHeight w:val="1575"/>
              </w:trPr>
              <w:tc>
                <w:tcPr>
                  <w:tcW w:w="904" w:type="pct"/>
                  <w:tcBorders>
                    <w:top w:val="nil"/>
                    <w:left w:val="nil"/>
                    <w:bottom w:val="nil"/>
                    <w:right w:val="nil"/>
                  </w:tcBorders>
                  <w:shd w:val="clear" w:color="000000" w:fill="FFFFFF"/>
                  <w:vAlign w:val="center"/>
                </w:tcPr>
                <w:p w:rsidR="005A1C87" w:rsidRPr="005A1C87" w:rsidRDefault="005A1C87" w:rsidP="003D7E65">
                  <w:pPr>
                    <w:rPr>
                      <w:rFonts w:asciiTheme="minorHAnsi" w:hAnsiTheme="minorHAnsi" w:cstheme="minorHAnsi"/>
                      <w:b/>
                      <w:color w:val="000000"/>
                      <w:sz w:val="20"/>
                      <w:szCs w:val="20"/>
                    </w:rPr>
                  </w:pPr>
                  <w:r w:rsidRPr="005A1C87">
                    <w:rPr>
                      <w:rFonts w:asciiTheme="minorHAnsi" w:hAnsiTheme="minorHAnsi" w:cstheme="minorHAnsi"/>
                      <w:b/>
                      <w:color w:val="000000"/>
                      <w:sz w:val="20"/>
                      <w:szCs w:val="20"/>
                    </w:rPr>
                    <w:lastRenderedPageBreak/>
                    <w:t xml:space="preserve">Excludes </w:t>
                  </w:r>
                </w:p>
              </w:tc>
              <w:tc>
                <w:tcPr>
                  <w:tcW w:w="489" w:type="pct"/>
                  <w:tcBorders>
                    <w:top w:val="nil"/>
                    <w:left w:val="nil"/>
                    <w:bottom w:val="nil"/>
                    <w:right w:val="nil"/>
                  </w:tcBorders>
                  <w:shd w:val="clear" w:color="000000" w:fill="FFFFFF"/>
                  <w:vAlign w:val="center"/>
                </w:tcPr>
                <w:p w:rsidR="005A1C87" w:rsidRPr="005A1C87" w:rsidRDefault="005A1C87" w:rsidP="005A1C87">
                  <w:pPr>
                    <w:jc w:val="right"/>
                    <w:rPr>
                      <w:rFonts w:asciiTheme="minorHAnsi" w:hAnsiTheme="minorHAnsi" w:cstheme="minorHAnsi"/>
                      <w:b/>
                      <w:color w:val="000000"/>
                      <w:sz w:val="18"/>
                      <w:szCs w:val="18"/>
                    </w:rPr>
                  </w:pPr>
                  <w:r w:rsidRPr="005A1C87">
                    <w:rPr>
                      <w:rFonts w:asciiTheme="minorHAnsi" w:hAnsiTheme="minorHAnsi" w:cstheme="minorHAnsi"/>
                      <w:b/>
                      <w:color w:val="000000"/>
                      <w:sz w:val="18"/>
                      <w:szCs w:val="18"/>
                    </w:rPr>
                    <w:t>NSW</w:t>
                  </w:r>
                </w:p>
              </w:tc>
              <w:tc>
                <w:tcPr>
                  <w:tcW w:w="382" w:type="pct"/>
                  <w:tcBorders>
                    <w:top w:val="nil"/>
                    <w:left w:val="nil"/>
                    <w:bottom w:val="nil"/>
                    <w:right w:val="nil"/>
                  </w:tcBorders>
                  <w:shd w:val="clear" w:color="000000" w:fill="FFFFFF"/>
                  <w:vAlign w:val="center"/>
                </w:tcPr>
                <w:p w:rsidR="005A1C87" w:rsidRPr="005A1C87" w:rsidRDefault="005A1C87" w:rsidP="005A1C87">
                  <w:pPr>
                    <w:jc w:val="right"/>
                    <w:rPr>
                      <w:rFonts w:asciiTheme="minorHAnsi" w:hAnsiTheme="minorHAnsi" w:cstheme="minorHAnsi"/>
                      <w:b/>
                      <w:color w:val="000000"/>
                      <w:sz w:val="18"/>
                      <w:szCs w:val="18"/>
                    </w:rPr>
                  </w:pPr>
                  <w:r w:rsidRPr="005A1C87">
                    <w:rPr>
                      <w:rFonts w:asciiTheme="minorHAnsi" w:hAnsiTheme="minorHAnsi" w:cstheme="minorHAnsi"/>
                      <w:b/>
                      <w:color w:val="000000"/>
                      <w:sz w:val="18"/>
                      <w:szCs w:val="18"/>
                    </w:rPr>
                    <w:t>Vic</w:t>
                  </w:r>
                </w:p>
              </w:tc>
              <w:tc>
                <w:tcPr>
                  <w:tcW w:w="396" w:type="pct"/>
                  <w:gridSpan w:val="2"/>
                  <w:tcBorders>
                    <w:top w:val="nil"/>
                    <w:left w:val="nil"/>
                    <w:bottom w:val="nil"/>
                    <w:right w:val="nil"/>
                  </w:tcBorders>
                  <w:shd w:val="clear" w:color="000000" w:fill="FFFFFF"/>
                  <w:vAlign w:val="center"/>
                </w:tcPr>
                <w:p w:rsidR="005A1C87" w:rsidRPr="005A1C87" w:rsidRDefault="005A1C87" w:rsidP="005A1C87">
                  <w:pPr>
                    <w:jc w:val="right"/>
                    <w:rPr>
                      <w:rFonts w:asciiTheme="minorHAnsi" w:hAnsiTheme="minorHAnsi" w:cstheme="minorHAnsi"/>
                      <w:b/>
                      <w:color w:val="000000"/>
                      <w:sz w:val="18"/>
                      <w:szCs w:val="18"/>
                    </w:rPr>
                  </w:pPr>
                  <w:r w:rsidRPr="005A1C87">
                    <w:rPr>
                      <w:rFonts w:asciiTheme="minorHAnsi" w:hAnsiTheme="minorHAnsi" w:cstheme="minorHAnsi"/>
                      <w:b/>
                      <w:color w:val="000000"/>
                      <w:sz w:val="18"/>
                      <w:szCs w:val="18"/>
                    </w:rPr>
                    <w:t>Qld</w:t>
                  </w:r>
                </w:p>
              </w:tc>
              <w:tc>
                <w:tcPr>
                  <w:tcW w:w="491" w:type="pct"/>
                  <w:tcBorders>
                    <w:top w:val="nil"/>
                    <w:left w:val="nil"/>
                    <w:bottom w:val="nil"/>
                    <w:right w:val="nil"/>
                  </w:tcBorders>
                  <w:shd w:val="clear" w:color="000000" w:fill="FFFFFF"/>
                  <w:vAlign w:val="center"/>
                </w:tcPr>
                <w:p w:rsidR="005A1C87" w:rsidRPr="005A1C87" w:rsidRDefault="005A1C87" w:rsidP="005A1C87">
                  <w:pPr>
                    <w:jc w:val="right"/>
                    <w:rPr>
                      <w:rFonts w:asciiTheme="minorHAnsi" w:hAnsiTheme="minorHAnsi" w:cstheme="minorHAnsi"/>
                      <w:b/>
                      <w:color w:val="000000"/>
                      <w:sz w:val="18"/>
                      <w:szCs w:val="18"/>
                    </w:rPr>
                  </w:pPr>
                  <w:r w:rsidRPr="005A1C87">
                    <w:rPr>
                      <w:rFonts w:asciiTheme="minorHAnsi" w:hAnsiTheme="minorHAnsi" w:cstheme="minorHAnsi"/>
                      <w:b/>
                      <w:color w:val="000000"/>
                      <w:sz w:val="18"/>
                      <w:szCs w:val="18"/>
                    </w:rPr>
                    <w:t>WA</w:t>
                  </w:r>
                </w:p>
              </w:tc>
              <w:tc>
                <w:tcPr>
                  <w:tcW w:w="490" w:type="pct"/>
                  <w:tcBorders>
                    <w:top w:val="nil"/>
                    <w:left w:val="nil"/>
                    <w:bottom w:val="nil"/>
                    <w:right w:val="nil"/>
                  </w:tcBorders>
                  <w:shd w:val="clear" w:color="000000" w:fill="FFFFFF"/>
                  <w:vAlign w:val="center"/>
                </w:tcPr>
                <w:p w:rsidR="005A1C87" w:rsidRPr="005A1C87" w:rsidRDefault="005A1C87" w:rsidP="005A1C87">
                  <w:pPr>
                    <w:jc w:val="right"/>
                    <w:rPr>
                      <w:rFonts w:asciiTheme="minorHAnsi" w:hAnsiTheme="minorHAnsi" w:cstheme="minorHAnsi"/>
                      <w:b/>
                      <w:color w:val="000000"/>
                      <w:sz w:val="18"/>
                      <w:szCs w:val="18"/>
                    </w:rPr>
                  </w:pPr>
                  <w:r w:rsidRPr="005A1C87">
                    <w:rPr>
                      <w:rFonts w:asciiTheme="minorHAnsi" w:hAnsiTheme="minorHAnsi" w:cstheme="minorHAnsi"/>
                      <w:b/>
                      <w:color w:val="000000"/>
                      <w:sz w:val="18"/>
                      <w:szCs w:val="18"/>
                    </w:rPr>
                    <w:t>SA</w:t>
                  </w:r>
                </w:p>
              </w:tc>
              <w:tc>
                <w:tcPr>
                  <w:tcW w:w="488" w:type="pct"/>
                  <w:gridSpan w:val="2"/>
                  <w:tcBorders>
                    <w:top w:val="nil"/>
                    <w:left w:val="nil"/>
                    <w:bottom w:val="nil"/>
                    <w:right w:val="nil"/>
                  </w:tcBorders>
                  <w:shd w:val="clear" w:color="000000" w:fill="FFFFFF"/>
                  <w:vAlign w:val="center"/>
                </w:tcPr>
                <w:p w:rsidR="005A1C87" w:rsidRPr="005A1C87" w:rsidRDefault="005A1C87" w:rsidP="005A1C87">
                  <w:pPr>
                    <w:jc w:val="right"/>
                    <w:rPr>
                      <w:rFonts w:asciiTheme="minorHAnsi" w:hAnsiTheme="minorHAnsi" w:cstheme="minorHAnsi"/>
                      <w:b/>
                      <w:color w:val="000000"/>
                      <w:sz w:val="18"/>
                      <w:szCs w:val="18"/>
                    </w:rPr>
                  </w:pPr>
                  <w:r w:rsidRPr="005A1C87">
                    <w:rPr>
                      <w:rFonts w:asciiTheme="minorHAnsi" w:hAnsiTheme="minorHAnsi" w:cstheme="minorHAnsi"/>
                      <w:b/>
                      <w:color w:val="000000"/>
                      <w:sz w:val="18"/>
                      <w:szCs w:val="18"/>
                    </w:rPr>
                    <w:t>Tas</w:t>
                  </w:r>
                </w:p>
              </w:tc>
              <w:tc>
                <w:tcPr>
                  <w:tcW w:w="502" w:type="pct"/>
                  <w:tcBorders>
                    <w:top w:val="nil"/>
                    <w:left w:val="nil"/>
                    <w:bottom w:val="nil"/>
                    <w:right w:val="nil"/>
                  </w:tcBorders>
                  <w:shd w:val="clear" w:color="000000" w:fill="FFFFFF"/>
                  <w:vAlign w:val="center"/>
                </w:tcPr>
                <w:p w:rsidR="005A1C87" w:rsidRPr="005A1C87" w:rsidRDefault="005A1C87" w:rsidP="005A1C87">
                  <w:pPr>
                    <w:jc w:val="right"/>
                    <w:rPr>
                      <w:rFonts w:asciiTheme="minorHAnsi" w:hAnsiTheme="minorHAnsi" w:cstheme="minorHAnsi"/>
                      <w:b/>
                      <w:color w:val="000000"/>
                      <w:sz w:val="18"/>
                      <w:szCs w:val="18"/>
                    </w:rPr>
                  </w:pPr>
                  <w:r w:rsidRPr="005A1C87">
                    <w:rPr>
                      <w:rFonts w:asciiTheme="minorHAnsi" w:hAnsiTheme="minorHAnsi" w:cstheme="minorHAnsi"/>
                      <w:b/>
                      <w:color w:val="000000"/>
                      <w:sz w:val="18"/>
                      <w:szCs w:val="18"/>
                    </w:rPr>
                    <w:t>ACT</w:t>
                  </w:r>
                </w:p>
              </w:tc>
              <w:tc>
                <w:tcPr>
                  <w:tcW w:w="396" w:type="pct"/>
                  <w:gridSpan w:val="2"/>
                  <w:tcBorders>
                    <w:top w:val="nil"/>
                    <w:left w:val="nil"/>
                    <w:bottom w:val="nil"/>
                    <w:right w:val="nil"/>
                  </w:tcBorders>
                  <w:shd w:val="clear" w:color="000000" w:fill="FFFFFF"/>
                  <w:vAlign w:val="center"/>
                </w:tcPr>
                <w:p w:rsidR="005A1C87" w:rsidRPr="005A1C87" w:rsidRDefault="005A1C87" w:rsidP="005A1C87">
                  <w:pPr>
                    <w:jc w:val="right"/>
                    <w:rPr>
                      <w:rFonts w:asciiTheme="minorHAnsi" w:hAnsiTheme="minorHAnsi" w:cstheme="minorHAnsi"/>
                      <w:b/>
                      <w:color w:val="000000"/>
                      <w:sz w:val="18"/>
                      <w:szCs w:val="18"/>
                    </w:rPr>
                  </w:pPr>
                  <w:r w:rsidRPr="005A1C87">
                    <w:rPr>
                      <w:rFonts w:asciiTheme="minorHAnsi" w:hAnsiTheme="minorHAnsi" w:cstheme="minorHAnsi"/>
                      <w:b/>
                      <w:color w:val="000000"/>
                      <w:sz w:val="18"/>
                      <w:szCs w:val="18"/>
                    </w:rPr>
                    <w:t>NT</w:t>
                  </w:r>
                </w:p>
              </w:tc>
              <w:tc>
                <w:tcPr>
                  <w:tcW w:w="461" w:type="pct"/>
                  <w:gridSpan w:val="2"/>
                  <w:tcBorders>
                    <w:top w:val="nil"/>
                    <w:left w:val="nil"/>
                    <w:bottom w:val="nil"/>
                    <w:right w:val="nil"/>
                  </w:tcBorders>
                  <w:shd w:val="clear" w:color="000000" w:fill="FFFFFF"/>
                  <w:vAlign w:val="center"/>
                </w:tcPr>
                <w:p w:rsidR="005A1C87" w:rsidRPr="005A1C87" w:rsidRDefault="005A1C87" w:rsidP="005A1C87">
                  <w:pPr>
                    <w:jc w:val="right"/>
                    <w:rPr>
                      <w:rFonts w:asciiTheme="minorHAnsi" w:hAnsiTheme="minorHAnsi" w:cstheme="minorHAnsi"/>
                      <w:b/>
                      <w:color w:val="000000"/>
                      <w:sz w:val="18"/>
                      <w:szCs w:val="18"/>
                    </w:rPr>
                  </w:pPr>
                  <w:r w:rsidRPr="005A1C87">
                    <w:rPr>
                      <w:rFonts w:asciiTheme="minorHAnsi" w:hAnsiTheme="minorHAnsi" w:cstheme="minorHAnsi"/>
                      <w:b/>
                      <w:color w:val="000000"/>
                      <w:sz w:val="18"/>
                      <w:szCs w:val="18"/>
                    </w:rPr>
                    <w:t>Aust</w:t>
                  </w:r>
                </w:p>
              </w:tc>
            </w:tr>
            <w:tr w:rsidR="00555FBB" w:rsidRPr="00C55B44" w:rsidTr="00FB0D9C">
              <w:trPr>
                <w:trHeight w:val="1575"/>
              </w:trPr>
              <w:tc>
                <w:tcPr>
                  <w:tcW w:w="904" w:type="pct"/>
                  <w:tcBorders>
                    <w:top w:val="nil"/>
                    <w:left w:val="nil"/>
                    <w:bottom w:val="nil"/>
                    <w:right w:val="nil"/>
                  </w:tcBorders>
                  <w:shd w:val="clear" w:color="000000" w:fill="FFFFFF"/>
                  <w:vAlign w:val="center"/>
                  <w:hideMark/>
                </w:tcPr>
                <w:p w:rsidR="00B02671" w:rsidRPr="00C55B44" w:rsidRDefault="00BC2AF8" w:rsidP="003D7E65">
                  <w:pPr>
                    <w:rPr>
                      <w:rFonts w:asciiTheme="minorHAnsi" w:hAnsiTheme="minorHAnsi" w:cstheme="minorHAnsi"/>
                      <w:color w:val="000000"/>
                      <w:sz w:val="20"/>
                      <w:szCs w:val="20"/>
                    </w:rPr>
                  </w:pPr>
                  <w:r w:rsidRPr="00C55B44">
                    <w:rPr>
                      <w:rFonts w:asciiTheme="minorHAnsi" w:hAnsiTheme="minorHAnsi" w:cstheme="minorHAnsi"/>
                      <w:color w:val="000000"/>
                      <w:sz w:val="20"/>
                      <w:szCs w:val="20"/>
                    </w:rPr>
                    <w:t>Aboriginal and Torres Strait Islander</w:t>
                  </w:r>
                  <w:r w:rsidR="00B02671" w:rsidRPr="00C55B44">
                    <w:rPr>
                      <w:rFonts w:asciiTheme="minorHAnsi" w:hAnsiTheme="minorHAnsi" w:cstheme="minorHAnsi"/>
                      <w:color w:val="000000"/>
                      <w:sz w:val="20"/>
                      <w:szCs w:val="20"/>
                    </w:rPr>
                    <w:t xml:space="preserve"> households for which household and tenancy details unknown</w:t>
                  </w:r>
                </w:p>
              </w:tc>
              <w:tc>
                <w:tcPr>
                  <w:tcW w:w="489" w:type="pct"/>
                  <w:tcBorders>
                    <w:top w:val="nil"/>
                    <w:left w:val="nil"/>
                    <w:bottom w:val="nil"/>
                    <w:right w:val="nil"/>
                  </w:tcBorders>
                  <w:shd w:val="clear" w:color="000000" w:fill="FFFFFF"/>
                  <w:vAlign w:val="center"/>
                  <w:hideMark/>
                </w:tcPr>
                <w:p w:rsidR="00B02671" w:rsidRPr="001235E8" w:rsidRDefault="00B02671" w:rsidP="005A1C87">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5</w:t>
                  </w:r>
                </w:p>
              </w:tc>
              <w:tc>
                <w:tcPr>
                  <w:tcW w:w="382" w:type="pct"/>
                  <w:tcBorders>
                    <w:top w:val="nil"/>
                    <w:left w:val="nil"/>
                    <w:bottom w:val="nil"/>
                    <w:right w:val="nil"/>
                  </w:tcBorders>
                  <w:shd w:val="clear" w:color="000000" w:fill="FFFFFF"/>
                  <w:vAlign w:val="center"/>
                  <w:hideMark/>
                </w:tcPr>
                <w:p w:rsidR="00B02671" w:rsidRPr="001235E8" w:rsidRDefault="00B02671" w:rsidP="005A1C87">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46</w:t>
                  </w:r>
                </w:p>
              </w:tc>
              <w:tc>
                <w:tcPr>
                  <w:tcW w:w="396" w:type="pct"/>
                  <w:gridSpan w:val="2"/>
                  <w:tcBorders>
                    <w:top w:val="nil"/>
                    <w:left w:val="nil"/>
                    <w:bottom w:val="nil"/>
                    <w:right w:val="nil"/>
                  </w:tcBorders>
                  <w:shd w:val="clear" w:color="000000" w:fill="FFFFFF"/>
                  <w:vAlign w:val="center"/>
                  <w:hideMark/>
                </w:tcPr>
                <w:p w:rsidR="00B02671" w:rsidRPr="001235E8" w:rsidRDefault="00B02671" w:rsidP="005A1C87">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na</w:t>
                  </w:r>
                </w:p>
              </w:tc>
              <w:tc>
                <w:tcPr>
                  <w:tcW w:w="491" w:type="pct"/>
                  <w:tcBorders>
                    <w:top w:val="nil"/>
                    <w:left w:val="nil"/>
                    <w:bottom w:val="nil"/>
                    <w:right w:val="nil"/>
                  </w:tcBorders>
                  <w:shd w:val="clear" w:color="000000" w:fill="FFFFFF"/>
                  <w:vAlign w:val="center"/>
                  <w:hideMark/>
                </w:tcPr>
                <w:p w:rsidR="00B02671" w:rsidRPr="001235E8" w:rsidRDefault="00B02671" w:rsidP="005A1C87">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26</w:t>
                  </w:r>
                </w:p>
              </w:tc>
              <w:tc>
                <w:tcPr>
                  <w:tcW w:w="490" w:type="pct"/>
                  <w:tcBorders>
                    <w:top w:val="nil"/>
                    <w:left w:val="nil"/>
                    <w:bottom w:val="nil"/>
                    <w:right w:val="nil"/>
                  </w:tcBorders>
                  <w:shd w:val="clear" w:color="000000" w:fill="FFFFFF"/>
                  <w:vAlign w:val="center"/>
                  <w:hideMark/>
                </w:tcPr>
                <w:p w:rsidR="00B02671" w:rsidRPr="001235E8" w:rsidRDefault="00B02671" w:rsidP="005A1C87">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10</w:t>
                  </w:r>
                </w:p>
              </w:tc>
              <w:tc>
                <w:tcPr>
                  <w:tcW w:w="488" w:type="pct"/>
                  <w:gridSpan w:val="2"/>
                  <w:tcBorders>
                    <w:top w:val="nil"/>
                    <w:left w:val="nil"/>
                    <w:bottom w:val="nil"/>
                    <w:right w:val="nil"/>
                  </w:tcBorders>
                  <w:shd w:val="clear" w:color="000000" w:fill="FFFFFF"/>
                  <w:vAlign w:val="center"/>
                  <w:hideMark/>
                </w:tcPr>
                <w:p w:rsidR="00B02671" w:rsidRPr="001235E8" w:rsidRDefault="00B02671" w:rsidP="005A1C87">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8</w:t>
                  </w:r>
                </w:p>
              </w:tc>
              <w:tc>
                <w:tcPr>
                  <w:tcW w:w="502" w:type="pct"/>
                  <w:tcBorders>
                    <w:top w:val="nil"/>
                    <w:left w:val="nil"/>
                    <w:bottom w:val="nil"/>
                    <w:right w:val="nil"/>
                  </w:tcBorders>
                  <w:shd w:val="clear" w:color="000000" w:fill="FFFFFF"/>
                  <w:vAlign w:val="center"/>
                  <w:hideMark/>
                </w:tcPr>
                <w:p w:rsidR="00B02671" w:rsidRPr="001235E8" w:rsidRDefault="00B02671" w:rsidP="005A1C87">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0</w:t>
                  </w:r>
                </w:p>
              </w:tc>
              <w:tc>
                <w:tcPr>
                  <w:tcW w:w="396" w:type="pct"/>
                  <w:gridSpan w:val="2"/>
                  <w:tcBorders>
                    <w:top w:val="nil"/>
                    <w:left w:val="nil"/>
                    <w:bottom w:val="nil"/>
                    <w:right w:val="nil"/>
                  </w:tcBorders>
                  <w:shd w:val="clear" w:color="000000" w:fill="FFFFFF"/>
                  <w:vAlign w:val="center"/>
                  <w:hideMark/>
                </w:tcPr>
                <w:p w:rsidR="00B02671" w:rsidRPr="001235E8" w:rsidRDefault="00B02671" w:rsidP="005A1C87">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na</w:t>
                  </w:r>
                </w:p>
              </w:tc>
              <w:tc>
                <w:tcPr>
                  <w:tcW w:w="461" w:type="pct"/>
                  <w:gridSpan w:val="2"/>
                  <w:tcBorders>
                    <w:top w:val="nil"/>
                    <w:left w:val="nil"/>
                    <w:bottom w:val="nil"/>
                    <w:right w:val="nil"/>
                  </w:tcBorders>
                  <w:shd w:val="clear" w:color="000000" w:fill="FFFFFF"/>
                  <w:vAlign w:val="center"/>
                  <w:hideMark/>
                </w:tcPr>
                <w:p w:rsidR="00B02671" w:rsidRPr="001235E8" w:rsidRDefault="00B02671" w:rsidP="005A1C87">
                  <w:pPr>
                    <w:jc w:val="right"/>
                    <w:rPr>
                      <w:rFonts w:asciiTheme="minorHAnsi" w:hAnsiTheme="minorHAnsi" w:cstheme="minorHAnsi"/>
                      <w:color w:val="000000"/>
                      <w:sz w:val="18"/>
                      <w:szCs w:val="18"/>
                    </w:rPr>
                  </w:pPr>
                  <w:r w:rsidRPr="001235E8">
                    <w:rPr>
                      <w:rFonts w:asciiTheme="minorHAnsi" w:hAnsiTheme="minorHAnsi" w:cstheme="minorHAnsi"/>
                      <w:color w:val="000000"/>
                      <w:sz w:val="18"/>
                      <w:szCs w:val="18"/>
                    </w:rPr>
                    <w:t>95</w:t>
                  </w:r>
                </w:p>
              </w:tc>
            </w:tr>
            <w:tr w:rsidR="00555FBB" w:rsidRPr="00C55B44" w:rsidTr="00FB0D9C">
              <w:trPr>
                <w:trHeight w:val="435"/>
              </w:trPr>
              <w:tc>
                <w:tcPr>
                  <w:tcW w:w="904" w:type="pct"/>
                  <w:tcBorders>
                    <w:top w:val="nil"/>
                    <w:left w:val="nil"/>
                    <w:bottom w:val="single" w:sz="8" w:space="0" w:color="auto"/>
                    <w:right w:val="nil"/>
                  </w:tcBorders>
                  <w:shd w:val="clear" w:color="000000" w:fill="FFFFFF"/>
                  <w:vAlign w:val="center"/>
                  <w:hideMark/>
                </w:tcPr>
                <w:p w:rsidR="00B02671" w:rsidRPr="005A1C87" w:rsidRDefault="00B02671" w:rsidP="003D7E65">
                  <w:pPr>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Exclusion</w:t>
                  </w:r>
                  <w:r w:rsidR="00E8373C">
                    <w:rPr>
                      <w:rFonts w:asciiTheme="minorHAnsi" w:hAnsiTheme="minorHAnsi" w:cstheme="minorHAnsi"/>
                      <w:b/>
                      <w:bCs/>
                      <w:i/>
                      <w:iCs/>
                      <w:color w:val="000000"/>
                      <w:sz w:val="17"/>
                      <w:szCs w:val="18"/>
                    </w:rPr>
                    <w:t>s</w:t>
                  </w:r>
                  <w:r w:rsidR="00555FBB">
                    <w:rPr>
                      <w:rFonts w:asciiTheme="minorHAnsi" w:hAnsiTheme="minorHAnsi" w:cstheme="minorHAnsi"/>
                      <w:b/>
                      <w:bCs/>
                      <w:i/>
                      <w:iCs/>
                      <w:color w:val="000000"/>
                      <w:sz w:val="17"/>
                      <w:szCs w:val="18"/>
                    </w:rPr>
                    <w:t xml:space="preserve"> (%)</w:t>
                  </w:r>
                </w:p>
              </w:tc>
              <w:tc>
                <w:tcPr>
                  <w:tcW w:w="489" w:type="pct"/>
                  <w:tcBorders>
                    <w:top w:val="nil"/>
                    <w:left w:val="nil"/>
                    <w:bottom w:val="single" w:sz="8" w:space="0" w:color="auto"/>
                    <w:right w:val="nil"/>
                  </w:tcBorders>
                  <w:shd w:val="clear" w:color="000000" w:fill="FFFFFF"/>
                  <w:vAlign w:val="center"/>
                  <w:hideMark/>
                </w:tcPr>
                <w:p w:rsidR="00B02671" w:rsidRPr="005A1C87" w:rsidRDefault="00B02671" w:rsidP="00555FBB">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0.2</w:t>
                  </w:r>
                </w:p>
              </w:tc>
              <w:tc>
                <w:tcPr>
                  <w:tcW w:w="382" w:type="pct"/>
                  <w:tcBorders>
                    <w:top w:val="nil"/>
                    <w:left w:val="nil"/>
                    <w:bottom w:val="single" w:sz="8" w:space="0" w:color="auto"/>
                    <w:right w:val="nil"/>
                  </w:tcBorders>
                  <w:shd w:val="clear" w:color="000000" w:fill="FFFFFF"/>
                  <w:vAlign w:val="center"/>
                  <w:hideMark/>
                </w:tcPr>
                <w:p w:rsidR="00B02671" w:rsidRPr="005A1C87" w:rsidRDefault="00B02671" w:rsidP="00555FBB">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9.3</w:t>
                  </w:r>
                </w:p>
              </w:tc>
              <w:tc>
                <w:tcPr>
                  <w:tcW w:w="396" w:type="pct"/>
                  <w:gridSpan w:val="2"/>
                  <w:tcBorders>
                    <w:top w:val="nil"/>
                    <w:left w:val="nil"/>
                    <w:bottom w:val="single" w:sz="8" w:space="0" w:color="auto"/>
                    <w:right w:val="nil"/>
                  </w:tcBorders>
                  <w:shd w:val="clear" w:color="000000" w:fill="FFFFFF"/>
                  <w:vAlign w:val="center"/>
                  <w:hideMark/>
                </w:tcPr>
                <w:p w:rsidR="00B02671" w:rsidRPr="005A1C87" w:rsidRDefault="00B02671" w:rsidP="005A1C87">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na</w:t>
                  </w:r>
                </w:p>
              </w:tc>
              <w:tc>
                <w:tcPr>
                  <w:tcW w:w="491" w:type="pct"/>
                  <w:tcBorders>
                    <w:top w:val="nil"/>
                    <w:left w:val="nil"/>
                    <w:bottom w:val="single" w:sz="8" w:space="0" w:color="auto"/>
                    <w:right w:val="nil"/>
                  </w:tcBorders>
                  <w:shd w:val="clear" w:color="000000" w:fill="FFFFFF"/>
                  <w:vAlign w:val="center"/>
                  <w:hideMark/>
                </w:tcPr>
                <w:p w:rsidR="00B02671" w:rsidRPr="005A1C87" w:rsidRDefault="00B02671" w:rsidP="00555FBB">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3.5</w:t>
                  </w:r>
                </w:p>
              </w:tc>
              <w:tc>
                <w:tcPr>
                  <w:tcW w:w="490" w:type="pct"/>
                  <w:tcBorders>
                    <w:top w:val="nil"/>
                    <w:left w:val="nil"/>
                    <w:bottom w:val="single" w:sz="8" w:space="0" w:color="auto"/>
                    <w:right w:val="nil"/>
                  </w:tcBorders>
                  <w:shd w:val="clear" w:color="000000" w:fill="FFFFFF"/>
                  <w:vAlign w:val="center"/>
                  <w:hideMark/>
                </w:tcPr>
                <w:p w:rsidR="00B02671" w:rsidRPr="005A1C87" w:rsidRDefault="00B02671" w:rsidP="00555FBB">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5.3</w:t>
                  </w:r>
                </w:p>
              </w:tc>
              <w:tc>
                <w:tcPr>
                  <w:tcW w:w="488" w:type="pct"/>
                  <w:gridSpan w:val="2"/>
                  <w:tcBorders>
                    <w:top w:val="nil"/>
                    <w:left w:val="nil"/>
                    <w:bottom w:val="single" w:sz="8" w:space="0" w:color="auto"/>
                    <w:right w:val="nil"/>
                  </w:tcBorders>
                  <w:shd w:val="clear" w:color="000000" w:fill="FFFFFF"/>
                  <w:vAlign w:val="center"/>
                  <w:hideMark/>
                </w:tcPr>
                <w:p w:rsidR="00B02671" w:rsidRPr="005A1C87" w:rsidRDefault="00B02671" w:rsidP="00555FBB">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8.0</w:t>
                  </w:r>
                </w:p>
              </w:tc>
              <w:tc>
                <w:tcPr>
                  <w:tcW w:w="502" w:type="pct"/>
                  <w:tcBorders>
                    <w:top w:val="nil"/>
                    <w:left w:val="nil"/>
                    <w:bottom w:val="single" w:sz="8" w:space="0" w:color="auto"/>
                    <w:right w:val="nil"/>
                  </w:tcBorders>
                  <w:shd w:val="clear" w:color="000000" w:fill="FFFFFF"/>
                  <w:vAlign w:val="center"/>
                  <w:hideMark/>
                </w:tcPr>
                <w:p w:rsidR="00B02671" w:rsidRPr="005A1C87" w:rsidRDefault="00B02671" w:rsidP="00555FBB">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0.0</w:t>
                  </w:r>
                </w:p>
              </w:tc>
              <w:tc>
                <w:tcPr>
                  <w:tcW w:w="396" w:type="pct"/>
                  <w:gridSpan w:val="2"/>
                  <w:tcBorders>
                    <w:top w:val="nil"/>
                    <w:left w:val="nil"/>
                    <w:bottom w:val="single" w:sz="8" w:space="0" w:color="auto"/>
                    <w:right w:val="nil"/>
                  </w:tcBorders>
                  <w:shd w:val="clear" w:color="000000" w:fill="FFFFFF"/>
                  <w:vAlign w:val="center"/>
                  <w:hideMark/>
                </w:tcPr>
                <w:p w:rsidR="00B02671" w:rsidRPr="005A1C87" w:rsidRDefault="00B02671" w:rsidP="005A1C87">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na</w:t>
                  </w:r>
                </w:p>
              </w:tc>
              <w:tc>
                <w:tcPr>
                  <w:tcW w:w="461" w:type="pct"/>
                  <w:gridSpan w:val="2"/>
                  <w:tcBorders>
                    <w:top w:val="nil"/>
                    <w:left w:val="nil"/>
                    <w:bottom w:val="single" w:sz="8" w:space="0" w:color="auto"/>
                    <w:right w:val="nil"/>
                  </w:tcBorders>
                  <w:shd w:val="clear" w:color="000000" w:fill="FFFFFF"/>
                  <w:vAlign w:val="center"/>
                  <w:hideMark/>
                </w:tcPr>
                <w:p w:rsidR="00B02671" w:rsidRPr="005A1C87" w:rsidRDefault="00B02671" w:rsidP="00555FBB">
                  <w:pPr>
                    <w:jc w:val="right"/>
                    <w:rPr>
                      <w:rFonts w:asciiTheme="minorHAnsi" w:hAnsiTheme="minorHAnsi" w:cstheme="minorHAnsi"/>
                      <w:b/>
                      <w:bCs/>
                      <w:i/>
                      <w:iCs/>
                      <w:color w:val="000000"/>
                      <w:sz w:val="17"/>
                      <w:szCs w:val="18"/>
                    </w:rPr>
                  </w:pPr>
                  <w:r w:rsidRPr="005A1C87">
                    <w:rPr>
                      <w:rFonts w:asciiTheme="minorHAnsi" w:hAnsiTheme="minorHAnsi" w:cstheme="minorHAnsi"/>
                      <w:b/>
                      <w:bCs/>
                      <w:i/>
                      <w:iCs/>
                      <w:color w:val="000000"/>
                      <w:sz w:val="17"/>
                      <w:szCs w:val="18"/>
                    </w:rPr>
                    <w:t>1.9</w:t>
                  </w:r>
                </w:p>
              </w:tc>
            </w:tr>
          </w:tbl>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Indigenous community housing</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Complete data was not available for all dwellings or ICHOs in every jurisdiction. Data should be interpreted with caution as it may not fully reflect the entire funded portion of the jurisdiction. Due to poor coverage, the denominator only includes Indigenous households for which household groups and dwelling details are known. Due to poor coverage, a national value is not provided.</w:t>
            </w:r>
          </w:p>
          <w:p w:rsidR="00B02671" w:rsidRPr="00C55B44" w:rsidRDefault="00B02671" w:rsidP="003D7E65">
            <w:pPr>
              <w:pStyle w:val="TableBullet"/>
              <w:numPr>
                <w:ilvl w:val="0"/>
                <w:numId w:val="0"/>
              </w:numPr>
              <w:rPr>
                <w:rFonts w:asciiTheme="minorHAnsi" w:hAnsiTheme="minorHAnsi" w:cstheme="minorHAnsi"/>
                <w:sz w:val="20"/>
              </w:rPr>
            </w:pPr>
            <w:r w:rsidRPr="00C55B44">
              <w:rPr>
                <w:rFonts w:asciiTheme="minorHAnsi" w:hAnsiTheme="minorHAnsi" w:cstheme="minorHAnsi"/>
                <w:sz w:val="20"/>
                <w:u w:val="single"/>
              </w:rPr>
              <w:t>Completeness coverage</w:t>
            </w:r>
            <w:r w:rsidRPr="00C55B44">
              <w:rPr>
                <w:rFonts w:asciiTheme="minorHAnsi" w:hAnsiTheme="minorHAnsi" w:cstheme="minorHAnsi"/>
                <w:sz w:val="20"/>
              </w:rPr>
              <w:t>:</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Jurisdictions where coverage of the data for this indicator is less than 95</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are:</w:t>
            </w:r>
          </w:p>
          <w:p w:rsidR="00B02671" w:rsidRPr="00C55B44" w:rsidRDefault="00B02671" w:rsidP="00B02671">
            <w:pPr>
              <w:pStyle w:val="TableBullet"/>
              <w:numPr>
                <w:ilvl w:val="0"/>
                <w:numId w:val="26"/>
              </w:numPr>
              <w:spacing w:line="220" w:lineRule="atLeast"/>
              <w:rPr>
                <w:rFonts w:asciiTheme="minorHAnsi" w:hAnsiTheme="minorHAnsi" w:cstheme="minorHAnsi"/>
                <w:sz w:val="20"/>
              </w:rPr>
            </w:pPr>
            <w:r w:rsidRPr="00C55B44">
              <w:rPr>
                <w:rFonts w:asciiTheme="minorHAnsi" w:hAnsiTheme="minorHAnsi" w:cstheme="minorHAnsi"/>
                <w:sz w:val="20"/>
              </w:rPr>
              <w:t>Victoria: 81</w:t>
            </w:r>
            <w:r w:rsidR="00F11831">
              <w:rPr>
                <w:rFonts w:asciiTheme="minorHAnsi" w:hAnsiTheme="minorHAnsi" w:cstheme="minorHAnsi"/>
                <w:sz w:val="20"/>
              </w:rPr>
              <w:t xml:space="preserve"> per cent</w:t>
            </w:r>
          </w:p>
          <w:p w:rsidR="00B02671" w:rsidRPr="00C55B44" w:rsidRDefault="00B02671" w:rsidP="00B02671">
            <w:pPr>
              <w:pStyle w:val="TableBullet"/>
              <w:numPr>
                <w:ilvl w:val="0"/>
                <w:numId w:val="26"/>
              </w:numPr>
              <w:spacing w:line="220" w:lineRule="atLeast"/>
              <w:rPr>
                <w:rFonts w:asciiTheme="minorHAnsi" w:hAnsiTheme="minorHAnsi" w:cstheme="minorHAnsi"/>
                <w:sz w:val="20"/>
              </w:rPr>
            </w:pPr>
            <w:r w:rsidRPr="00C55B44">
              <w:rPr>
                <w:rFonts w:asciiTheme="minorHAnsi" w:hAnsiTheme="minorHAnsi" w:cstheme="minorHAnsi"/>
                <w:sz w:val="20"/>
              </w:rPr>
              <w:t>Queensland: 47</w:t>
            </w:r>
            <w:r w:rsidR="00F11831">
              <w:rPr>
                <w:rFonts w:asciiTheme="minorHAnsi" w:hAnsiTheme="minorHAnsi" w:cstheme="minorHAnsi"/>
                <w:sz w:val="20"/>
              </w:rPr>
              <w:t xml:space="preserve"> per cent</w:t>
            </w:r>
          </w:p>
          <w:p w:rsidR="00B02671" w:rsidRPr="00C55B44" w:rsidRDefault="00B02671" w:rsidP="00B02671">
            <w:pPr>
              <w:pStyle w:val="TableBullet"/>
              <w:numPr>
                <w:ilvl w:val="0"/>
                <w:numId w:val="26"/>
              </w:numPr>
              <w:spacing w:line="220" w:lineRule="atLeast"/>
              <w:rPr>
                <w:rFonts w:asciiTheme="minorHAnsi" w:hAnsiTheme="minorHAnsi" w:cstheme="minorHAnsi"/>
                <w:sz w:val="20"/>
              </w:rPr>
            </w:pPr>
            <w:r w:rsidRPr="00C55B44">
              <w:rPr>
                <w:rFonts w:asciiTheme="minorHAnsi" w:hAnsiTheme="minorHAnsi" w:cstheme="minorHAnsi"/>
                <w:sz w:val="20"/>
              </w:rPr>
              <w:t>Western Australia: 72</w:t>
            </w:r>
            <w:r w:rsidR="00F11831">
              <w:rPr>
                <w:rFonts w:asciiTheme="minorHAnsi" w:hAnsiTheme="minorHAnsi" w:cstheme="minorHAnsi"/>
                <w:sz w:val="20"/>
              </w:rPr>
              <w:t xml:space="preserve"> per cent</w:t>
            </w:r>
          </w:p>
        </w:tc>
      </w:tr>
      <w:tr w:rsidR="00B02671" w:rsidRPr="00C55B44" w:rsidTr="00133BAF">
        <w:trPr>
          <w:trHeight w:val="616"/>
        </w:trPr>
        <w:tc>
          <w:tcPr>
            <w:tcW w:w="1701" w:type="dxa"/>
            <w:shd w:val="clear" w:color="auto" w:fill="auto"/>
          </w:tcPr>
          <w:p w:rsidR="00B02671" w:rsidRPr="00C55B44" w:rsidRDefault="00B02671" w:rsidP="003D7E65">
            <w:pPr>
              <w:keepLines/>
              <w:spacing w:after="120" w:line="220" w:lineRule="atLeast"/>
              <w:rPr>
                <w:rFonts w:asciiTheme="minorHAnsi" w:hAnsiTheme="minorHAnsi" w:cstheme="minorHAnsi"/>
                <w:b/>
                <w:sz w:val="20"/>
                <w:szCs w:val="20"/>
              </w:rPr>
            </w:pPr>
            <w:r w:rsidRPr="00C55B44">
              <w:rPr>
                <w:rFonts w:asciiTheme="minorHAnsi" w:hAnsiTheme="minorHAnsi" w:cstheme="minorHAnsi"/>
                <w:b/>
                <w:sz w:val="20"/>
                <w:szCs w:val="20"/>
              </w:rPr>
              <w:lastRenderedPageBreak/>
              <w:t>Coherence</w:t>
            </w:r>
          </w:p>
        </w:tc>
        <w:tc>
          <w:tcPr>
            <w:tcW w:w="7371" w:type="dxa"/>
            <w:gridSpan w:val="2"/>
            <w:shd w:val="clear" w:color="auto" w:fill="auto"/>
          </w:tcPr>
          <w:p w:rsidR="00B02671" w:rsidRPr="00C55B44" w:rsidRDefault="00B02671" w:rsidP="003D7E65">
            <w:pPr>
              <w:pStyle w:val="TableBullet"/>
              <w:numPr>
                <w:ilvl w:val="0"/>
                <w:numId w:val="0"/>
              </w:numPr>
              <w:jc w:val="both"/>
              <w:rPr>
                <w:rFonts w:asciiTheme="minorHAnsi" w:hAnsiTheme="minorHAnsi" w:cstheme="minorHAnsi"/>
                <w:sz w:val="20"/>
              </w:rPr>
            </w:pPr>
            <w:r w:rsidRPr="00C55B44">
              <w:rPr>
                <w:rFonts w:asciiTheme="minorHAnsi" w:hAnsiTheme="minorHAnsi" w:cstheme="minorHAnsi"/>
                <w:sz w:val="20"/>
              </w:rPr>
              <w:t>Data for individual jurisdictions may not be comparable to previous years due to differences in the accuracy of the data over time. Differences between jurisdictions concerning incomplete or missing information, out-of-date information and coding errors can affect the coherence of the outputs.</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Public rental housing, SOMIH, mainstream community housing, and Indigenous Community</w:t>
            </w:r>
          </w:p>
          <w:p w:rsidR="00B02671" w:rsidRPr="00C55B44" w:rsidRDefault="00B02671" w:rsidP="00B02671">
            <w:pPr>
              <w:pStyle w:val="BoxListBullet"/>
              <w:spacing w:before="120" w:line="280" w:lineRule="atLeast"/>
              <w:rPr>
                <w:rFonts w:asciiTheme="minorHAnsi" w:hAnsiTheme="minorHAnsi" w:cstheme="minorHAnsi"/>
              </w:rPr>
            </w:pPr>
            <w:r w:rsidRPr="00C55B44">
              <w:rPr>
                <w:rFonts w:asciiTheme="minorHAnsi" w:hAnsiTheme="minorHAnsi" w:cstheme="minorHAnsi"/>
              </w:rPr>
              <w:t>From 2009-10, the CNOS has been used to calculate required bedrooms. In previous years, the Proxy Occupancy Standard was used, meaning that coherence over time has been affected by changes in met</w:t>
            </w:r>
            <w:r w:rsidR="00E631E4">
              <w:rPr>
                <w:rFonts w:asciiTheme="minorHAnsi" w:hAnsiTheme="minorHAnsi" w:cstheme="minorHAnsi"/>
              </w:rPr>
              <w:t>hodology</w:t>
            </w:r>
          </w:p>
          <w:p w:rsidR="00B02671" w:rsidRPr="00C55B44" w:rsidRDefault="00B02671" w:rsidP="00B02671">
            <w:pPr>
              <w:pStyle w:val="BoxListBullet"/>
              <w:spacing w:before="120" w:line="280" w:lineRule="atLeast"/>
              <w:rPr>
                <w:rFonts w:asciiTheme="minorHAnsi" w:hAnsiTheme="minorHAnsi" w:cstheme="minorHAnsi"/>
              </w:rPr>
            </w:pPr>
            <w:r w:rsidRPr="00C55B44">
              <w:rPr>
                <w:rFonts w:asciiTheme="minorHAnsi" w:hAnsiTheme="minorHAnsi" w:cstheme="minorHAnsi"/>
              </w:rPr>
              <w:t xml:space="preserve">The use of the CNOS and change to the definition of overcrowding as households requiring one bedroom or more in 2009-10 has resulted in an increase to </w:t>
            </w:r>
            <w:r w:rsidR="00E631E4">
              <w:rPr>
                <w:rFonts w:asciiTheme="minorHAnsi" w:hAnsiTheme="minorHAnsi" w:cstheme="minorHAnsi"/>
              </w:rPr>
              <w:t>the estimation of overcrowding.</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Mainstream community housing</w:t>
            </w:r>
          </w:p>
          <w:p w:rsidR="00B02671" w:rsidRPr="00C55B44" w:rsidRDefault="00B02671" w:rsidP="003D7E65">
            <w:pPr>
              <w:keepNext/>
              <w:keepLines/>
              <w:tabs>
                <w:tab w:val="left" w:pos="1455"/>
              </w:tabs>
              <w:spacing w:after="4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 xml:space="preserve">Community housing, for the purpose of this collection, includes all tenancy (rental) units under management of a community housing organisation (excluding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community housing organisations). Dwellings are excluded where the tenancy management is by the State Housing Authority or by specialist homelessness services agencies. Additional jurisdiction-specific inclusions and exclusions also apply.</w:t>
            </w:r>
          </w:p>
          <w:p w:rsidR="00B02671" w:rsidRPr="00C55B44" w:rsidRDefault="00B02671" w:rsidP="003D7E65">
            <w:pPr>
              <w:keepNext/>
              <w:keepLines/>
              <w:tabs>
                <w:tab w:val="left" w:pos="1455"/>
              </w:tabs>
              <w:spacing w:after="4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lastRenderedPageBreak/>
              <w:t>The data collected by the jurisdictions conform well in terms of reference period; however, due to the jurisdiction-specific inclusions and exclusions, the data does not conform well in terms of organisation coverage and reporting.</w:t>
            </w:r>
          </w:p>
          <w:p w:rsidR="00B02671" w:rsidRPr="00C55B44" w:rsidRDefault="00B02671" w:rsidP="003D7E65">
            <w:pPr>
              <w:pStyle w:val="TableBodyText"/>
              <w:jc w:val="both"/>
              <w:rPr>
                <w:rFonts w:asciiTheme="minorHAnsi" w:hAnsiTheme="minorHAnsi" w:cstheme="minorHAnsi"/>
                <w:sz w:val="20"/>
              </w:rPr>
            </w:pPr>
            <w:r w:rsidRPr="00C55B44">
              <w:rPr>
                <w:rFonts w:asciiTheme="minorHAnsi" w:hAnsiTheme="minorHAnsi" w:cstheme="minorHAnsi"/>
                <w:sz w:val="20"/>
              </w:rPr>
              <w:t>Not all data items required are available for all households. Only households with complete information have been included in the calculation.</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Indigenous community housing</w:t>
            </w:r>
          </w:p>
          <w:p w:rsidR="00B02671" w:rsidRPr="00C55B44" w:rsidRDefault="00B02671" w:rsidP="00B02671">
            <w:pPr>
              <w:pStyle w:val="BoxListBullet"/>
              <w:spacing w:before="120" w:line="280" w:lineRule="atLeast"/>
              <w:rPr>
                <w:rFonts w:asciiTheme="minorHAnsi" w:hAnsiTheme="minorHAnsi" w:cstheme="minorHAnsi"/>
              </w:rPr>
            </w:pPr>
            <w:r w:rsidRPr="00C55B44">
              <w:rPr>
                <w:rFonts w:asciiTheme="minorHAnsi" w:hAnsiTheme="minorHAnsi" w:cstheme="minorHAnsi"/>
              </w:rPr>
              <w:t>Data within jurisdictions may not be comparable to previous years due to variation in the ICHOs that respond to the survey or for which jurisdictions can provide data.</w:t>
            </w:r>
          </w:p>
          <w:p w:rsidR="00B02671" w:rsidRPr="00C55B44" w:rsidRDefault="00B02671" w:rsidP="00980D72">
            <w:pPr>
              <w:pStyle w:val="Box"/>
              <w:rPr>
                <w:rFonts w:asciiTheme="minorHAnsi" w:hAnsiTheme="minorHAnsi" w:cstheme="minorHAnsi"/>
              </w:rPr>
            </w:pPr>
            <w:r w:rsidRPr="00C55B44">
              <w:rPr>
                <w:rFonts w:asciiTheme="minorHAnsi" w:hAnsiTheme="minorHAnsi" w:cstheme="minorHAnsi"/>
              </w:rPr>
              <w:t xml:space="preserve">As agreed by Housing and Homelessness Information Management Group (HHIMG), from 2011-12, the tenancy management status of dwellings has been collected. This refers to whether tenancy management of dwellings is the responsibility of an </w:t>
            </w:r>
            <w:r w:rsidR="00BC2AF8" w:rsidRPr="00C55B44">
              <w:rPr>
                <w:rFonts w:asciiTheme="minorHAnsi" w:hAnsiTheme="minorHAnsi" w:cstheme="minorHAnsi"/>
              </w:rPr>
              <w:t>Aboriginal and Torres Strait Islander</w:t>
            </w:r>
            <w:r w:rsidRPr="00C55B44">
              <w:rPr>
                <w:rFonts w:asciiTheme="minorHAnsi" w:hAnsiTheme="minorHAnsi" w:cstheme="minorHAnsi"/>
              </w:rPr>
              <w:t xml:space="preserve"> Community Housing organisation (ICHO) or whether the ICH dwellings are being managed by the State/ Territory Housing Authority.</w:t>
            </w:r>
          </w:p>
        </w:tc>
      </w:tr>
      <w:tr w:rsidR="00B02671" w:rsidRPr="00C55B44" w:rsidTr="00133BAF">
        <w:trPr>
          <w:trHeight w:val="989"/>
        </w:trPr>
        <w:tc>
          <w:tcPr>
            <w:tcW w:w="1701" w:type="dxa"/>
            <w:shd w:val="clear" w:color="auto" w:fill="auto"/>
          </w:tcPr>
          <w:p w:rsidR="00B02671" w:rsidRPr="00C55B44" w:rsidRDefault="00B02671" w:rsidP="003D7E65">
            <w:pPr>
              <w:keepLines/>
              <w:spacing w:before="120" w:after="120" w:line="220" w:lineRule="atLeast"/>
              <w:ind w:left="6" w:right="-142"/>
              <w:rPr>
                <w:rFonts w:asciiTheme="minorHAnsi" w:hAnsiTheme="minorHAnsi" w:cstheme="minorHAnsi"/>
                <w:b/>
                <w:sz w:val="20"/>
                <w:szCs w:val="20"/>
              </w:rPr>
            </w:pPr>
            <w:r w:rsidRPr="00C55B44">
              <w:rPr>
                <w:rFonts w:asciiTheme="minorHAnsi" w:hAnsiTheme="minorHAnsi" w:cstheme="minorHAnsi"/>
                <w:b/>
                <w:sz w:val="20"/>
                <w:szCs w:val="20"/>
              </w:rPr>
              <w:lastRenderedPageBreak/>
              <w:t>Accessibility</w:t>
            </w:r>
          </w:p>
        </w:tc>
        <w:tc>
          <w:tcPr>
            <w:tcW w:w="7371" w:type="dxa"/>
            <w:gridSpan w:val="2"/>
            <w:shd w:val="clear" w:color="auto" w:fill="auto"/>
          </w:tcPr>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Annual data will be reported in Housing Assistance in Australia, which will be available publically on the AIHW website. Additional disaggregations are available on application and subject to jurisdiction approval.</w:t>
            </w:r>
          </w:p>
        </w:tc>
      </w:tr>
      <w:tr w:rsidR="00B02671" w:rsidRPr="00C55B44" w:rsidTr="00133BAF">
        <w:tc>
          <w:tcPr>
            <w:tcW w:w="1701" w:type="dxa"/>
            <w:shd w:val="clear" w:color="auto" w:fill="auto"/>
          </w:tcPr>
          <w:p w:rsidR="00B02671" w:rsidRPr="00C55B44" w:rsidRDefault="00B02671" w:rsidP="00FB0D9C">
            <w:pPr>
              <w:keepLines/>
              <w:spacing w:before="120" w:after="120" w:line="220" w:lineRule="atLeast"/>
              <w:ind w:left="6" w:right="-425"/>
              <w:rPr>
                <w:rFonts w:asciiTheme="minorHAnsi" w:hAnsiTheme="minorHAnsi" w:cstheme="minorHAnsi"/>
                <w:b/>
                <w:sz w:val="20"/>
                <w:szCs w:val="20"/>
              </w:rPr>
            </w:pPr>
            <w:r w:rsidRPr="00C55B44">
              <w:rPr>
                <w:rFonts w:asciiTheme="minorHAnsi" w:hAnsiTheme="minorHAnsi" w:cstheme="minorHAnsi"/>
                <w:b/>
                <w:sz w:val="20"/>
                <w:szCs w:val="20"/>
              </w:rPr>
              <w:t>Interpretability</w:t>
            </w:r>
          </w:p>
        </w:tc>
        <w:tc>
          <w:tcPr>
            <w:tcW w:w="7371" w:type="dxa"/>
            <w:gridSpan w:val="2"/>
            <w:shd w:val="clear" w:color="auto" w:fill="auto"/>
          </w:tcPr>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Metadata and definitions relating to this data source can be found in the National Housing Assistance Data Dictionary (AIHW Cat no. HOU147) (</w:t>
            </w:r>
            <w:r w:rsidRPr="00C55B44">
              <w:rPr>
                <w:rFonts w:asciiTheme="minorHAnsi" w:hAnsiTheme="minorHAnsi" w:cstheme="minorHAnsi"/>
                <w:color w:val="78A22F" w:themeColor="hyperlink"/>
                <w:sz w:val="20"/>
                <w:szCs w:val="20"/>
                <w:u w:val="single"/>
              </w:rPr>
              <w:t>http://meteor.aihw.gov.au/content/index.phtml/itemId/181162</w:t>
            </w:r>
            <w:r w:rsidRPr="00C55B44">
              <w:rPr>
                <w:rFonts w:asciiTheme="minorHAnsi" w:hAnsiTheme="minorHAnsi" w:cstheme="minorHAnsi"/>
                <w:sz w:val="20"/>
                <w:szCs w:val="20"/>
              </w:rPr>
              <w:t>).</w:t>
            </w:r>
          </w:p>
          <w:p w:rsidR="00B02671" w:rsidRPr="00C55B44" w:rsidRDefault="00B02671" w:rsidP="003D7E65">
            <w:pPr>
              <w:keepNext/>
              <w:keepLines/>
              <w:spacing w:before="120" w:after="120" w:line="220" w:lineRule="atLeast"/>
              <w:ind w:left="6" w:right="113"/>
              <w:jc w:val="both"/>
              <w:rPr>
                <w:rFonts w:asciiTheme="minorHAnsi" w:hAnsiTheme="minorHAnsi" w:cstheme="minorHAnsi"/>
                <w:sz w:val="20"/>
                <w:szCs w:val="20"/>
              </w:rPr>
            </w:pPr>
            <w:r w:rsidRPr="00C55B44">
              <w:rPr>
                <w:rFonts w:asciiTheme="minorHAnsi" w:hAnsiTheme="minorHAnsi" w:cstheme="minorHAnsi"/>
                <w:sz w:val="20"/>
                <w:szCs w:val="20"/>
              </w:rPr>
              <w:t>Supplementary information can be found in the housing collection data manuals which are available upon request from the AIHW.</w:t>
            </w:r>
          </w:p>
        </w:tc>
      </w:tr>
      <w:tr w:rsidR="00B02671" w:rsidRPr="00C55B44" w:rsidTr="00133BAF">
        <w:tblPrEx>
          <w:tblCellMar>
            <w:left w:w="0" w:type="dxa"/>
            <w:right w:w="0" w:type="dxa"/>
          </w:tblCellMar>
          <w:tblLook w:val="0000" w:firstRow="0" w:lastRow="0" w:firstColumn="0" w:lastColumn="0" w:noHBand="0" w:noVBand="0"/>
        </w:tblPrEx>
        <w:tc>
          <w:tcPr>
            <w:tcW w:w="9072" w:type="dxa"/>
            <w:gridSpan w:val="3"/>
            <w:shd w:val="clear" w:color="auto" w:fill="auto"/>
          </w:tcPr>
          <w:p w:rsidR="00B02671" w:rsidRPr="00C55B44" w:rsidRDefault="00B02671" w:rsidP="003D7E65">
            <w:pPr>
              <w:pStyle w:val="TableBodyText"/>
              <w:spacing w:before="120" w:after="120"/>
              <w:jc w:val="left"/>
              <w:rPr>
                <w:rFonts w:asciiTheme="minorHAnsi" w:hAnsiTheme="minorHAnsi" w:cstheme="minorHAnsi"/>
                <w:b/>
                <w:sz w:val="20"/>
                <w:u w:val="single"/>
              </w:rPr>
            </w:pPr>
            <w:r w:rsidRPr="00C55B44">
              <w:rPr>
                <w:rFonts w:asciiTheme="minorHAnsi" w:hAnsiTheme="minorHAnsi" w:cstheme="minorHAnsi"/>
                <w:b/>
                <w:sz w:val="20"/>
                <w:u w:val="single"/>
              </w:rPr>
              <w:t>Data Gaps/Issues Analysis</w:t>
            </w:r>
          </w:p>
        </w:tc>
      </w:tr>
      <w:tr w:rsidR="00B02671" w:rsidRPr="00C55B44" w:rsidTr="00133BAF">
        <w:tblPrEx>
          <w:tblCellMar>
            <w:left w:w="0" w:type="dxa"/>
            <w:right w:w="0" w:type="dxa"/>
          </w:tblCellMar>
          <w:tblLook w:val="0000" w:firstRow="0" w:lastRow="0" w:firstColumn="0" w:lastColumn="0" w:noHBand="0" w:noVBand="0"/>
        </w:tblPrEx>
        <w:tc>
          <w:tcPr>
            <w:tcW w:w="1870" w:type="dxa"/>
            <w:gridSpan w:val="2"/>
            <w:shd w:val="clear" w:color="auto" w:fill="auto"/>
          </w:tcPr>
          <w:p w:rsidR="00B02671" w:rsidRPr="00C55B44" w:rsidRDefault="00B02671" w:rsidP="003D7E65">
            <w:pPr>
              <w:pStyle w:val="TableBodyText"/>
              <w:spacing w:before="120" w:after="120"/>
              <w:jc w:val="left"/>
              <w:rPr>
                <w:rFonts w:asciiTheme="minorHAnsi" w:hAnsiTheme="minorHAnsi" w:cstheme="minorHAnsi"/>
                <w:b/>
                <w:color w:val="000000" w:themeColor="text1"/>
                <w:sz w:val="20"/>
              </w:rPr>
            </w:pPr>
            <w:r w:rsidRPr="00C55B44">
              <w:rPr>
                <w:rFonts w:asciiTheme="minorHAnsi" w:hAnsiTheme="minorHAnsi" w:cstheme="minorHAnsi"/>
                <w:b/>
                <w:color w:val="000000" w:themeColor="text1"/>
                <w:sz w:val="20"/>
              </w:rPr>
              <w:t>Key data gaps/ issues</w:t>
            </w:r>
          </w:p>
        </w:tc>
        <w:tc>
          <w:tcPr>
            <w:tcW w:w="7202" w:type="dxa"/>
            <w:shd w:val="clear" w:color="auto" w:fill="auto"/>
          </w:tcPr>
          <w:p w:rsidR="00B02671" w:rsidRPr="00C55B44" w:rsidRDefault="00B02671" w:rsidP="003D7E65">
            <w:pPr>
              <w:pStyle w:val="TableBodyText"/>
              <w:spacing w:before="120" w:after="120"/>
              <w:jc w:val="both"/>
              <w:rPr>
                <w:rFonts w:asciiTheme="minorHAnsi" w:hAnsiTheme="minorHAnsi" w:cstheme="minorHAnsi"/>
                <w:color w:val="000000" w:themeColor="text1"/>
                <w:sz w:val="20"/>
              </w:rPr>
            </w:pPr>
            <w:r w:rsidRPr="00C55B44">
              <w:rPr>
                <w:rFonts w:asciiTheme="minorHAnsi" w:hAnsiTheme="minorHAnsi" w:cstheme="minorHAnsi"/>
                <w:color w:val="000000" w:themeColor="text1"/>
                <w:sz w:val="20"/>
              </w:rPr>
              <w:t xml:space="preserve">The Steering Committee notes the following key data gaps/issues: </w:t>
            </w:r>
          </w:p>
          <w:p w:rsidR="00B02671" w:rsidRPr="00C55B44" w:rsidRDefault="00B02671" w:rsidP="003D7E65">
            <w:pPr>
              <w:pStyle w:val="TableBodyText"/>
              <w:spacing w:before="120" w:after="120"/>
              <w:jc w:val="both"/>
              <w:rPr>
                <w:rFonts w:asciiTheme="minorHAnsi" w:hAnsiTheme="minorHAnsi" w:cstheme="minorHAnsi"/>
                <w:b/>
                <w:i/>
                <w:color w:val="000000" w:themeColor="text1"/>
                <w:sz w:val="20"/>
              </w:rPr>
            </w:pPr>
            <w:r w:rsidRPr="00C55B44">
              <w:rPr>
                <w:rFonts w:asciiTheme="minorHAnsi" w:hAnsiTheme="minorHAnsi" w:cstheme="minorHAnsi"/>
                <w:b/>
                <w:i/>
                <w:color w:val="000000" w:themeColor="text1"/>
                <w:sz w:val="20"/>
              </w:rPr>
              <w:t>Public housing, SOMIH and community housing</w:t>
            </w:r>
          </w:p>
          <w:p w:rsidR="00B02671" w:rsidRPr="00C55B44" w:rsidRDefault="00B02671" w:rsidP="003D7E65">
            <w:pPr>
              <w:pStyle w:val="TableBodyText"/>
              <w:spacing w:before="120" w:after="120"/>
              <w:jc w:val="both"/>
              <w:rPr>
                <w:rFonts w:asciiTheme="minorHAnsi" w:hAnsiTheme="minorHAnsi" w:cstheme="minorHAnsi"/>
                <w:color w:val="000000" w:themeColor="text1"/>
                <w:sz w:val="20"/>
              </w:rPr>
            </w:pPr>
            <w:r w:rsidRPr="00C55B44">
              <w:rPr>
                <w:rFonts w:asciiTheme="minorHAnsi" w:hAnsiTheme="minorHAnsi" w:cstheme="minorHAnsi"/>
                <w:b/>
                <w:i/>
                <w:color w:val="000000" w:themeColor="text1"/>
                <w:sz w:val="20"/>
              </w:rPr>
              <w:t>Indigenous community housing</w:t>
            </w:r>
            <w:r w:rsidRPr="00C55B44">
              <w:rPr>
                <w:rFonts w:asciiTheme="minorHAnsi" w:hAnsiTheme="minorHAnsi" w:cstheme="minorHAnsi"/>
                <w:color w:val="000000" w:themeColor="text1"/>
                <w:sz w:val="20"/>
              </w:rPr>
              <w:t xml:space="preserve">: </w:t>
            </w:r>
          </w:p>
          <w:p w:rsidR="00B02671" w:rsidRPr="00C55B44" w:rsidRDefault="00B02671" w:rsidP="00B02671">
            <w:pPr>
              <w:pStyle w:val="TableBullet"/>
              <w:spacing w:line="220" w:lineRule="atLeast"/>
              <w:rPr>
                <w:rFonts w:asciiTheme="minorHAnsi" w:hAnsiTheme="minorHAnsi" w:cstheme="minorHAnsi"/>
                <w:color w:val="000000" w:themeColor="text1"/>
                <w:sz w:val="20"/>
              </w:rPr>
            </w:pPr>
            <w:r w:rsidRPr="00C55B44">
              <w:rPr>
                <w:rFonts w:asciiTheme="minorHAnsi" w:hAnsiTheme="minorHAnsi" w:cstheme="minorHAnsi"/>
                <w:color w:val="000000" w:themeColor="text1"/>
                <w:sz w:val="20"/>
              </w:rPr>
              <w:t>Only three jurisdictions reported the data required to calculate overcrowding rates.</w:t>
            </w:r>
          </w:p>
          <w:p w:rsidR="00B02671" w:rsidRPr="00C55B44" w:rsidRDefault="00B02671" w:rsidP="00B02671">
            <w:pPr>
              <w:pStyle w:val="TableBullet"/>
              <w:spacing w:line="220" w:lineRule="atLeast"/>
              <w:rPr>
                <w:rFonts w:asciiTheme="minorHAnsi" w:hAnsiTheme="minorHAnsi" w:cstheme="minorHAnsi"/>
                <w:color w:val="000000" w:themeColor="text1"/>
                <w:sz w:val="20"/>
              </w:rPr>
            </w:pPr>
            <w:r w:rsidRPr="00C55B44">
              <w:rPr>
                <w:rFonts w:asciiTheme="minorHAnsi" w:hAnsiTheme="minorHAnsi" w:cstheme="minorHAnsi"/>
                <w:color w:val="000000" w:themeColor="text1"/>
                <w:sz w:val="20"/>
              </w:rPr>
              <w:t>The data presented may not accurately represent the characteristics of the sector, particularly due to coverage issues.</w:t>
            </w:r>
          </w:p>
          <w:p w:rsidR="00B02671" w:rsidRPr="00C55B44" w:rsidRDefault="00B02671" w:rsidP="00B02671">
            <w:pPr>
              <w:pStyle w:val="TableBullet"/>
              <w:spacing w:before="120" w:after="120" w:line="220" w:lineRule="atLeast"/>
              <w:jc w:val="both"/>
              <w:rPr>
                <w:rFonts w:asciiTheme="minorHAnsi" w:hAnsiTheme="minorHAnsi" w:cstheme="minorHAnsi"/>
                <w:color w:val="000000" w:themeColor="text1"/>
                <w:sz w:val="20"/>
              </w:rPr>
            </w:pPr>
            <w:r w:rsidRPr="00C55B44">
              <w:rPr>
                <w:rFonts w:asciiTheme="minorHAnsi" w:hAnsiTheme="minorHAnsi" w:cstheme="minorHAnsi"/>
                <w:color w:val="000000" w:themeColor="text1"/>
                <w:sz w:val="20"/>
              </w:rPr>
              <w:t>Other published measures of overcrowding for Indigenous community housing define overcrowding as households requiring two or more bedrooms, rather than one as specified in the CNOS.</w:t>
            </w:r>
          </w:p>
        </w:tc>
      </w:tr>
    </w:tbl>
    <w:p w:rsidR="00B02671" w:rsidRPr="00C55B44" w:rsidRDefault="00B02671" w:rsidP="00B02671">
      <w:pPr>
        <w:pStyle w:val="BodyText"/>
        <w:rPr>
          <w:rFonts w:asciiTheme="minorHAnsi" w:hAnsiTheme="minorHAnsi" w:cstheme="minorHAnsi"/>
        </w:rPr>
      </w:pPr>
      <w:r w:rsidRPr="00C55B44">
        <w:rPr>
          <w:rFonts w:asciiTheme="minorHAnsi" w:hAnsiTheme="minorHAnsi" w:cstheme="minorHAnsi"/>
        </w:rPr>
        <w:br w:type="page"/>
      </w:r>
    </w:p>
    <w:p w:rsidR="006A2257" w:rsidRPr="00C55B44" w:rsidRDefault="00BC2AF8" w:rsidP="006A2257">
      <w:pPr>
        <w:pStyle w:val="Box"/>
        <w:rPr>
          <w:rFonts w:asciiTheme="minorHAnsi" w:hAnsiTheme="minorHAnsi" w:cstheme="minorHAnsi"/>
          <w:b/>
          <w:sz w:val="28"/>
          <w:lang w:eastAsia="en-US"/>
        </w:rPr>
      </w:pPr>
      <w:bookmarkStart w:id="12" w:name="_Toc341957199"/>
      <w:bookmarkEnd w:id="11"/>
      <w:r w:rsidRPr="00C55B44">
        <w:rPr>
          <w:rFonts w:asciiTheme="minorHAnsi" w:hAnsiTheme="minorHAnsi" w:cstheme="minorHAnsi"/>
          <w:b/>
          <w:sz w:val="28"/>
          <w:lang w:eastAsia="en-US"/>
        </w:rPr>
        <w:lastRenderedPageBreak/>
        <w:t>Aboriginal and Torres Strait Islander</w:t>
      </w:r>
      <w:r w:rsidR="006A2257" w:rsidRPr="00C55B44">
        <w:rPr>
          <w:rFonts w:asciiTheme="minorHAnsi" w:hAnsiTheme="minorHAnsi" w:cstheme="minorHAnsi"/>
          <w:b/>
          <w:sz w:val="28"/>
          <w:lang w:eastAsia="en-US"/>
        </w:rPr>
        <w:t xml:space="preserve"> households living in dwellings of an acceptable standard</w:t>
      </w:r>
      <w:bookmarkEnd w:id="12"/>
    </w:p>
    <w:p w:rsidR="006A2257" w:rsidRPr="00C55B44" w:rsidRDefault="006A2257" w:rsidP="006A2257">
      <w:pPr>
        <w:pStyle w:val="Box"/>
        <w:rPr>
          <w:rFonts w:asciiTheme="minorHAnsi" w:hAnsiTheme="minorHAnsi" w:cstheme="minorHAnsi"/>
        </w:rPr>
      </w:pPr>
      <w:r w:rsidRPr="00C55B44">
        <w:rPr>
          <w:rFonts w:asciiTheme="minorHAnsi" w:hAnsiTheme="minorHAnsi" w:cstheme="minorHAnsi"/>
        </w:rPr>
        <w:t>Data quality information for this indicator has been drafted by the AIHW, with additional Steering Committee comments.</w:t>
      </w:r>
    </w:p>
    <w:tbl>
      <w:tblPr>
        <w:tblpPr w:leftFromText="180" w:rightFromText="180" w:vertAnchor="text" w:tblpXSpec="right" w:tblpY="1"/>
        <w:tblOverlap w:val="never"/>
        <w:tblW w:w="5011" w:type="pct"/>
        <w:tblCellMar>
          <w:left w:w="0" w:type="dxa"/>
          <w:right w:w="0" w:type="dxa"/>
        </w:tblCellMar>
        <w:tblLook w:val="0000" w:firstRow="0" w:lastRow="0" w:firstColumn="0" w:lastColumn="0" w:noHBand="0" w:noVBand="0"/>
      </w:tblPr>
      <w:tblGrid>
        <w:gridCol w:w="1665"/>
        <w:gridCol w:w="190"/>
        <w:gridCol w:w="7172"/>
        <w:gridCol w:w="20"/>
      </w:tblGrid>
      <w:tr w:rsidR="006A2257" w:rsidRPr="00C55B44" w:rsidTr="003D7E65">
        <w:tc>
          <w:tcPr>
            <w:tcW w:w="5000" w:type="pct"/>
            <w:gridSpan w:val="4"/>
          </w:tcPr>
          <w:p w:rsidR="006A2257" w:rsidRPr="00C55B44" w:rsidRDefault="006A2257" w:rsidP="003D7E65">
            <w:pPr>
              <w:keepNext/>
              <w:keepLines/>
              <w:spacing w:before="120" w:line="220" w:lineRule="atLeast"/>
              <w:ind w:left="6" w:right="113"/>
              <w:rPr>
                <w:rFonts w:asciiTheme="minorHAnsi" w:hAnsiTheme="minorHAnsi" w:cstheme="minorHAnsi"/>
                <w:sz w:val="20"/>
                <w:szCs w:val="20"/>
              </w:rPr>
            </w:pPr>
            <w:r w:rsidRPr="00C55B44">
              <w:rPr>
                <w:rFonts w:asciiTheme="minorHAnsi" w:hAnsiTheme="minorHAnsi" w:cstheme="minorHAnsi"/>
                <w:b/>
                <w:sz w:val="20"/>
                <w:szCs w:val="20"/>
                <w:u w:val="single"/>
              </w:rPr>
              <w:t>Indicator definition and description</w:t>
            </w:r>
            <w:r w:rsidRPr="00C55B44">
              <w:rPr>
                <w:rFonts w:asciiTheme="minorHAnsi" w:hAnsiTheme="minorHAnsi" w:cstheme="minorHAnsi"/>
                <w:b/>
                <w:u w:val="single"/>
              </w:rPr>
              <w:t xml:space="preserve"> </w:t>
            </w:r>
          </w:p>
        </w:tc>
      </w:tr>
      <w:tr w:rsidR="006A2257" w:rsidRPr="00C55B44" w:rsidTr="003D7E65">
        <w:tc>
          <w:tcPr>
            <w:tcW w:w="920" w:type="pct"/>
          </w:tcPr>
          <w:p w:rsidR="006A2257" w:rsidRPr="00C55B44" w:rsidRDefault="006A2257" w:rsidP="003D7E65">
            <w:pPr>
              <w:keepNext/>
              <w:keepLines/>
              <w:spacing w:before="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Element</w:t>
            </w:r>
          </w:p>
        </w:tc>
        <w:tc>
          <w:tcPr>
            <w:tcW w:w="4080" w:type="pct"/>
            <w:gridSpan w:val="3"/>
          </w:tcPr>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Outcome</w:t>
            </w:r>
          </w:p>
        </w:tc>
      </w:tr>
      <w:tr w:rsidR="006A2257" w:rsidRPr="00C55B44" w:rsidTr="003D7E65">
        <w:tc>
          <w:tcPr>
            <w:tcW w:w="920" w:type="pct"/>
          </w:tcPr>
          <w:p w:rsidR="006A2257" w:rsidRPr="00C55B44" w:rsidRDefault="006A2257" w:rsidP="003D7E65">
            <w:pPr>
              <w:keepNext/>
              <w:keepLines/>
              <w:spacing w:before="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Indicator</w:t>
            </w:r>
          </w:p>
        </w:tc>
        <w:tc>
          <w:tcPr>
            <w:tcW w:w="4080" w:type="pct"/>
            <w:gridSpan w:val="3"/>
          </w:tcPr>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Proportion of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households living in dwellings of an acceptable standard</w:t>
            </w:r>
          </w:p>
        </w:tc>
      </w:tr>
      <w:tr w:rsidR="006A2257" w:rsidRPr="00C55B44" w:rsidTr="003D7E65">
        <w:tc>
          <w:tcPr>
            <w:tcW w:w="920" w:type="pct"/>
          </w:tcPr>
          <w:p w:rsidR="006A2257" w:rsidRPr="00C55B44" w:rsidRDefault="006A2257" w:rsidP="003D7E65">
            <w:pPr>
              <w:keepNext/>
              <w:keepLines/>
              <w:spacing w:before="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Measure (computation)</w:t>
            </w:r>
          </w:p>
        </w:tc>
        <w:tc>
          <w:tcPr>
            <w:tcW w:w="4080" w:type="pct"/>
            <w:gridSpan w:val="3"/>
          </w:tcPr>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u w:val="single"/>
              </w:rPr>
              <w:t>Numerator:</w:t>
            </w:r>
            <w:r w:rsidRPr="00C55B44">
              <w:rPr>
                <w:rFonts w:asciiTheme="minorHAnsi" w:hAnsiTheme="minorHAnsi" w:cstheme="minorHAnsi"/>
                <w:sz w:val="20"/>
                <w:szCs w:val="20"/>
              </w:rPr>
              <w:t xml:space="preserve"> number of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households who indicated that their dwelling has at least 4 facilities and that they are working and did not indicate that they had more than two major structural problems.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u w:val="single"/>
              </w:rPr>
              <w:t>Denominator:</w:t>
            </w:r>
            <w:r w:rsidRPr="00C55B44">
              <w:rPr>
                <w:rFonts w:asciiTheme="minorHAnsi" w:hAnsiTheme="minorHAnsi" w:cstheme="minorHAnsi"/>
                <w:sz w:val="20"/>
                <w:szCs w:val="20"/>
              </w:rPr>
              <w:t xml:space="preserve"> number of tenants who gave a valid answer to the facilities and structural problems question and who answered the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status question multiplied by 100.</w:t>
            </w:r>
          </w:p>
        </w:tc>
      </w:tr>
      <w:tr w:rsidR="006A2257" w:rsidRPr="00C55B44" w:rsidTr="003D7E65">
        <w:tc>
          <w:tcPr>
            <w:tcW w:w="920" w:type="pct"/>
          </w:tcPr>
          <w:p w:rsidR="006A2257" w:rsidRPr="00C55B44" w:rsidRDefault="006A2257" w:rsidP="003D7E65">
            <w:pPr>
              <w:keepNext/>
              <w:keepLines/>
              <w:spacing w:before="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Data source/s</w:t>
            </w:r>
          </w:p>
        </w:tc>
        <w:tc>
          <w:tcPr>
            <w:tcW w:w="4080" w:type="pct"/>
            <w:gridSpan w:val="3"/>
          </w:tcPr>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AIHW</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A contracted data collection organisation was engaged by the AIHW to conduct the 2014 National Social Housing Survey (NSHS). Data were collected via postal and online (self-completion) questionnaires from a randomly selected sample of SOMIH (South Australia and Tasmania), Public Housing and Community Housing tenants. In 2014, SOMIH tenants in New South Wales and Queensland completed the survey by face to face interview. For each s</w:t>
            </w:r>
            <w:r w:rsidR="00980D72" w:rsidRPr="00C55B44">
              <w:rPr>
                <w:rFonts w:asciiTheme="minorHAnsi" w:hAnsiTheme="minorHAnsi" w:cstheme="minorHAnsi"/>
                <w:sz w:val="20"/>
                <w:szCs w:val="20"/>
              </w:rPr>
              <w:t>ocial housing program (PH, SOMI</w:t>
            </w:r>
            <w:r w:rsidRPr="00C55B44">
              <w:rPr>
                <w:rFonts w:asciiTheme="minorHAnsi" w:hAnsiTheme="minorHAnsi" w:cstheme="minorHAnsi"/>
                <w:sz w:val="20"/>
                <w:szCs w:val="20"/>
              </w:rPr>
              <w:t>H and CH) the tenants completing the questionnaires were from all jurisdictions which operated the relevant social housing program.</w:t>
            </w:r>
          </w:p>
        </w:tc>
      </w:tr>
      <w:tr w:rsidR="006A2257" w:rsidRPr="00C55B44" w:rsidTr="003D7E65">
        <w:tc>
          <w:tcPr>
            <w:tcW w:w="5000" w:type="pct"/>
            <w:gridSpan w:val="4"/>
          </w:tcPr>
          <w:p w:rsidR="006A2257" w:rsidRPr="00C55B44" w:rsidRDefault="006A2257" w:rsidP="003D7E65">
            <w:pPr>
              <w:keepNext/>
              <w:keepLines/>
              <w:spacing w:before="120" w:line="220" w:lineRule="atLeast"/>
              <w:ind w:left="6" w:right="113"/>
              <w:rPr>
                <w:rFonts w:asciiTheme="minorHAnsi" w:hAnsiTheme="minorHAnsi" w:cstheme="minorHAnsi"/>
                <w:b/>
                <w:sz w:val="20"/>
                <w:szCs w:val="20"/>
                <w:u w:val="single"/>
              </w:rPr>
            </w:pPr>
            <w:r w:rsidRPr="00C55B44">
              <w:rPr>
                <w:rFonts w:asciiTheme="minorHAnsi" w:hAnsiTheme="minorHAnsi" w:cstheme="minorHAnsi"/>
                <w:b/>
                <w:sz w:val="20"/>
                <w:szCs w:val="20"/>
                <w:u w:val="single"/>
              </w:rPr>
              <w:t>Data Quality Framework Dimensions</w:t>
            </w:r>
          </w:p>
        </w:tc>
      </w:tr>
      <w:tr w:rsidR="006A2257" w:rsidRPr="00C55B44" w:rsidTr="003D7E65">
        <w:tc>
          <w:tcPr>
            <w:tcW w:w="920" w:type="pct"/>
          </w:tcPr>
          <w:p w:rsidR="006A2257" w:rsidRPr="00C55B44" w:rsidRDefault="006A2257" w:rsidP="003D7E65">
            <w:pPr>
              <w:keepNext/>
              <w:keepLines/>
              <w:spacing w:before="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Institutional environment</w:t>
            </w:r>
          </w:p>
        </w:tc>
        <w:tc>
          <w:tcPr>
            <w:tcW w:w="4080" w:type="pct"/>
            <w:gridSpan w:val="3"/>
          </w:tcPr>
          <w:p w:rsidR="00532140" w:rsidRPr="00C55B44" w:rsidRDefault="00532140" w:rsidP="004E39AA">
            <w:pPr>
              <w:keepNext/>
              <w:keepLines/>
              <w:spacing w:after="40" w:line="220" w:lineRule="atLeast"/>
              <w:ind w:left="364" w:right="113"/>
              <w:jc w:val="both"/>
              <w:rPr>
                <w:rFonts w:asciiTheme="minorHAnsi" w:hAnsiTheme="minorHAnsi" w:cstheme="minorHAnsi"/>
                <w:sz w:val="20"/>
              </w:rPr>
            </w:pPr>
            <w:r w:rsidRPr="00C55B44">
              <w:rPr>
                <w:rFonts w:asciiTheme="minorHAnsi" w:hAnsiTheme="minorHAnsi" w:cstheme="minorHAnsi"/>
                <w:sz w:val="20"/>
                <w:szCs w:val="20"/>
              </w:rPr>
              <w:t>The AIHW is an Australian Government statutory authority accountable to Parliament and operates under the provisions of the Australian Institute of Health and Welfare Act 1987. This Act ensures that the data collections managed by the AIHW are kept securely and under strict conditions with respect to privacy and confidentiality. More information about the AIHW is available on the A</w:t>
            </w:r>
            <w:r w:rsidR="004E39AA" w:rsidRPr="00C55B44">
              <w:rPr>
                <w:rFonts w:asciiTheme="minorHAnsi" w:hAnsiTheme="minorHAnsi" w:cstheme="minorHAnsi"/>
                <w:sz w:val="20"/>
                <w:szCs w:val="20"/>
              </w:rPr>
              <w:t>IHW website (www.aihw.gov.au).</w:t>
            </w:r>
          </w:p>
          <w:p w:rsidR="006A2257" w:rsidRPr="00C55B44" w:rsidRDefault="00532140" w:rsidP="004E39AA">
            <w:pPr>
              <w:keepNext/>
              <w:spacing w:before="120"/>
              <w:ind w:left="364"/>
              <w:rPr>
                <w:rFonts w:asciiTheme="minorHAnsi" w:hAnsiTheme="minorHAnsi" w:cstheme="minorHAnsi"/>
                <w:sz w:val="20"/>
                <w:szCs w:val="20"/>
              </w:rPr>
            </w:pPr>
            <w:r w:rsidRPr="00C55B44">
              <w:rPr>
                <w:rFonts w:asciiTheme="minorHAnsi" w:hAnsiTheme="minorHAnsi" w:cstheme="minorHAnsi"/>
                <w:sz w:val="20"/>
                <w:szCs w:val="20"/>
              </w:rP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6A2257" w:rsidRPr="00C55B44" w:rsidTr="003D7E65">
        <w:tc>
          <w:tcPr>
            <w:tcW w:w="920" w:type="pct"/>
          </w:tcPr>
          <w:p w:rsidR="006A2257" w:rsidRPr="00C55B44" w:rsidRDefault="006A2257" w:rsidP="003D7E65">
            <w:pPr>
              <w:widowControl w:val="0"/>
              <w:spacing w:before="120" w:line="220" w:lineRule="atLeast"/>
              <w:ind w:right="113"/>
              <w:rPr>
                <w:rFonts w:asciiTheme="minorHAnsi" w:hAnsiTheme="minorHAnsi" w:cstheme="minorHAnsi"/>
                <w:b/>
                <w:sz w:val="20"/>
                <w:szCs w:val="20"/>
              </w:rPr>
            </w:pPr>
            <w:r w:rsidRPr="00C55B44">
              <w:rPr>
                <w:rFonts w:asciiTheme="minorHAnsi" w:hAnsiTheme="minorHAnsi" w:cstheme="minorHAnsi"/>
                <w:b/>
                <w:sz w:val="20"/>
                <w:szCs w:val="20"/>
              </w:rPr>
              <w:t>Relevance</w:t>
            </w:r>
          </w:p>
        </w:tc>
        <w:tc>
          <w:tcPr>
            <w:tcW w:w="4080" w:type="pct"/>
            <w:gridSpan w:val="3"/>
          </w:tcPr>
          <w:p w:rsidR="006A2257" w:rsidRPr="00C55B44" w:rsidRDefault="006A2257" w:rsidP="00A0671F">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The 2014 NSHS includes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For the postal component of the survey, the speed of delivery to, and returns from, more remote locations may have affected the number of responses received from tenants in these areas.</w:t>
            </w:r>
          </w:p>
        </w:tc>
      </w:tr>
      <w:tr w:rsidR="006A2257" w:rsidRPr="00C55B44" w:rsidTr="003D7E65">
        <w:tc>
          <w:tcPr>
            <w:tcW w:w="920" w:type="pct"/>
          </w:tcPr>
          <w:p w:rsidR="006A2257" w:rsidRPr="00C55B44" w:rsidRDefault="006A2257" w:rsidP="003D7E65">
            <w:pPr>
              <w:keepLines/>
              <w:widowControl w:val="0"/>
              <w:spacing w:before="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t>Timeliness</w:t>
            </w:r>
          </w:p>
        </w:tc>
        <w:tc>
          <w:tcPr>
            <w:tcW w:w="4080" w:type="pct"/>
            <w:gridSpan w:val="3"/>
          </w:tcPr>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Data are not collected annually. Surveys for PH and CH were conducted in 2001, 2003, 2005, 2007, 2010 2012, and 2014. Surveys for SOMIH were conducted in 2005, 2007, 2012, and 2014. For SOMIH tenants in 2014, surveys were completed via mail-out for two jurisdictions (South Australia and Tasmania) and face-to-face interview in the other two jurisdictions (New South Wales and Queensland).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The fieldwork for 2014 was conducted from 6 May–22 July for the ACT. For all other jurisdictions, fieldwork was conducted from 14 May–14 August 2014.</w:t>
            </w:r>
          </w:p>
          <w:p w:rsidR="006A2257" w:rsidRPr="00C55B44" w:rsidRDefault="006A2257" w:rsidP="003D7E65">
            <w:pPr>
              <w:keepNext/>
              <w:keepLines/>
              <w:tabs>
                <w:tab w:val="num" w:pos="170"/>
              </w:tab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Fieldwork for the SOMIH face-to-face component was undertaken in NSW </w:t>
            </w:r>
            <w:r w:rsidRPr="00C55B44">
              <w:rPr>
                <w:rFonts w:asciiTheme="minorHAnsi" w:hAnsiTheme="minorHAnsi" w:cstheme="minorHAnsi"/>
                <w:sz w:val="20"/>
                <w:szCs w:val="20"/>
              </w:rPr>
              <w:lastRenderedPageBreak/>
              <w:t xml:space="preserve">from the 19 May-5 June </w:t>
            </w:r>
            <w:r w:rsidR="003D7E65" w:rsidRPr="00C55B44">
              <w:rPr>
                <w:rFonts w:asciiTheme="minorHAnsi" w:hAnsiTheme="minorHAnsi" w:cstheme="minorHAnsi"/>
                <w:sz w:val="20"/>
                <w:szCs w:val="20"/>
              </w:rPr>
              <w:t>2014 and in QLD from 3 June-2 July 2014.</w:t>
            </w:r>
          </w:p>
          <w:p w:rsidR="006A2257" w:rsidRPr="00C55B44" w:rsidRDefault="006A2257" w:rsidP="006A2257">
            <w:pPr>
              <w:keepNext/>
              <w:keepLines/>
              <w:tabs>
                <w:tab w:val="num" w:pos="170"/>
              </w:tab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Data on the characteristics of the household and its member relate to the time of the survey. Data on tenant satisfaction relate to the 12 months up to the time of the survey.</w:t>
            </w:r>
          </w:p>
        </w:tc>
      </w:tr>
      <w:tr w:rsidR="006A2257" w:rsidRPr="00C55B44" w:rsidTr="00FE557C">
        <w:trPr>
          <w:trHeight w:val="573"/>
        </w:trPr>
        <w:tc>
          <w:tcPr>
            <w:tcW w:w="920" w:type="pct"/>
          </w:tcPr>
          <w:p w:rsidR="006A2257" w:rsidRPr="00C55B44" w:rsidRDefault="006A2257" w:rsidP="003D7E65">
            <w:pPr>
              <w:keepNext/>
              <w:widowControl w:val="0"/>
              <w:spacing w:before="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lastRenderedPageBreak/>
              <w:t>Accuracy</w:t>
            </w:r>
          </w:p>
        </w:tc>
        <w:tc>
          <w:tcPr>
            <w:tcW w:w="4080" w:type="pct"/>
            <w:gridSpan w:val="3"/>
          </w:tcPr>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Missing data</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 A considerable proportion of tenants did not answer the </w:t>
            </w:r>
            <w:r w:rsidR="00BC2AF8" w:rsidRPr="00C55B44">
              <w:rPr>
                <w:rFonts w:asciiTheme="minorHAnsi" w:hAnsiTheme="minorHAnsi" w:cstheme="minorHAnsi"/>
                <w:sz w:val="20"/>
                <w:szCs w:val="20"/>
              </w:rPr>
              <w:t>Aboriginal and Torres Strait Islander</w:t>
            </w:r>
            <w:r w:rsidRPr="00C55B44">
              <w:rPr>
                <w:rFonts w:asciiTheme="minorHAnsi" w:hAnsiTheme="minorHAnsi" w:cstheme="minorHAnsi"/>
                <w:sz w:val="20"/>
                <w:szCs w:val="20"/>
              </w:rPr>
              <w:t xml:space="preserve"> status question: 20.1</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of PH tenants, 0.9</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of SOMIH tenants and 20.2</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of CH tenants did not provide a response.</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Response rates and contact rates</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The accuracy of the outputs from the 2014 NSHS are affected by the response rates across the jurisdictions and at the National level (see response rate table below).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Overall, 42,827 questionnaires were sent to tenants in PH, CH and SOMIH (South Australia and Tasmania only), of which 12,594 questionnaires were categorised as being complete and useable, representing a response rate for the 2014 survey of 32.4</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considerably higher than the 2012 survey of 16.3</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For the two SOMIH jurisdictions where the respondents completed the survey face- to-face (New South Wales and Queensland), a total of 1,581 interviews were attempted and 1,001 interviews were completed with an overall response rate of 63.3</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w:t>
            </w:r>
          </w:p>
          <w:p w:rsidR="006A2257" w:rsidRPr="00C55B44" w:rsidRDefault="007C1E30"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A low response rate does not necessarily mean that the results are biased. If the non-respondents are not systematically different in terms of how they would have answered the questions, there may be no bias, either in comparisons across jurisdictions or over time. Given the relatively low response rates for this survey, it is likely there is some bias in the estimates.</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p>
          <w:tbl>
            <w:tblPr>
              <w:tblW w:w="4560" w:type="dxa"/>
              <w:tblInd w:w="400" w:type="dxa"/>
              <w:tblLook w:val="04A0" w:firstRow="1" w:lastRow="0" w:firstColumn="1" w:lastColumn="0" w:noHBand="0" w:noVBand="1"/>
            </w:tblPr>
            <w:tblGrid>
              <w:gridCol w:w="1520"/>
              <w:gridCol w:w="1520"/>
              <w:gridCol w:w="1520"/>
            </w:tblGrid>
            <w:tr w:rsidR="006A2257" w:rsidRPr="00C55B44" w:rsidTr="003D7E65">
              <w:trPr>
                <w:trHeight w:val="30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b/>
                      <w:bCs/>
                      <w:sz w:val="18"/>
                      <w:szCs w:val="18"/>
                    </w:rPr>
                  </w:pPr>
                  <w:r w:rsidRPr="00C55B44">
                    <w:rPr>
                      <w:rFonts w:asciiTheme="minorHAnsi" w:hAnsiTheme="minorHAnsi" w:cstheme="minorHAnsi"/>
                      <w:b/>
                      <w:bCs/>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b/>
                      <w:bCs/>
                      <w:sz w:val="18"/>
                      <w:szCs w:val="18"/>
                    </w:rPr>
                  </w:pPr>
                  <w:r w:rsidRPr="00C55B44">
                    <w:rPr>
                      <w:rFonts w:asciiTheme="minorHAnsi" w:hAnsiTheme="minorHAnsi" w:cstheme="minorHAnsi"/>
                      <w:b/>
                      <w:bCs/>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b/>
                      <w:bCs/>
                      <w:sz w:val="18"/>
                      <w:szCs w:val="18"/>
                    </w:rPr>
                  </w:pPr>
                  <w:r w:rsidRPr="00C55B44">
                    <w:rPr>
                      <w:rFonts w:asciiTheme="minorHAnsi" w:hAnsiTheme="minorHAnsi" w:cstheme="minorHAnsi"/>
                      <w:b/>
                      <w:bCs/>
                      <w:sz w:val="18"/>
                      <w:szCs w:val="18"/>
                    </w:rPr>
                    <w:t>Response rate</w:t>
                  </w:r>
                </w:p>
              </w:tc>
            </w:tr>
            <w:tr w:rsidR="006A2257" w:rsidRPr="00C55B44" w:rsidTr="003D7E65">
              <w:trPr>
                <w:trHeight w:val="277"/>
              </w:trPr>
              <w:tc>
                <w:tcPr>
                  <w:tcW w:w="4560" w:type="dxa"/>
                  <w:gridSpan w:val="3"/>
                  <w:tcBorders>
                    <w:top w:val="nil"/>
                    <w:left w:val="single" w:sz="4" w:space="0" w:color="auto"/>
                    <w:bottom w:val="single" w:sz="4" w:space="0" w:color="auto"/>
                    <w:right w:val="single" w:sz="4" w:space="0" w:color="000000"/>
                  </w:tcBorders>
                  <w:shd w:val="clear" w:color="auto" w:fill="auto"/>
                  <w:vAlign w:val="center"/>
                  <w:hideMark/>
                </w:tcPr>
                <w:p w:rsidR="006A2257" w:rsidRPr="00C55B44" w:rsidRDefault="006A2257" w:rsidP="00841049">
                  <w:pPr>
                    <w:framePr w:hSpace="180" w:wrap="around" w:vAnchor="text" w:hAnchor="text" w:xAlign="right" w:y="1"/>
                    <w:suppressOverlap/>
                    <w:rPr>
                      <w:rFonts w:asciiTheme="minorHAnsi" w:hAnsiTheme="minorHAnsi" w:cstheme="minorHAnsi"/>
                      <w:b/>
                      <w:bCs/>
                      <w:sz w:val="18"/>
                      <w:szCs w:val="18"/>
                    </w:rPr>
                  </w:pPr>
                  <w:r w:rsidRPr="00C55B44">
                    <w:rPr>
                      <w:rFonts w:asciiTheme="minorHAnsi" w:hAnsiTheme="minorHAnsi" w:cstheme="minorHAnsi"/>
                      <w:b/>
                      <w:bCs/>
                      <w:sz w:val="18"/>
                      <w:szCs w:val="18"/>
                    </w:rPr>
                    <w:t>P</w:t>
                  </w:r>
                  <w:r w:rsidR="003D7E65" w:rsidRPr="00C55B44">
                    <w:rPr>
                      <w:rFonts w:asciiTheme="minorHAnsi" w:hAnsiTheme="minorHAnsi" w:cstheme="minorHAnsi"/>
                      <w:b/>
                      <w:bCs/>
                      <w:sz w:val="18"/>
                      <w:szCs w:val="18"/>
                    </w:rPr>
                    <w:t>ublic housing</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4,991</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40.0%</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585</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36.2%</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564</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43.3%</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619</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45.5%</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504</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24.7%</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954</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27.3%</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34.9%</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509</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27.3%</w:t>
                  </w:r>
                </w:p>
              </w:tc>
            </w:tr>
            <w:tr w:rsidR="006A2257" w:rsidRPr="00C55B44" w:rsidTr="003D7E6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A2257" w:rsidRPr="00C55B44" w:rsidRDefault="006A2257" w:rsidP="00841049">
                  <w:pPr>
                    <w:framePr w:hSpace="180" w:wrap="around" w:vAnchor="text" w:hAnchor="text" w:xAlign="right" w:y="1"/>
                    <w:suppressOverlap/>
                    <w:rPr>
                      <w:rFonts w:asciiTheme="minorHAnsi" w:hAnsiTheme="minorHAnsi" w:cstheme="minorHAnsi"/>
                      <w:b/>
                      <w:bCs/>
                      <w:sz w:val="18"/>
                      <w:szCs w:val="18"/>
                    </w:rPr>
                  </w:pPr>
                  <w:r w:rsidRPr="00C55B44">
                    <w:rPr>
                      <w:rFonts w:asciiTheme="minorHAnsi" w:hAnsiTheme="minorHAnsi" w:cstheme="minorHAnsi"/>
                      <w:b/>
                      <w:bCs/>
                      <w:sz w:val="18"/>
                      <w:szCs w:val="18"/>
                    </w:rPr>
                    <w:t>C</w:t>
                  </w:r>
                  <w:r w:rsidR="003D7E65" w:rsidRPr="00C55B44">
                    <w:rPr>
                      <w:rFonts w:asciiTheme="minorHAnsi" w:hAnsiTheme="minorHAnsi" w:cstheme="minorHAnsi"/>
                      <w:b/>
                      <w:bCs/>
                      <w:sz w:val="18"/>
                      <w:szCs w:val="18"/>
                    </w:rPr>
                    <w:t>ommunity housing</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1061</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26.3%</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367</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40.8%</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35.9%</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354</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32.8%</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124</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24.0%</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361</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37.1%</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lastRenderedPageBreak/>
                    <w:t>TAS</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300</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29.2%</w:t>
                  </w:r>
                </w:p>
              </w:tc>
            </w:tr>
            <w:tr w:rsidR="006A2257" w:rsidRPr="00C55B44" w:rsidTr="003D7E65">
              <w:trPr>
                <w:trHeight w:val="300"/>
              </w:trPr>
              <w:tc>
                <w:tcPr>
                  <w:tcW w:w="456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A2257" w:rsidRPr="00C55B44" w:rsidRDefault="006A2257" w:rsidP="00841049">
                  <w:pPr>
                    <w:framePr w:hSpace="180" w:wrap="around" w:vAnchor="text" w:hAnchor="text" w:xAlign="right" w:y="1"/>
                    <w:suppressOverlap/>
                    <w:rPr>
                      <w:rFonts w:asciiTheme="minorHAnsi" w:hAnsiTheme="minorHAnsi" w:cstheme="minorHAnsi"/>
                      <w:b/>
                      <w:bCs/>
                      <w:sz w:val="18"/>
                      <w:szCs w:val="18"/>
                    </w:rPr>
                  </w:pPr>
                  <w:r w:rsidRPr="00C55B44">
                    <w:rPr>
                      <w:rFonts w:asciiTheme="minorHAnsi" w:hAnsiTheme="minorHAnsi" w:cstheme="minorHAnsi"/>
                      <w:b/>
                      <w:bCs/>
                      <w:sz w:val="18"/>
                      <w:szCs w:val="18"/>
                    </w:rPr>
                    <w:t>SOMIH</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501</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54.9%</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500</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74.7%</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307</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18.7%</w:t>
                  </w:r>
                </w:p>
              </w:tc>
            </w:tr>
            <w:tr w:rsidR="006A2257" w:rsidRPr="00C55B44" w:rsidTr="003D7E65">
              <w:trPr>
                <w:trHeight w:val="300"/>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83</w:t>
                  </w:r>
                </w:p>
              </w:tc>
              <w:tc>
                <w:tcPr>
                  <w:tcW w:w="1520" w:type="dxa"/>
                  <w:tcBorders>
                    <w:top w:val="nil"/>
                    <w:left w:val="nil"/>
                    <w:bottom w:val="single" w:sz="4" w:space="0" w:color="auto"/>
                    <w:right w:val="single" w:sz="4" w:space="0" w:color="auto"/>
                  </w:tcBorders>
                  <w:shd w:val="clear" w:color="auto" w:fill="auto"/>
                  <w:vAlign w:val="center"/>
                  <w:hideMark/>
                </w:tcPr>
                <w:p w:rsidR="006A2257" w:rsidRPr="00C55B44" w:rsidRDefault="006A2257" w:rsidP="00841049">
                  <w:pPr>
                    <w:framePr w:hSpace="180" w:wrap="around" w:vAnchor="text" w:hAnchor="text" w:xAlign="right" w:y="1"/>
                    <w:suppressOverlap/>
                    <w:jc w:val="center"/>
                    <w:rPr>
                      <w:rFonts w:asciiTheme="minorHAnsi" w:hAnsiTheme="minorHAnsi" w:cstheme="minorHAnsi"/>
                      <w:sz w:val="18"/>
                      <w:szCs w:val="18"/>
                    </w:rPr>
                  </w:pPr>
                  <w:r w:rsidRPr="00C55B44">
                    <w:rPr>
                      <w:rFonts w:asciiTheme="minorHAnsi" w:hAnsiTheme="minorHAnsi" w:cstheme="minorHAnsi"/>
                      <w:sz w:val="18"/>
                      <w:szCs w:val="18"/>
                    </w:rPr>
                    <w:t>26.9%</w:t>
                  </w:r>
                </w:p>
              </w:tc>
            </w:tr>
          </w:tbl>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Scope and coverage</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For the 2014 NSHS, caution should be used when comparing trend data or data between jurisdictions due to differences in response rates and non-sampling error.</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The 2014 NSHS sampling and stratification methods were similar to the 2012 survey i.e. sample was randomly selected of each jurisdiction’s PH, SOMIH and CH tenants. As requested by NSW stratified sampling by region/area was undertaken for NSW PH tenancies.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The 2014 NSHS was designed to meet minimum reliability objectives for key variables for each housing program. </w:t>
            </w:r>
          </w:p>
          <w:p w:rsidR="00FE557C" w:rsidRPr="00C55B44" w:rsidRDefault="00FE557C" w:rsidP="003D7E65">
            <w:pPr>
              <w:keepNext/>
              <w:keepLines/>
              <w:spacing w:after="40" w:line="220" w:lineRule="atLeast"/>
              <w:ind w:left="360" w:right="113"/>
              <w:jc w:val="both"/>
              <w:rPr>
                <w:rFonts w:asciiTheme="minorHAnsi" w:hAnsiTheme="minorHAnsi" w:cstheme="minorHAnsi"/>
                <w:sz w:val="20"/>
                <w:szCs w:val="20"/>
                <w:u w:val="single"/>
              </w:rPr>
            </w:pP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Sample design</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Simple random sampling was undertaken for all housing programs except for NSW PH in which stratified sampling was undertaken in order to obtain minimum sample size requirements for each area.</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To produce reliable estimates, minimum sample sizes were set for each housing program. An additional overall 5350 booster sample was included: NSW PH (4,000) NSW CH (750) and WA PH (600).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The weighting for the 2014 survey was calculated as the number of households in each jurisdiction (population) divided by the number of usable surveys (responses).  All population counts were provided by the AIHW.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No completed survey was received from VIC PH ARIA 3, SA PH ARIA 4, TAS PH ARIA 4, NT PH ARIA 4 and SA CH ARIA 4. These areas are excluded from weighting.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Sampling error</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The measure used to indicate reliability of individual estimates reported in 2014 was the relative standard error (RSE). Only estimates with RSEs of less than 25</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are considered sufficiently reliable for most purposes. Results subject to RSEs of between 25</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and 50</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should be considered with caution and those with relative standard errors greater than 50</w:t>
            </w:r>
            <w:r w:rsidR="00F11831">
              <w:rPr>
                <w:rFonts w:asciiTheme="minorHAnsi" w:hAnsiTheme="minorHAnsi" w:cstheme="minorHAnsi"/>
                <w:sz w:val="20"/>
                <w:szCs w:val="20"/>
              </w:rPr>
              <w:t xml:space="preserve"> per cent</w:t>
            </w:r>
            <w:r w:rsidRPr="00C55B44">
              <w:rPr>
                <w:rFonts w:asciiTheme="minorHAnsi" w:hAnsiTheme="minorHAnsi" w:cstheme="minorHAnsi"/>
                <w:sz w:val="20"/>
                <w:szCs w:val="20"/>
              </w:rPr>
              <w:t xml:space="preserve"> should be considered as unreliable for most practical purposes.</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u w:val="single"/>
              </w:rPr>
            </w:pPr>
            <w:r w:rsidRPr="00C55B44">
              <w:rPr>
                <w:rFonts w:asciiTheme="minorHAnsi" w:hAnsiTheme="minorHAnsi" w:cstheme="minorHAnsi"/>
                <w:sz w:val="20"/>
                <w:szCs w:val="20"/>
                <w:u w:val="single"/>
              </w:rPr>
              <w:t>Non-sampling error</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In addition to sampling errors, the estimates are subject to non-sampling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The survey findings are based on self-reported data.</w:t>
            </w:r>
          </w:p>
        </w:tc>
      </w:tr>
      <w:tr w:rsidR="006A2257" w:rsidRPr="00C55B44" w:rsidTr="003D7E65">
        <w:tc>
          <w:tcPr>
            <w:tcW w:w="920" w:type="pct"/>
          </w:tcPr>
          <w:p w:rsidR="006A2257" w:rsidRPr="00C55B44" w:rsidRDefault="006A2257" w:rsidP="003D7E65">
            <w:pPr>
              <w:keepNext/>
              <w:keepLines/>
              <w:spacing w:before="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lastRenderedPageBreak/>
              <w:t>Coherence</w:t>
            </w:r>
          </w:p>
        </w:tc>
        <w:tc>
          <w:tcPr>
            <w:tcW w:w="4080" w:type="pct"/>
            <w:gridSpan w:val="3"/>
          </w:tcPr>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In 2014, the data collected for SOMIH was sourced using two methodologies </w:t>
            </w:r>
            <w:r w:rsidRPr="00C55B44">
              <w:rPr>
                <w:rFonts w:asciiTheme="minorHAnsi" w:hAnsiTheme="minorHAnsi" w:cstheme="minorHAnsi"/>
                <w:sz w:val="20"/>
                <w:szCs w:val="20"/>
              </w:rPr>
              <w:lastRenderedPageBreak/>
              <w:t xml:space="preserve">(via mail-out in two jurisdictions and via face-to-face interview in two jurisdictions).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 xml:space="preserve">Comparisons between data across jurisdictions should be undertaken with caution due to differences in response rates and non-sampling error.  </w:t>
            </w:r>
          </w:p>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Surveys in this series commenced in 2001. Over time, modifications have been made to the survey’s methodology and questionnaire design. As noted above, the sample design and the questionnaire of the 2014 survey differs in a number of important respects from previous versions of the survey. Please refer to data quality statements and technical reports for the relevant surveys before comparing data across surveys.</w:t>
            </w:r>
          </w:p>
        </w:tc>
      </w:tr>
      <w:tr w:rsidR="006A2257" w:rsidRPr="00C55B44" w:rsidTr="003D7E65">
        <w:tc>
          <w:tcPr>
            <w:tcW w:w="920" w:type="pct"/>
          </w:tcPr>
          <w:p w:rsidR="006A2257" w:rsidRPr="00C55B44" w:rsidRDefault="006A2257" w:rsidP="003D7E65">
            <w:pPr>
              <w:keepNext/>
              <w:keepLines/>
              <w:spacing w:before="120" w:line="220" w:lineRule="atLeast"/>
              <w:ind w:left="6" w:right="113"/>
              <w:rPr>
                <w:rFonts w:asciiTheme="minorHAnsi" w:hAnsiTheme="minorHAnsi" w:cstheme="minorHAnsi"/>
                <w:b/>
                <w:sz w:val="20"/>
                <w:szCs w:val="20"/>
              </w:rPr>
            </w:pPr>
            <w:r w:rsidRPr="00C55B44">
              <w:rPr>
                <w:rFonts w:asciiTheme="minorHAnsi" w:hAnsiTheme="minorHAnsi" w:cstheme="minorHAnsi"/>
                <w:b/>
                <w:sz w:val="20"/>
                <w:szCs w:val="20"/>
              </w:rPr>
              <w:lastRenderedPageBreak/>
              <w:t>Accessibility</w:t>
            </w:r>
          </w:p>
        </w:tc>
        <w:tc>
          <w:tcPr>
            <w:tcW w:w="4080" w:type="pct"/>
            <w:gridSpan w:val="3"/>
          </w:tcPr>
          <w:p w:rsidR="006A2257" w:rsidRPr="00C55B44" w:rsidRDefault="006A2257" w:rsidP="003D7E65">
            <w:pPr>
              <w:keepNext/>
              <w:keepLines/>
              <w:spacing w:after="40" w:line="220" w:lineRule="atLeast"/>
              <w:ind w:left="360" w:right="113"/>
              <w:jc w:val="both"/>
              <w:rPr>
                <w:rFonts w:asciiTheme="minorHAnsi" w:hAnsiTheme="minorHAnsi" w:cstheme="minorHAnsi"/>
                <w:sz w:val="20"/>
                <w:szCs w:val="20"/>
              </w:rPr>
            </w:pPr>
            <w:r w:rsidRPr="00C55B44">
              <w:rPr>
                <w:rFonts w:asciiTheme="minorHAnsi" w:hAnsiTheme="minorHAnsi" w:cstheme="minorHAnsi"/>
                <w:sz w:val="20"/>
                <w:szCs w:val="20"/>
              </w:rPr>
              <w:t>Published results from the 2014 NSHS will be available on the AIHW website, see National Social Housing Survey 2014: national report.</w:t>
            </w:r>
            <w:r w:rsidRPr="00C55B44">
              <w:rPr>
                <w:rFonts w:asciiTheme="minorHAnsi" w:hAnsiTheme="minorHAnsi" w:cstheme="minorHAnsi"/>
              </w:rPr>
              <w:t xml:space="preserve"> </w:t>
            </w:r>
            <w:r w:rsidRPr="00C55B44">
              <w:rPr>
                <w:rFonts w:asciiTheme="minorHAnsi" w:hAnsiTheme="minorHAnsi" w:cstheme="minorHAnsi"/>
                <w:sz w:val="20"/>
                <w:szCs w:val="20"/>
              </w:rPr>
              <w:t>Access to the confidentialised unit record file may be requested through the AIHW Ethics Committee.</w:t>
            </w:r>
          </w:p>
        </w:tc>
      </w:tr>
      <w:tr w:rsidR="006A2257" w:rsidRPr="00C55B44" w:rsidTr="003D7E65">
        <w:tc>
          <w:tcPr>
            <w:tcW w:w="920" w:type="pct"/>
          </w:tcPr>
          <w:p w:rsidR="006A2257" w:rsidRPr="00C55B44" w:rsidRDefault="006A2257" w:rsidP="003D7E65">
            <w:pPr>
              <w:keepNext/>
              <w:keepLines/>
              <w:spacing w:before="120" w:line="220" w:lineRule="atLeast"/>
              <w:ind w:left="6" w:right="113"/>
              <w:rPr>
                <w:rFonts w:asciiTheme="minorHAnsi" w:hAnsiTheme="minorHAnsi" w:cstheme="minorHAnsi"/>
                <w:b/>
                <w:color w:val="000000" w:themeColor="text1"/>
                <w:sz w:val="20"/>
                <w:szCs w:val="20"/>
              </w:rPr>
            </w:pPr>
            <w:r w:rsidRPr="00C55B44">
              <w:rPr>
                <w:rFonts w:asciiTheme="minorHAnsi" w:hAnsiTheme="minorHAnsi" w:cstheme="minorHAnsi"/>
                <w:b/>
                <w:color w:val="000000" w:themeColor="text1"/>
                <w:sz w:val="20"/>
                <w:szCs w:val="20"/>
              </w:rPr>
              <w:t>Interpretability</w:t>
            </w:r>
          </w:p>
        </w:tc>
        <w:tc>
          <w:tcPr>
            <w:tcW w:w="4080" w:type="pct"/>
            <w:gridSpan w:val="3"/>
          </w:tcPr>
          <w:p w:rsidR="006A2257" w:rsidRPr="00C55B44" w:rsidRDefault="006A2257" w:rsidP="003D7E65">
            <w:pPr>
              <w:keepNext/>
              <w:keepLines/>
              <w:spacing w:after="40" w:line="220" w:lineRule="atLeast"/>
              <w:ind w:left="360" w:right="113"/>
              <w:jc w:val="both"/>
              <w:rPr>
                <w:rFonts w:asciiTheme="minorHAnsi" w:hAnsiTheme="minorHAnsi" w:cstheme="minorHAnsi"/>
                <w:color w:val="000000" w:themeColor="text1"/>
                <w:sz w:val="20"/>
                <w:szCs w:val="20"/>
              </w:rPr>
            </w:pPr>
            <w:r w:rsidRPr="00C55B44">
              <w:rPr>
                <w:rFonts w:asciiTheme="minorHAnsi" w:hAnsiTheme="minorHAnsi" w:cstheme="minorHAnsi"/>
                <w:color w:val="000000" w:themeColor="text1"/>
                <w:sz w:val="20"/>
                <w:szCs w:val="20"/>
              </w:rPr>
              <w:t>Information to aid in interpretation of 2014 NSHS results will be made available on the AIHW website including the 2014 NSHS Technical Report, code book and other supporting documentation.</w:t>
            </w:r>
          </w:p>
        </w:tc>
      </w:tr>
      <w:tr w:rsidR="006A2257" w:rsidRPr="00C55B44" w:rsidTr="003D7E65">
        <w:tblPrEx>
          <w:tblLook w:val="04A0" w:firstRow="1" w:lastRow="0" w:firstColumn="1" w:lastColumn="0" w:noHBand="0" w:noVBand="1"/>
        </w:tblPrEx>
        <w:trPr>
          <w:gridAfter w:val="1"/>
          <w:wAfter w:w="11" w:type="pct"/>
        </w:trPr>
        <w:tc>
          <w:tcPr>
            <w:tcW w:w="4989" w:type="pct"/>
            <w:gridSpan w:val="3"/>
          </w:tcPr>
          <w:p w:rsidR="006A2257" w:rsidRPr="00C55B44" w:rsidRDefault="006A2257" w:rsidP="003D7E65">
            <w:pPr>
              <w:pStyle w:val="TableBodyText"/>
              <w:spacing w:before="120" w:after="120"/>
              <w:jc w:val="left"/>
              <w:rPr>
                <w:rFonts w:asciiTheme="minorHAnsi" w:hAnsiTheme="minorHAnsi" w:cstheme="minorHAnsi"/>
                <w:b/>
                <w:color w:val="000000" w:themeColor="text1"/>
                <w:u w:val="single"/>
              </w:rPr>
            </w:pPr>
            <w:r w:rsidRPr="00C55B44">
              <w:rPr>
                <w:rFonts w:asciiTheme="minorHAnsi" w:hAnsiTheme="minorHAnsi" w:cstheme="minorHAnsi"/>
                <w:b/>
                <w:color w:val="000000" w:themeColor="text1"/>
                <w:u w:val="single"/>
              </w:rPr>
              <w:t>Data Gaps/Issues Analysis</w:t>
            </w:r>
          </w:p>
        </w:tc>
      </w:tr>
      <w:tr w:rsidR="006A2257" w:rsidRPr="00C55B44" w:rsidTr="003D7E65">
        <w:tblPrEx>
          <w:tblLook w:val="04A0" w:firstRow="1" w:lastRow="0" w:firstColumn="1" w:lastColumn="0" w:noHBand="0" w:noVBand="1"/>
        </w:tblPrEx>
        <w:trPr>
          <w:gridAfter w:val="1"/>
          <w:wAfter w:w="11" w:type="pct"/>
        </w:trPr>
        <w:tc>
          <w:tcPr>
            <w:tcW w:w="1025" w:type="pct"/>
            <w:gridSpan w:val="2"/>
            <w:hideMark/>
          </w:tcPr>
          <w:p w:rsidR="006A2257" w:rsidRPr="00302655" w:rsidRDefault="006A2257" w:rsidP="003D7E65">
            <w:pPr>
              <w:pStyle w:val="TableBodyText"/>
              <w:spacing w:before="120" w:after="120"/>
              <w:jc w:val="left"/>
              <w:rPr>
                <w:rFonts w:asciiTheme="minorHAnsi" w:hAnsiTheme="minorHAnsi" w:cstheme="minorHAnsi"/>
                <w:b/>
                <w:color w:val="000000" w:themeColor="text1"/>
                <w:sz w:val="20"/>
              </w:rPr>
            </w:pPr>
            <w:r w:rsidRPr="00302655">
              <w:rPr>
                <w:rFonts w:asciiTheme="minorHAnsi" w:hAnsiTheme="minorHAnsi" w:cstheme="minorHAnsi"/>
                <w:b/>
                <w:color w:val="000000" w:themeColor="text1"/>
                <w:sz w:val="20"/>
              </w:rPr>
              <w:t>Key data gaps/ issues</w:t>
            </w:r>
          </w:p>
        </w:tc>
        <w:tc>
          <w:tcPr>
            <w:tcW w:w="3964" w:type="pct"/>
            <w:hideMark/>
          </w:tcPr>
          <w:p w:rsidR="006A2257" w:rsidRPr="00C55B44" w:rsidRDefault="006A2257" w:rsidP="003D7E65">
            <w:pPr>
              <w:pStyle w:val="TableBodyText"/>
              <w:jc w:val="both"/>
              <w:rPr>
                <w:rFonts w:asciiTheme="minorHAnsi" w:hAnsiTheme="minorHAnsi" w:cstheme="minorHAnsi"/>
                <w:color w:val="000000" w:themeColor="text1"/>
                <w:sz w:val="20"/>
              </w:rPr>
            </w:pPr>
            <w:r w:rsidRPr="00C55B44">
              <w:rPr>
                <w:rFonts w:asciiTheme="minorHAnsi" w:hAnsiTheme="minorHAnsi" w:cstheme="minorHAnsi"/>
                <w:color w:val="000000" w:themeColor="text1"/>
                <w:sz w:val="20"/>
              </w:rPr>
              <w:t xml:space="preserve">The Steering Committee notes the following key data gaps/issues: </w:t>
            </w:r>
          </w:p>
          <w:p w:rsidR="006A2257" w:rsidRPr="00C55B44" w:rsidRDefault="006A2257" w:rsidP="006A2257">
            <w:pPr>
              <w:pStyle w:val="TableBullet"/>
              <w:spacing w:line="220" w:lineRule="atLeast"/>
              <w:jc w:val="both"/>
              <w:rPr>
                <w:rFonts w:asciiTheme="minorHAnsi" w:hAnsiTheme="minorHAnsi" w:cstheme="minorHAnsi"/>
                <w:color w:val="000000" w:themeColor="text1"/>
                <w:sz w:val="20"/>
              </w:rPr>
            </w:pPr>
            <w:r w:rsidRPr="00C55B44">
              <w:rPr>
                <w:rFonts w:asciiTheme="minorHAnsi" w:hAnsiTheme="minorHAnsi" w:cstheme="minorHAnsi"/>
                <w:color w:val="000000" w:themeColor="text1"/>
                <w:sz w:val="20"/>
              </w:rPr>
              <w:t>Caution should be used when comparing data across or between jurisdictions as data are collected via survey vehicles and are subject to sampling and non-sampling error.</w:t>
            </w:r>
          </w:p>
          <w:p w:rsidR="006A2257" w:rsidRPr="00C55B44" w:rsidRDefault="006A2257" w:rsidP="006A2257">
            <w:pPr>
              <w:pStyle w:val="TableBullet"/>
              <w:spacing w:line="220" w:lineRule="atLeast"/>
              <w:jc w:val="both"/>
              <w:rPr>
                <w:rFonts w:asciiTheme="minorHAnsi" w:hAnsiTheme="minorHAnsi" w:cstheme="minorHAnsi"/>
                <w:color w:val="000000" w:themeColor="text1"/>
                <w:sz w:val="20"/>
              </w:rPr>
            </w:pPr>
            <w:r w:rsidRPr="00C55B44">
              <w:rPr>
                <w:rFonts w:asciiTheme="minorHAnsi" w:hAnsiTheme="minorHAnsi" w:cstheme="minorHAnsi"/>
                <w:color w:val="000000" w:themeColor="text1"/>
                <w:sz w:val="20"/>
              </w:rPr>
              <w:t>Survey weights are applied to the data when calculating outputs and performance indicators.</w:t>
            </w:r>
          </w:p>
          <w:p w:rsidR="006A2257" w:rsidRPr="00C55B44" w:rsidRDefault="006A2257" w:rsidP="006A2257">
            <w:pPr>
              <w:pStyle w:val="TableBullet"/>
              <w:spacing w:line="220" w:lineRule="atLeast"/>
              <w:jc w:val="both"/>
              <w:rPr>
                <w:rFonts w:asciiTheme="minorHAnsi" w:hAnsiTheme="minorHAnsi" w:cstheme="minorHAnsi"/>
                <w:color w:val="000000" w:themeColor="text1"/>
                <w:sz w:val="20"/>
              </w:rPr>
            </w:pPr>
            <w:r w:rsidRPr="00C55B44">
              <w:rPr>
                <w:rFonts w:asciiTheme="minorHAnsi" w:hAnsiTheme="minorHAnsi" w:cstheme="minorHAnsi"/>
                <w:color w:val="000000" w:themeColor="text1"/>
                <w:sz w:val="20"/>
              </w:rPr>
              <w:t xml:space="preserve">The SOMIH component of the survey in 2014 was conducted using a mixed methodology with two jurisdictions using face to face interviews (NSW and Queensland) and the other two jurisdictions collecting data via a mail-out survey (the same as the PH and CH components). </w:t>
            </w:r>
          </w:p>
          <w:p w:rsidR="006A2257" w:rsidRPr="00C55B44" w:rsidRDefault="006A2257" w:rsidP="006A2257">
            <w:pPr>
              <w:pStyle w:val="TableBullet"/>
              <w:spacing w:line="220" w:lineRule="atLeast"/>
              <w:jc w:val="both"/>
              <w:rPr>
                <w:rFonts w:asciiTheme="minorHAnsi" w:hAnsiTheme="minorHAnsi" w:cstheme="minorHAnsi"/>
                <w:color w:val="000000" w:themeColor="text1"/>
                <w:sz w:val="20"/>
              </w:rPr>
            </w:pPr>
            <w:r w:rsidRPr="00C55B44">
              <w:rPr>
                <w:rFonts w:asciiTheme="minorHAnsi" w:hAnsiTheme="minorHAnsi" w:cstheme="minorHAnsi"/>
                <w:color w:val="000000" w:themeColor="text1"/>
                <w:sz w:val="20"/>
              </w:rPr>
              <w:t>Response rates from the NSHS for PH, SOMIH and CH provide a general indication of data accuracy and reliability. Response rates for the 2014 NSHS were 32.4</w:t>
            </w:r>
            <w:r w:rsidR="00F11831">
              <w:rPr>
                <w:rFonts w:asciiTheme="minorHAnsi" w:hAnsiTheme="minorHAnsi" w:cstheme="minorHAnsi"/>
                <w:color w:val="000000" w:themeColor="text1"/>
                <w:sz w:val="20"/>
              </w:rPr>
              <w:t xml:space="preserve"> per cent</w:t>
            </w:r>
            <w:r w:rsidRPr="00C55B44">
              <w:rPr>
                <w:rFonts w:asciiTheme="minorHAnsi" w:hAnsiTheme="minorHAnsi" w:cstheme="minorHAnsi"/>
                <w:color w:val="000000" w:themeColor="text1"/>
                <w:sz w:val="20"/>
              </w:rPr>
              <w:t xml:space="preserve"> for the mail-out component and 63.3</w:t>
            </w:r>
            <w:r w:rsidR="00F11831">
              <w:rPr>
                <w:rFonts w:asciiTheme="minorHAnsi" w:hAnsiTheme="minorHAnsi" w:cstheme="minorHAnsi"/>
                <w:color w:val="000000" w:themeColor="text1"/>
                <w:sz w:val="20"/>
              </w:rPr>
              <w:t xml:space="preserve"> per cent</w:t>
            </w:r>
            <w:r w:rsidRPr="00C55B44">
              <w:rPr>
                <w:rFonts w:asciiTheme="minorHAnsi" w:hAnsiTheme="minorHAnsi" w:cstheme="minorHAnsi"/>
                <w:color w:val="000000" w:themeColor="text1"/>
                <w:sz w:val="20"/>
              </w:rPr>
              <w:t xml:space="preserve"> for the face–to- face component.</w:t>
            </w:r>
          </w:p>
        </w:tc>
      </w:tr>
    </w:tbl>
    <w:p w:rsidR="006A2257" w:rsidRPr="00C55B44" w:rsidRDefault="006A2257" w:rsidP="006A2257">
      <w:pPr>
        <w:pStyle w:val="BodyText"/>
        <w:rPr>
          <w:rFonts w:asciiTheme="minorHAnsi" w:hAnsiTheme="minorHAnsi" w:cstheme="minorHAnsi"/>
          <w:sz w:val="26"/>
        </w:rPr>
      </w:pPr>
      <w:bookmarkStart w:id="13" w:name="_Toc278275744"/>
      <w:bookmarkStart w:id="14" w:name="_Toc341957200"/>
      <w:r w:rsidRPr="00C55B44">
        <w:rPr>
          <w:rFonts w:asciiTheme="minorHAnsi" w:hAnsiTheme="minorHAnsi" w:cstheme="minorHAnsi"/>
        </w:rPr>
        <w:br w:type="page"/>
      </w:r>
    </w:p>
    <w:p w:rsidR="000153D0" w:rsidRPr="00C55B44" w:rsidRDefault="000153D0" w:rsidP="00B10B3B">
      <w:pPr>
        <w:pStyle w:val="Heading3"/>
        <w:spacing w:before="120"/>
        <w:rPr>
          <w:rFonts w:asciiTheme="minorHAnsi" w:hAnsiTheme="minorHAnsi" w:cstheme="minorHAnsi"/>
          <w:color w:val="000000" w:themeColor="text1"/>
        </w:rPr>
      </w:pPr>
      <w:r w:rsidRPr="00C55B44">
        <w:rPr>
          <w:rFonts w:asciiTheme="minorHAnsi" w:hAnsiTheme="minorHAnsi" w:cstheme="minorHAnsi"/>
        </w:rPr>
        <w:lastRenderedPageBreak/>
        <w:t xml:space="preserve">Australians who are </w:t>
      </w:r>
      <w:r w:rsidRPr="00C55B44">
        <w:rPr>
          <w:rFonts w:asciiTheme="minorHAnsi" w:hAnsiTheme="minorHAnsi" w:cstheme="minorHAnsi"/>
          <w:color w:val="000000" w:themeColor="text1"/>
        </w:rPr>
        <w:t>homeless</w:t>
      </w:r>
      <w:bookmarkEnd w:id="13"/>
      <w:bookmarkEnd w:id="14"/>
    </w:p>
    <w:p w:rsidR="00425CF8" w:rsidRPr="00C55B44" w:rsidRDefault="00425CF8" w:rsidP="00425CF8">
      <w:pPr>
        <w:pStyle w:val="Box"/>
        <w:rPr>
          <w:rFonts w:asciiTheme="minorHAnsi" w:hAnsiTheme="minorHAnsi" w:cstheme="minorHAnsi"/>
        </w:rPr>
      </w:pPr>
      <w:r w:rsidRPr="00C55B44">
        <w:rPr>
          <w:rFonts w:asciiTheme="minorHAnsi" w:hAnsiTheme="minorHAnsi" w:cstheme="minorHAnsi"/>
          <w:color w:val="000000" w:themeColor="text1"/>
        </w:rPr>
        <w:t xml:space="preserve">Data quality information for this indicator has been </w:t>
      </w:r>
      <w:r w:rsidRPr="00C55B44">
        <w:rPr>
          <w:rFonts w:asciiTheme="minorHAnsi" w:hAnsiTheme="minorHAnsi" w:cstheme="minorHAnsi"/>
        </w:rPr>
        <w:t>sourced from the Steering Committee’s report to the COAG Reform Council on the National Affordable Housing Agreement (data sourced from ABS), with additional Steering Committee comments.</w:t>
      </w:r>
    </w:p>
    <w:tbl>
      <w:tblPr>
        <w:tblW w:w="5000" w:type="pct"/>
        <w:tblCellMar>
          <w:left w:w="0" w:type="dxa"/>
          <w:right w:w="0" w:type="dxa"/>
        </w:tblCellMar>
        <w:tblLook w:val="0000" w:firstRow="0" w:lastRow="0" w:firstColumn="0" w:lastColumn="0" w:noHBand="0" w:noVBand="0"/>
      </w:tblPr>
      <w:tblGrid>
        <w:gridCol w:w="1665"/>
        <w:gridCol w:w="7362"/>
      </w:tblGrid>
      <w:tr w:rsidR="007D0BFD" w:rsidRPr="00C55B44" w:rsidTr="007D0BFD">
        <w:tc>
          <w:tcPr>
            <w:tcW w:w="5000" w:type="pct"/>
            <w:gridSpan w:val="2"/>
          </w:tcPr>
          <w:p w:rsidR="00BB531B" w:rsidRPr="00C55B44" w:rsidRDefault="00BB531B" w:rsidP="007D0BFD">
            <w:pPr>
              <w:pStyle w:val="TableBodyText"/>
              <w:jc w:val="left"/>
              <w:rPr>
                <w:rFonts w:asciiTheme="minorHAnsi" w:hAnsiTheme="minorHAnsi" w:cstheme="minorHAnsi"/>
                <w:b/>
                <w:u w:val="single"/>
              </w:rPr>
            </w:pPr>
          </w:p>
          <w:p w:rsidR="007D0BFD" w:rsidRPr="00C55B44" w:rsidRDefault="007D0BFD" w:rsidP="007D0BFD">
            <w:pPr>
              <w:pStyle w:val="TableBodyText"/>
              <w:jc w:val="left"/>
              <w:rPr>
                <w:rFonts w:asciiTheme="minorHAnsi" w:hAnsiTheme="minorHAnsi" w:cstheme="minorHAnsi"/>
              </w:rPr>
            </w:pPr>
            <w:r w:rsidRPr="00C55B44">
              <w:rPr>
                <w:rFonts w:asciiTheme="minorHAnsi" w:hAnsiTheme="minorHAnsi" w:cstheme="minorHAnsi"/>
                <w:b/>
                <w:u w:val="single"/>
              </w:rPr>
              <w:t>Indicator definition and description</w:t>
            </w:r>
            <w:r w:rsidRPr="00C55B44">
              <w:rPr>
                <w:rFonts w:asciiTheme="minorHAnsi" w:hAnsiTheme="minorHAnsi" w:cstheme="minorHAnsi"/>
                <w:b/>
                <w:sz w:val="22"/>
                <w:szCs w:val="22"/>
                <w:u w:val="single"/>
              </w:rPr>
              <w:t xml:space="preserve"> </w:t>
            </w:r>
          </w:p>
        </w:tc>
      </w:tr>
      <w:tr w:rsidR="000153D0" w:rsidRPr="00C55B44" w:rsidTr="00DD3D61">
        <w:tc>
          <w:tcPr>
            <w:tcW w:w="922" w:type="pct"/>
          </w:tcPr>
          <w:p w:rsidR="000153D0" w:rsidRPr="00C55B44" w:rsidRDefault="000153D0" w:rsidP="000153D0">
            <w:pPr>
              <w:pStyle w:val="TableBodyText"/>
              <w:jc w:val="left"/>
              <w:rPr>
                <w:rFonts w:asciiTheme="minorHAnsi" w:hAnsiTheme="minorHAnsi" w:cstheme="minorHAnsi"/>
                <w:b/>
              </w:rPr>
            </w:pPr>
            <w:r w:rsidRPr="00C55B44">
              <w:rPr>
                <w:rFonts w:asciiTheme="minorHAnsi" w:hAnsiTheme="minorHAnsi" w:cstheme="minorHAnsi"/>
                <w:b/>
              </w:rPr>
              <w:t>Element</w:t>
            </w:r>
          </w:p>
        </w:tc>
        <w:tc>
          <w:tcPr>
            <w:tcW w:w="4078" w:type="pct"/>
          </w:tcPr>
          <w:p w:rsidR="000153D0" w:rsidRPr="00C55B44" w:rsidRDefault="000153D0" w:rsidP="000153D0">
            <w:pPr>
              <w:pStyle w:val="TableBodyText"/>
              <w:jc w:val="left"/>
              <w:rPr>
                <w:rFonts w:asciiTheme="minorHAnsi" w:hAnsiTheme="minorHAnsi" w:cstheme="minorHAnsi"/>
              </w:rPr>
            </w:pPr>
            <w:r w:rsidRPr="00C55B44">
              <w:rPr>
                <w:rFonts w:asciiTheme="minorHAnsi" w:hAnsiTheme="minorHAnsi" w:cstheme="minorHAnsi"/>
              </w:rPr>
              <w:t>Outcome</w:t>
            </w:r>
          </w:p>
        </w:tc>
      </w:tr>
      <w:tr w:rsidR="000153D0" w:rsidRPr="00C55B44" w:rsidTr="00DD3D61">
        <w:tc>
          <w:tcPr>
            <w:tcW w:w="922" w:type="pct"/>
          </w:tcPr>
          <w:p w:rsidR="000153D0" w:rsidRPr="00C55B44" w:rsidRDefault="000153D0" w:rsidP="000153D0">
            <w:pPr>
              <w:pStyle w:val="TableBodyText"/>
              <w:jc w:val="left"/>
              <w:rPr>
                <w:rFonts w:asciiTheme="minorHAnsi" w:hAnsiTheme="minorHAnsi" w:cstheme="minorHAnsi"/>
                <w:b/>
              </w:rPr>
            </w:pPr>
            <w:r w:rsidRPr="00C55B44">
              <w:rPr>
                <w:rFonts w:asciiTheme="minorHAnsi" w:hAnsiTheme="minorHAnsi" w:cstheme="minorHAnsi"/>
                <w:b/>
              </w:rPr>
              <w:t>Indicator</w:t>
            </w:r>
          </w:p>
        </w:tc>
        <w:tc>
          <w:tcPr>
            <w:tcW w:w="4078" w:type="pct"/>
          </w:tcPr>
          <w:p w:rsidR="000153D0" w:rsidRPr="00C55B44" w:rsidRDefault="00762957" w:rsidP="000153D0">
            <w:pPr>
              <w:pStyle w:val="TableBodyText"/>
              <w:jc w:val="left"/>
              <w:rPr>
                <w:rFonts w:asciiTheme="minorHAnsi" w:hAnsiTheme="minorHAnsi" w:cstheme="minorHAnsi"/>
              </w:rPr>
            </w:pPr>
            <w:r w:rsidRPr="00C55B44">
              <w:rPr>
                <w:rFonts w:asciiTheme="minorHAnsi" w:hAnsiTheme="minorHAnsi" w:cstheme="minorHAnsi"/>
              </w:rPr>
              <w:t>Proportion of Australians who are homeless</w:t>
            </w:r>
          </w:p>
        </w:tc>
      </w:tr>
      <w:tr w:rsidR="000153D0" w:rsidRPr="00C55B44" w:rsidTr="00DD3D61">
        <w:tc>
          <w:tcPr>
            <w:tcW w:w="922" w:type="pct"/>
          </w:tcPr>
          <w:p w:rsidR="000153D0" w:rsidRPr="00C55B44" w:rsidRDefault="000153D0" w:rsidP="000153D0">
            <w:pPr>
              <w:pStyle w:val="TableBodyText"/>
              <w:jc w:val="left"/>
              <w:rPr>
                <w:rFonts w:asciiTheme="minorHAnsi" w:hAnsiTheme="minorHAnsi" w:cstheme="minorHAnsi"/>
                <w:b/>
              </w:rPr>
            </w:pPr>
            <w:r w:rsidRPr="00C55B44">
              <w:rPr>
                <w:rFonts w:asciiTheme="minorHAnsi" w:hAnsiTheme="minorHAnsi" w:cstheme="minorHAnsi"/>
                <w:b/>
              </w:rPr>
              <w:t>Measure (computation)</w:t>
            </w:r>
          </w:p>
        </w:tc>
        <w:tc>
          <w:tcPr>
            <w:tcW w:w="4078" w:type="pct"/>
          </w:tcPr>
          <w:p w:rsidR="00762957" w:rsidRPr="00C55B44" w:rsidRDefault="00762957" w:rsidP="00762957">
            <w:pPr>
              <w:pStyle w:val="TableBodyText"/>
              <w:jc w:val="both"/>
              <w:rPr>
                <w:rFonts w:asciiTheme="minorHAnsi" w:hAnsiTheme="minorHAnsi" w:cstheme="minorHAnsi"/>
              </w:rPr>
            </w:pPr>
            <w:r w:rsidRPr="00C55B44">
              <w:rPr>
                <w:rFonts w:asciiTheme="minorHAnsi" w:hAnsiTheme="minorHAnsi" w:cstheme="minorHAnsi"/>
              </w:rPr>
              <w:t>The proportion of Australians who are homeless (as defined by the ABS)</w:t>
            </w:r>
          </w:p>
          <w:p w:rsidR="00762957" w:rsidRPr="00C55B44" w:rsidRDefault="00762957" w:rsidP="00762957">
            <w:pPr>
              <w:pStyle w:val="TableBodyText"/>
              <w:jc w:val="both"/>
              <w:rPr>
                <w:rFonts w:asciiTheme="minorHAnsi" w:hAnsiTheme="minorHAnsi" w:cstheme="minorHAnsi"/>
              </w:rPr>
            </w:pPr>
            <w:r w:rsidRPr="00C55B44">
              <w:rPr>
                <w:rFonts w:asciiTheme="minorHAnsi" w:hAnsiTheme="minorHAnsi" w:cstheme="minorHAnsi"/>
              </w:rPr>
              <w:t>The measure is defined as:</w:t>
            </w:r>
          </w:p>
          <w:p w:rsidR="00762957" w:rsidRPr="00C55B44" w:rsidRDefault="00762957" w:rsidP="001F4FF4">
            <w:pPr>
              <w:pStyle w:val="TableBodyText"/>
              <w:numPr>
                <w:ilvl w:val="0"/>
                <w:numId w:val="15"/>
              </w:numPr>
              <w:jc w:val="both"/>
              <w:rPr>
                <w:rFonts w:asciiTheme="minorHAnsi" w:hAnsiTheme="minorHAnsi" w:cstheme="minorHAnsi"/>
              </w:rPr>
            </w:pPr>
            <w:r w:rsidRPr="00C55B44">
              <w:rPr>
                <w:rFonts w:asciiTheme="minorHAnsi" w:hAnsiTheme="minorHAnsi" w:cstheme="minorHAnsi"/>
              </w:rPr>
              <w:t>Numerator - Number of Australians who are homeless</w:t>
            </w:r>
          </w:p>
          <w:p w:rsidR="00762957" w:rsidRPr="00C55B44" w:rsidRDefault="00762957" w:rsidP="001F4FF4">
            <w:pPr>
              <w:pStyle w:val="TableBodyText"/>
              <w:numPr>
                <w:ilvl w:val="0"/>
                <w:numId w:val="15"/>
              </w:numPr>
              <w:jc w:val="both"/>
              <w:rPr>
                <w:rFonts w:asciiTheme="minorHAnsi" w:hAnsiTheme="minorHAnsi" w:cstheme="minorHAnsi"/>
              </w:rPr>
            </w:pPr>
            <w:r w:rsidRPr="00C55B44">
              <w:rPr>
                <w:rFonts w:asciiTheme="minorHAnsi" w:hAnsiTheme="minorHAnsi" w:cstheme="minorHAnsi"/>
              </w:rPr>
              <w:t>Denominator – number of Australians</w:t>
            </w:r>
          </w:p>
          <w:p w:rsidR="000153D0" w:rsidRPr="00C55B44" w:rsidRDefault="00762957" w:rsidP="00762957">
            <w:pPr>
              <w:pStyle w:val="TableBodyText"/>
              <w:jc w:val="both"/>
              <w:rPr>
                <w:rFonts w:asciiTheme="minorHAnsi" w:hAnsiTheme="minorHAnsi" w:cstheme="minorHAnsi"/>
              </w:rPr>
            </w:pPr>
            <w:r w:rsidRPr="00C55B44">
              <w:rPr>
                <w:rFonts w:asciiTheme="minorHAnsi" w:hAnsiTheme="minorHAnsi" w:cstheme="minorHAnsi"/>
              </w:rPr>
              <w:t xml:space="preserve">and is presented as a </w:t>
            </w:r>
            <w:r w:rsidRPr="00C55B44">
              <w:rPr>
                <w:rFonts w:asciiTheme="minorHAnsi" w:hAnsiTheme="minorHAnsi" w:cstheme="minorHAnsi"/>
                <w:i/>
              </w:rPr>
              <w:t>proportion</w:t>
            </w:r>
            <w:r w:rsidRPr="00C55B44">
              <w:rPr>
                <w:rFonts w:asciiTheme="minorHAnsi" w:hAnsiTheme="minorHAnsi" w:cstheme="minorHAnsi"/>
              </w:rPr>
              <w:t>.</w:t>
            </w:r>
          </w:p>
        </w:tc>
      </w:tr>
      <w:tr w:rsidR="000153D0" w:rsidRPr="00C55B44" w:rsidTr="00DD3D61">
        <w:tc>
          <w:tcPr>
            <w:tcW w:w="922" w:type="pct"/>
          </w:tcPr>
          <w:p w:rsidR="000153D0" w:rsidRPr="00C55B44" w:rsidRDefault="000153D0" w:rsidP="000153D0">
            <w:pPr>
              <w:pStyle w:val="TableBodyText"/>
              <w:jc w:val="left"/>
              <w:rPr>
                <w:rFonts w:asciiTheme="minorHAnsi" w:hAnsiTheme="minorHAnsi" w:cstheme="minorHAnsi"/>
                <w:b/>
              </w:rPr>
            </w:pPr>
            <w:r w:rsidRPr="00C55B44">
              <w:rPr>
                <w:rFonts w:asciiTheme="minorHAnsi" w:hAnsiTheme="minorHAnsi" w:cstheme="minorHAnsi"/>
                <w:b/>
              </w:rPr>
              <w:t>Data source/s</w:t>
            </w:r>
          </w:p>
        </w:tc>
        <w:tc>
          <w:tcPr>
            <w:tcW w:w="4078" w:type="pct"/>
          </w:tcPr>
          <w:p w:rsidR="00BE6B7C" w:rsidRPr="00C55B44" w:rsidRDefault="00BE6B7C" w:rsidP="00BE6B7C">
            <w:pPr>
              <w:pStyle w:val="TableBodyText"/>
              <w:jc w:val="both"/>
              <w:rPr>
                <w:rFonts w:asciiTheme="minorHAnsi" w:hAnsiTheme="minorHAnsi" w:cstheme="minorHAnsi"/>
              </w:rPr>
            </w:pPr>
            <w:r w:rsidRPr="00C55B44">
              <w:rPr>
                <w:rFonts w:asciiTheme="minorHAnsi" w:hAnsiTheme="minorHAnsi" w:cstheme="minorHAnsi"/>
              </w:rPr>
              <w:t>Numerator and denominator — Census of Population and Housing. Data</w:t>
            </w:r>
          </w:p>
          <w:p w:rsidR="000153D0" w:rsidRPr="00C55B44" w:rsidRDefault="00BE6B7C" w:rsidP="00BE6B7C">
            <w:pPr>
              <w:pStyle w:val="TableBodyText"/>
              <w:ind w:left="0"/>
              <w:jc w:val="both"/>
              <w:rPr>
                <w:rFonts w:asciiTheme="minorHAnsi" w:hAnsiTheme="minorHAnsi" w:cstheme="minorHAnsi"/>
              </w:rPr>
            </w:pPr>
            <w:r w:rsidRPr="00C55B44">
              <w:rPr>
                <w:rFonts w:asciiTheme="minorHAnsi" w:hAnsiTheme="minorHAnsi" w:cstheme="minorHAnsi"/>
              </w:rPr>
              <w:t>are available every five years.</w:t>
            </w:r>
          </w:p>
        </w:tc>
      </w:tr>
      <w:tr w:rsidR="000153D0" w:rsidRPr="00C55B44" w:rsidTr="004A6FD8">
        <w:tc>
          <w:tcPr>
            <w:tcW w:w="5000" w:type="pct"/>
            <w:gridSpan w:val="2"/>
          </w:tcPr>
          <w:p w:rsidR="00404F8B" w:rsidRPr="00C55B44" w:rsidRDefault="00404F8B" w:rsidP="000153D0">
            <w:pPr>
              <w:pStyle w:val="TableBodyText"/>
              <w:jc w:val="left"/>
              <w:rPr>
                <w:rFonts w:asciiTheme="minorHAnsi" w:hAnsiTheme="minorHAnsi" w:cstheme="minorHAnsi"/>
                <w:b/>
                <w:u w:val="single"/>
              </w:rPr>
            </w:pPr>
          </w:p>
          <w:p w:rsidR="000153D0" w:rsidRPr="00C55B44" w:rsidRDefault="000153D0" w:rsidP="000153D0">
            <w:pPr>
              <w:pStyle w:val="TableBodyText"/>
              <w:jc w:val="left"/>
              <w:rPr>
                <w:rFonts w:asciiTheme="minorHAnsi" w:hAnsiTheme="minorHAnsi" w:cstheme="minorHAnsi"/>
                <w:b/>
                <w:u w:val="single"/>
              </w:rPr>
            </w:pPr>
            <w:r w:rsidRPr="00C55B44">
              <w:rPr>
                <w:rFonts w:asciiTheme="minorHAnsi" w:hAnsiTheme="minorHAnsi" w:cstheme="minorHAnsi"/>
                <w:b/>
                <w:u w:val="single"/>
              </w:rPr>
              <w:t>Data Quality Framework Dimensions</w:t>
            </w:r>
          </w:p>
        </w:tc>
      </w:tr>
      <w:tr w:rsidR="000153D0" w:rsidRPr="00C55B44" w:rsidTr="00DD3D61">
        <w:tc>
          <w:tcPr>
            <w:tcW w:w="922" w:type="pct"/>
          </w:tcPr>
          <w:p w:rsidR="000153D0" w:rsidRPr="00C55B44" w:rsidRDefault="000153D0" w:rsidP="000153D0">
            <w:pPr>
              <w:pStyle w:val="TableBodyText"/>
              <w:jc w:val="left"/>
              <w:rPr>
                <w:rFonts w:asciiTheme="minorHAnsi" w:hAnsiTheme="minorHAnsi" w:cstheme="minorHAnsi"/>
                <w:b/>
              </w:rPr>
            </w:pPr>
            <w:r w:rsidRPr="00C55B44">
              <w:rPr>
                <w:rFonts w:asciiTheme="minorHAnsi" w:hAnsiTheme="minorHAnsi" w:cstheme="minorHAnsi"/>
                <w:b/>
              </w:rPr>
              <w:t>Institutional environment</w:t>
            </w:r>
          </w:p>
        </w:tc>
        <w:tc>
          <w:tcPr>
            <w:tcW w:w="4078" w:type="pct"/>
          </w:tcPr>
          <w:p w:rsidR="000153D0" w:rsidRPr="00C55B44" w:rsidRDefault="00BE6B7C" w:rsidP="004D4D4E">
            <w:pPr>
              <w:pStyle w:val="TableBodyText"/>
              <w:jc w:val="left"/>
              <w:rPr>
                <w:rFonts w:asciiTheme="minorHAnsi" w:hAnsiTheme="minorHAnsi" w:cstheme="minorHAnsi"/>
              </w:rPr>
            </w:pPr>
            <w:r w:rsidRPr="00C55B44">
              <w:rPr>
                <w:rFonts w:asciiTheme="minorHAnsi" w:hAnsiTheme="minorHAnsi" w:cstheme="minorHAnsi"/>
              </w:rPr>
              <w:t>For information on the institutional environment of the ABS, including the legislative obligations of the ABS, financing and governance arrangements, and mechanisms for scrutiny of ABS operations, please see ABS Institutional Environment.</w:t>
            </w:r>
          </w:p>
        </w:tc>
      </w:tr>
      <w:tr w:rsidR="000153D0" w:rsidRPr="00C55B44" w:rsidTr="00DD3D61">
        <w:tc>
          <w:tcPr>
            <w:tcW w:w="922" w:type="pct"/>
          </w:tcPr>
          <w:p w:rsidR="000153D0" w:rsidRPr="00C55B44" w:rsidRDefault="000153D0" w:rsidP="000153D0">
            <w:pPr>
              <w:pStyle w:val="TableBodyText"/>
              <w:jc w:val="left"/>
              <w:rPr>
                <w:rFonts w:asciiTheme="minorHAnsi" w:hAnsiTheme="minorHAnsi" w:cstheme="minorHAnsi"/>
                <w:b/>
              </w:rPr>
            </w:pPr>
            <w:r w:rsidRPr="00C55B44">
              <w:rPr>
                <w:rFonts w:asciiTheme="minorHAnsi" w:hAnsiTheme="minorHAnsi" w:cstheme="minorHAnsi"/>
                <w:b/>
              </w:rPr>
              <w:t>Relevance</w:t>
            </w:r>
          </w:p>
        </w:tc>
        <w:tc>
          <w:tcPr>
            <w:tcW w:w="4078" w:type="pct"/>
          </w:tcPr>
          <w:p w:rsidR="00BE6B7C" w:rsidRPr="00C55B44" w:rsidRDefault="00BE6B7C" w:rsidP="00BE6B7C">
            <w:pPr>
              <w:pStyle w:val="TableBodyText"/>
              <w:jc w:val="both"/>
              <w:rPr>
                <w:rFonts w:asciiTheme="minorHAnsi" w:hAnsiTheme="minorHAnsi" w:cstheme="minorHAnsi"/>
              </w:rPr>
            </w:pPr>
            <w:r w:rsidRPr="00C55B44">
              <w:rPr>
                <w:rFonts w:asciiTheme="minorHAnsi" w:hAnsiTheme="minorHAnsi" w:cstheme="minorHAnsi"/>
              </w:rPr>
              <w:t>A quality prevalence measure of homelessness that can be used to track changes over time allows society to both judge some aspects of the scale of the problem and hold itself and governments accountable for some outcomes at this broad level. To target prevention, or amelioration of the circumstances of homelessness, and measure progress, the locations of the homeless and their characteristics are required</w:t>
            </w:r>
            <w:r w:rsidR="00553716" w:rsidRPr="00C55B44">
              <w:rPr>
                <w:rFonts w:asciiTheme="minorHAnsi" w:hAnsiTheme="minorHAnsi" w:cstheme="minorHAnsi"/>
              </w:rPr>
              <w:t>.</w:t>
            </w:r>
          </w:p>
          <w:p w:rsidR="00BE6B7C" w:rsidRPr="00C55B44" w:rsidRDefault="00BE6B7C" w:rsidP="00BE6B7C">
            <w:pPr>
              <w:pStyle w:val="TableBodyText"/>
              <w:jc w:val="both"/>
              <w:rPr>
                <w:rFonts w:asciiTheme="minorHAnsi" w:hAnsiTheme="minorHAnsi" w:cstheme="minorHAnsi"/>
              </w:rPr>
            </w:pPr>
            <w:r w:rsidRPr="00C55B44">
              <w:rPr>
                <w:rFonts w:asciiTheme="minorHAnsi" w:hAnsiTheme="minorHAnsi" w:cstheme="minorHAnsi"/>
              </w:rPr>
              <w:t>With homelessness having a prevalence of just 0.5</w:t>
            </w:r>
            <w:r w:rsidR="00F11831">
              <w:rPr>
                <w:rFonts w:asciiTheme="minorHAnsi" w:hAnsiTheme="minorHAnsi" w:cstheme="minorHAnsi"/>
              </w:rPr>
              <w:t xml:space="preserve"> per cent</w:t>
            </w:r>
            <w:r w:rsidRPr="00C55B44">
              <w:rPr>
                <w:rFonts w:asciiTheme="minorHAnsi" w:hAnsiTheme="minorHAnsi" w:cstheme="minorHAnsi"/>
              </w:rPr>
              <w:t xml:space="preserve">, and with less than half of the people experiencing homelessness approaching a formal service for assistance, there are few data sources which can report on prevalence.  Only the ABS Census of Population and Housing can support the estimation of the prevalence of homelessness.  </w:t>
            </w:r>
          </w:p>
          <w:p w:rsidR="000153D0" w:rsidRPr="00C55B44" w:rsidRDefault="00BE6B7C" w:rsidP="0047189B">
            <w:pPr>
              <w:pStyle w:val="TableBodyText"/>
              <w:jc w:val="both"/>
              <w:rPr>
                <w:rFonts w:asciiTheme="minorHAnsi" w:hAnsiTheme="minorHAnsi" w:cstheme="minorHAnsi"/>
              </w:rPr>
            </w:pPr>
            <w:r w:rsidRPr="00C55B44">
              <w:rPr>
                <w:rFonts w:asciiTheme="minorHAnsi" w:hAnsiTheme="minorHAnsi" w:cstheme="minorHAnsi"/>
              </w:rPr>
              <w:t>Use of the Census in estimating homelessness provides cross classification by homeless operational groups and by the range of personal characteristics which are available.  This allows the homeless population to be compared to the whole population as well as to other populations who may be marginally housed and whose living arrangements are close to the statis</w:t>
            </w:r>
            <w:r w:rsidR="0047189B" w:rsidRPr="00C55B44">
              <w:rPr>
                <w:rFonts w:asciiTheme="minorHAnsi" w:hAnsiTheme="minorHAnsi" w:cstheme="minorHAnsi"/>
              </w:rPr>
              <w:t xml:space="preserve">tical boundary of homelessness or </w:t>
            </w:r>
            <w:r w:rsidRPr="00C55B44">
              <w:rPr>
                <w:rFonts w:asciiTheme="minorHAnsi" w:hAnsiTheme="minorHAnsi" w:cstheme="minorHAnsi"/>
              </w:rPr>
              <w:t>who may be at risk of homelessness.</w:t>
            </w:r>
          </w:p>
        </w:tc>
      </w:tr>
      <w:tr w:rsidR="000153D0" w:rsidRPr="00C55B44" w:rsidTr="00DD3D61">
        <w:tc>
          <w:tcPr>
            <w:tcW w:w="922" w:type="pct"/>
          </w:tcPr>
          <w:p w:rsidR="000153D0" w:rsidRPr="00C55B44" w:rsidRDefault="000153D0" w:rsidP="000153D0">
            <w:pPr>
              <w:pStyle w:val="TableBodyText"/>
              <w:jc w:val="left"/>
              <w:rPr>
                <w:rFonts w:asciiTheme="minorHAnsi" w:hAnsiTheme="minorHAnsi" w:cstheme="minorHAnsi"/>
                <w:b/>
              </w:rPr>
            </w:pPr>
            <w:r w:rsidRPr="00C55B44">
              <w:rPr>
                <w:rFonts w:asciiTheme="minorHAnsi" w:hAnsiTheme="minorHAnsi" w:cstheme="minorHAnsi"/>
                <w:b/>
              </w:rPr>
              <w:t>Timeliness</w:t>
            </w:r>
          </w:p>
        </w:tc>
        <w:tc>
          <w:tcPr>
            <w:tcW w:w="4078" w:type="pct"/>
          </w:tcPr>
          <w:p w:rsidR="000153D0" w:rsidRPr="00C55B44" w:rsidRDefault="00BE6B7C" w:rsidP="00BE6B7C">
            <w:pPr>
              <w:pStyle w:val="TableBodyText"/>
              <w:jc w:val="both"/>
              <w:rPr>
                <w:rFonts w:asciiTheme="minorHAnsi" w:hAnsiTheme="minorHAnsi" w:cstheme="minorHAnsi"/>
              </w:rPr>
            </w:pPr>
            <w:r w:rsidRPr="00C55B44">
              <w:rPr>
                <w:rFonts w:asciiTheme="minorHAnsi" w:hAnsiTheme="minorHAnsi" w:cstheme="minorHAnsi"/>
              </w:rPr>
              <w:t>Official homelessness estimates from the Census are available every five years, within 14 days of the publication of second release Census variables. The 2011 official homelessness estimates were released on 12 November 2012.</w:t>
            </w:r>
          </w:p>
        </w:tc>
      </w:tr>
      <w:tr w:rsidR="000153D0" w:rsidRPr="00C55B44" w:rsidTr="00DD3D61">
        <w:tc>
          <w:tcPr>
            <w:tcW w:w="922" w:type="pct"/>
          </w:tcPr>
          <w:p w:rsidR="000153D0" w:rsidRPr="00C55B44" w:rsidRDefault="000153D0" w:rsidP="00B82253">
            <w:pPr>
              <w:pStyle w:val="TableBodyText"/>
              <w:jc w:val="left"/>
              <w:rPr>
                <w:rFonts w:asciiTheme="minorHAnsi" w:hAnsiTheme="minorHAnsi" w:cstheme="minorHAnsi"/>
                <w:b/>
              </w:rPr>
            </w:pPr>
            <w:r w:rsidRPr="00C55B44">
              <w:rPr>
                <w:rFonts w:asciiTheme="minorHAnsi" w:hAnsiTheme="minorHAnsi" w:cstheme="minorHAnsi"/>
                <w:b/>
              </w:rPr>
              <w:t>Accuracy</w:t>
            </w:r>
          </w:p>
        </w:tc>
        <w:tc>
          <w:tcPr>
            <w:tcW w:w="4078" w:type="pct"/>
          </w:tcPr>
          <w:p w:rsidR="00CF52FD" w:rsidRPr="00C55B44" w:rsidRDefault="00CF52FD" w:rsidP="00CF52FD">
            <w:pPr>
              <w:pStyle w:val="TableBodyText"/>
              <w:jc w:val="both"/>
              <w:rPr>
                <w:rFonts w:asciiTheme="minorHAnsi" w:hAnsiTheme="minorHAnsi" w:cstheme="minorHAnsi"/>
              </w:rPr>
            </w:pPr>
            <w:r w:rsidRPr="00C55B44">
              <w:rPr>
                <w:rFonts w:asciiTheme="minorHAnsi" w:hAnsiTheme="minorHAnsi" w:cstheme="minorHAnsi"/>
              </w:rPr>
              <w:t xml:space="preserve">Official ABS estimates of the prevalence of homelessness use a methodology which is transparent, consistent and repeatable, and suitable for measuring change over time. </w:t>
            </w:r>
          </w:p>
          <w:p w:rsidR="00CF52FD" w:rsidRPr="00C55B44" w:rsidRDefault="00CF52FD" w:rsidP="00CF52FD">
            <w:pPr>
              <w:pStyle w:val="TableBodyText"/>
              <w:jc w:val="both"/>
              <w:rPr>
                <w:rFonts w:asciiTheme="minorHAnsi" w:hAnsiTheme="minorHAnsi" w:cstheme="minorHAnsi"/>
              </w:rPr>
            </w:pPr>
            <w:r w:rsidRPr="00C55B44">
              <w:rPr>
                <w:rFonts w:asciiTheme="minorHAnsi" w:hAnsiTheme="minorHAnsi" w:cstheme="minorHAnsi"/>
              </w:rPr>
              <w:t>While ‘homelessness' itself is not a characteristic that is directly measured in the Census, estimates are derived from the Census using analytical techniques, based on both the characteristics observed in the Census and assumptions about the way people may respond to Census questions.</w:t>
            </w:r>
          </w:p>
          <w:p w:rsidR="00CF52FD" w:rsidRPr="00C55B44" w:rsidRDefault="00CF52FD" w:rsidP="00CF52FD">
            <w:pPr>
              <w:pStyle w:val="TableBodyText"/>
              <w:jc w:val="both"/>
              <w:rPr>
                <w:rFonts w:asciiTheme="minorHAnsi" w:hAnsiTheme="minorHAnsi" w:cstheme="minorHAnsi"/>
              </w:rPr>
            </w:pPr>
            <w:r w:rsidRPr="00C55B44">
              <w:rPr>
                <w:rFonts w:asciiTheme="minorHAnsi" w:hAnsiTheme="minorHAnsi" w:cstheme="minorHAnsi"/>
              </w:rPr>
              <w:t>The Census is likely to under-enumerate some homeless groups such as homeless Aboriginal and Torres Strait Islander Australians and so called ‘rough sleepers’.  Official ABS estimates of the prevalence of homelessness will reflect any such under-enumeration.  In addition, due to the way that people may respond to the Census, official ABS estimates of homelessness are likely to underestimate the level of homelessness for both youth and people displaced due to domestic and family violence. However, trends are not expected to be affected by this level error.</w:t>
            </w:r>
          </w:p>
          <w:p w:rsidR="000153D0" w:rsidRPr="00C55B44" w:rsidRDefault="00CF52FD" w:rsidP="00CF52FD">
            <w:pPr>
              <w:pStyle w:val="TableBodyText"/>
              <w:jc w:val="both"/>
              <w:rPr>
                <w:rFonts w:asciiTheme="minorHAnsi" w:hAnsiTheme="minorHAnsi" w:cstheme="minorHAnsi"/>
              </w:rPr>
            </w:pPr>
            <w:r w:rsidRPr="00C55B44">
              <w:rPr>
                <w:rFonts w:asciiTheme="minorHAnsi" w:hAnsiTheme="minorHAnsi" w:cstheme="minorHAnsi"/>
              </w:rPr>
              <w:t>ABS has developed a range of strategies for each Census aimed at maximising the enumeration of Aboriginal and Torres Strait Islander Australians and those who may be ‘sleeping rough’.</w:t>
            </w:r>
          </w:p>
        </w:tc>
      </w:tr>
      <w:tr w:rsidR="00B82253" w:rsidRPr="00C55B44" w:rsidTr="00DD3D61">
        <w:tc>
          <w:tcPr>
            <w:tcW w:w="922" w:type="pct"/>
          </w:tcPr>
          <w:p w:rsidR="00B82253" w:rsidRPr="00C55B44" w:rsidRDefault="00B82253" w:rsidP="000153D0">
            <w:pPr>
              <w:pStyle w:val="TableBodyText"/>
              <w:jc w:val="left"/>
              <w:rPr>
                <w:rFonts w:asciiTheme="minorHAnsi" w:hAnsiTheme="minorHAnsi" w:cstheme="minorHAnsi"/>
                <w:b/>
              </w:rPr>
            </w:pPr>
            <w:r w:rsidRPr="00C55B44">
              <w:rPr>
                <w:rFonts w:asciiTheme="minorHAnsi" w:hAnsiTheme="minorHAnsi" w:cstheme="minorHAnsi"/>
                <w:b/>
              </w:rPr>
              <w:t>Coherence</w:t>
            </w:r>
          </w:p>
        </w:tc>
        <w:tc>
          <w:tcPr>
            <w:tcW w:w="4078" w:type="pct"/>
          </w:tcPr>
          <w:p w:rsidR="00553716" w:rsidRPr="00C55B44" w:rsidRDefault="00D07BDB" w:rsidP="00553716">
            <w:pPr>
              <w:pStyle w:val="TableBodyText"/>
              <w:jc w:val="both"/>
              <w:rPr>
                <w:rFonts w:asciiTheme="minorHAnsi" w:hAnsiTheme="minorHAnsi" w:cstheme="minorHAnsi"/>
              </w:rPr>
            </w:pPr>
            <w:r w:rsidRPr="00C55B44">
              <w:rPr>
                <w:rFonts w:asciiTheme="minorHAnsi" w:hAnsiTheme="minorHAnsi" w:cstheme="minorHAnsi"/>
              </w:rPr>
              <w:t>The ABS uses a consistent, transparent and repeatable methodology for estimating the number of people enumerated in the Census of Population and Housing who may be homeless on Census night.  More details on the methodology can be found in the publication: Information Paper - Methodology for Estimating Homelessness from the Census of Population and Housing (cat. no. 2049.0.55.001).</w:t>
            </w:r>
            <w:r w:rsidR="00A350DA" w:rsidRPr="00C55B44">
              <w:rPr>
                <w:rFonts w:asciiTheme="minorHAnsi" w:hAnsiTheme="minorHAnsi" w:cstheme="minorHAnsi"/>
              </w:rPr>
              <w:t xml:space="preserve"> </w:t>
            </w:r>
            <w:r w:rsidRPr="00C55B44">
              <w:rPr>
                <w:rFonts w:asciiTheme="minorHAnsi" w:hAnsiTheme="minorHAnsi" w:cstheme="minorHAnsi"/>
              </w:rPr>
              <w:t xml:space="preserve">The homelessness estimates </w:t>
            </w:r>
            <w:r w:rsidRPr="00C55B44">
              <w:rPr>
                <w:rFonts w:asciiTheme="minorHAnsi" w:hAnsiTheme="minorHAnsi" w:cstheme="minorHAnsi"/>
              </w:rPr>
              <w:lastRenderedPageBreak/>
              <w:t>can be compared to estimates for both the general population and for those in marginal housing at t</w:t>
            </w:r>
            <w:r w:rsidR="00553716" w:rsidRPr="00C55B44">
              <w:rPr>
                <w:rFonts w:asciiTheme="minorHAnsi" w:hAnsiTheme="minorHAnsi" w:cstheme="minorHAnsi"/>
              </w:rPr>
              <w:t xml:space="preserve">he boundary with homelessness. </w:t>
            </w:r>
          </w:p>
          <w:p w:rsidR="00B82253" w:rsidRPr="00C55B44" w:rsidRDefault="00D07BDB" w:rsidP="00553716">
            <w:pPr>
              <w:pStyle w:val="TableBodyText"/>
              <w:jc w:val="both"/>
              <w:rPr>
                <w:rFonts w:asciiTheme="minorHAnsi" w:hAnsiTheme="minorHAnsi" w:cstheme="minorHAnsi"/>
              </w:rPr>
            </w:pPr>
            <w:r w:rsidRPr="00C55B44">
              <w:rPr>
                <w:rFonts w:asciiTheme="minorHAnsi" w:hAnsiTheme="minorHAnsi" w:cstheme="minorHAnsi"/>
              </w:rPr>
              <w:t>Other collections which inform on other aspects of homelessness, such as the incidence of homelessness and people’s past experiences of homelessness, include the ABS General Social Survey and the AIHW Special Homelessness Services collection. Care should be taken when comparing homelessness data from different sources due to the different collection methodologies and the different scope of the collections.</w:t>
            </w:r>
          </w:p>
        </w:tc>
      </w:tr>
      <w:tr w:rsidR="00B82253" w:rsidRPr="00C55B44" w:rsidTr="00DD3D61">
        <w:tc>
          <w:tcPr>
            <w:tcW w:w="922" w:type="pct"/>
          </w:tcPr>
          <w:p w:rsidR="00B82253" w:rsidRPr="00C55B44" w:rsidRDefault="00B82253" w:rsidP="000153D0">
            <w:pPr>
              <w:pStyle w:val="TableBodyText"/>
              <w:jc w:val="left"/>
              <w:rPr>
                <w:rFonts w:asciiTheme="minorHAnsi" w:hAnsiTheme="minorHAnsi" w:cstheme="minorHAnsi"/>
                <w:b/>
              </w:rPr>
            </w:pPr>
            <w:r w:rsidRPr="00C55B44">
              <w:rPr>
                <w:rFonts w:asciiTheme="minorHAnsi" w:hAnsiTheme="minorHAnsi" w:cstheme="minorHAnsi"/>
                <w:b/>
              </w:rPr>
              <w:lastRenderedPageBreak/>
              <w:t>Accessibility</w:t>
            </w:r>
          </w:p>
        </w:tc>
        <w:tc>
          <w:tcPr>
            <w:tcW w:w="4078" w:type="pct"/>
          </w:tcPr>
          <w:p w:rsidR="00B82253" w:rsidRPr="00C55B44" w:rsidRDefault="00D07BDB" w:rsidP="00D07BDB">
            <w:pPr>
              <w:pStyle w:val="TableBodyText"/>
              <w:jc w:val="both"/>
              <w:rPr>
                <w:rFonts w:asciiTheme="minorHAnsi" w:hAnsiTheme="minorHAnsi" w:cstheme="minorHAnsi"/>
              </w:rPr>
            </w:pPr>
            <w:r w:rsidRPr="00C55B44">
              <w:rPr>
                <w:rFonts w:asciiTheme="minorHAnsi" w:hAnsiTheme="minorHAnsi" w:cstheme="minorHAnsi"/>
              </w:rPr>
              <w:t>In addition to published estimates in Census of Population and Housing: Estimating homelessness (cat. no. 2049.0), other homelessness results from the Census are available from the ABS on request. Please contact the ABS on (02) 6252 6174 or living.conditions@abs.gov.au for more information.</w:t>
            </w:r>
          </w:p>
        </w:tc>
      </w:tr>
      <w:tr w:rsidR="000153D0" w:rsidRPr="00C55B44" w:rsidTr="00DD3D61">
        <w:tc>
          <w:tcPr>
            <w:tcW w:w="922" w:type="pct"/>
          </w:tcPr>
          <w:p w:rsidR="000153D0" w:rsidRPr="00C55B44" w:rsidRDefault="000153D0" w:rsidP="000153D0">
            <w:pPr>
              <w:pStyle w:val="TableBodyText"/>
              <w:jc w:val="left"/>
              <w:rPr>
                <w:rFonts w:asciiTheme="minorHAnsi" w:hAnsiTheme="minorHAnsi" w:cstheme="minorHAnsi"/>
                <w:b/>
              </w:rPr>
            </w:pPr>
            <w:r w:rsidRPr="00C55B44">
              <w:rPr>
                <w:rFonts w:asciiTheme="minorHAnsi" w:hAnsiTheme="minorHAnsi" w:cstheme="minorHAnsi"/>
                <w:b/>
              </w:rPr>
              <w:t>Interpretability</w:t>
            </w:r>
          </w:p>
        </w:tc>
        <w:tc>
          <w:tcPr>
            <w:tcW w:w="4078" w:type="pct"/>
          </w:tcPr>
          <w:p w:rsidR="00D07BDB" w:rsidRPr="00C55B44" w:rsidRDefault="00D07BDB" w:rsidP="00D07BDB">
            <w:pPr>
              <w:pStyle w:val="TableBodyText"/>
              <w:jc w:val="both"/>
              <w:rPr>
                <w:rFonts w:asciiTheme="minorHAnsi" w:hAnsiTheme="minorHAnsi" w:cstheme="minorHAnsi"/>
                <w:color w:val="1B1B1B"/>
              </w:rPr>
            </w:pPr>
            <w:r w:rsidRPr="00C55B44">
              <w:rPr>
                <w:rFonts w:asciiTheme="minorHAnsi" w:hAnsiTheme="minorHAnsi" w:cstheme="minorHAnsi"/>
                <w:color w:val="1B1B1B"/>
              </w:rPr>
              <w:t xml:space="preserve">Official estimates of homelessness are published in </w:t>
            </w:r>
            <w:r w:rsidRPr="00C55B44">
              <w:rPr>
                <w:rFonts w:asciiTheme="minorHAnsi" w:hAnsiTheme="minorHAnsi" w:cstheme="minorHAnsi"/>
              </w:rPr>
              <w:t>Census of Population and Housing: Estimating Homelessness</w:t>
            </w:r>
            <w:r w:rsidRPr="00C55B44">
              <w:rPr>
                <w:rFonts w:asciiTheme="minorHAnsi" w:hAnsiTheme="minorHAnsi" w:cstheme="minorHAnsi"/>
                <w:color w:val="1B1B1B"/>
              </w:rPr>
              <w:t xml:space="preserve"> (cat. no. 2049.0).</w:t>
            </w:r>
          </w:p>
          <w:p w:rsidR="00DA1CC9" w:rsidRPr="00C55B44" w:rsidRDefault="00D07BDB" w:rsidP="00D07BDB">
            <w:pPr>
              <w:pStyle w:val="TableBodyText"/>
              <w:jc w:val="both"/>
              <w:rPr>
                <w:rFonts w:asciiTheme="minorHAnsi" w:hAnsiTheme="minorHAnsi" w:cstheme="minorHAnsi"/>
                <w:color w:val="1B1B1B"/>
              </w:rPr>
            </w:pPr>
            <w:r w:rsidRPr="00C55B44">
              <w:rPr>
                <w:rFonts w:asciiTheme="minorHAnsi" w:hAnsiTheme="minorHAnsi" w:cstheme="minorHAnsi"/>
                <w:color w:val="1B1B1B"/>
              </w:rPr>
              <w:t xml:space="preserve">Back ground information on the methodology used to estimate homelessness can be found in </w:t>
            </w:r>
            <w:r w:rsidRPr="00C55B44">
              <w:rPr>
                <w:rFonts w:asciiTheme="minorHAnsi" w:hAnsiTheme="minorHAnsi" w:cstheme="minorHAnsi"/>
              </w:rPr>
              <w:t>Information Paper - Methodology for Estimating Homelessness from the Census of Population and Housing</w:t>
            </w:r>
            <w:r w:rsidRPr="00C55B44">
              <w:rPr>
                <w:rFonts w:asciiTheme="minorHAnsi" w:hAnsiTheme="minorHAnsi" w:cstheme="minorHAnsi"/>
                <w:color w:val="1B1B1B"/>
              </w:rPr>
              <w:t xml:space="preserve"> (cat. no. 2049.0.55.001).</w:t>
            </w:r>
          </w:p>
        </w:tc>
      </w:tr>
      <w:tr w:rsidR="000153D0" w:rsidRPr="00C55B44" w:rsidTr="004A6FD8">
        <w:tc>
          <w:tcPr>
            <w:tcW w:w="5000" w:type="pct"/>
            <w:gridSpan w:val="2"/>
            <w:shd w:val="clear" w:color="auto" w:fill="auto"/>
          </w:tcPr>
          <w:p w:rsidR="00404F8B" w:rsidRPr="00C55B44" w:rsidRDefault="00404F8B" w:rsidP="000153D0">
            <w:pPr>
              <w:pStyle w:val="TableBodyText"/>
              <w:jc w:val="left"/>
              <w:rPr>
                <w:rFonts w:asciiTheme="minorHAnsi" w:hAnsiTheme="minorHAnsi" w:cstheme="minorHAnsi"/>
                <w:b/>
                <w:u w:val="single"/>
              </w:rPr>
            </w:pPr>
          </w:p>
          <w:p w:rsidR="000153D0" w:rsidRPr="00C55B44" w:rsidRDefault="000153D0" w:rsidP="000153D0">
            <w:pPr>
              <w:pStyle w:val="TableBodyText"/>
              <w:jc w:val="left"/>
              <w:rPr>
                <w:rFonts w:asciiTheme="minorHAnsi" w:hAnsiTheme="minorHAnsi" w:cstheme="minorHAnsi"/>
                <w:b/>
                <w:u w:val="single"/>
              </w:rPr>
            </w:pPr>
            <w:r w:rsidRPr="00C55B44">
              <w:rPr>
                <w:rFonts w:asciiTheme="minorHAnsi" w:hAnsiTheme="minorHAnsi" w:cstheme="minorHAnsi"/>
                <w:b/>
                <w:u w:val="single"/>
              </w:rPr>
              <w:t>Data Gaps/Issues Analysis</w:t>
            </w:r>
          </w:p>
        </w:tc>
      </w:tr>
      <w:tr w:rsidR="000153D0" w:rsidRPr="00C55B44" w:rsidTr="00DD3D61">
        <w:tc>
          <w:tcPr>
            <w:tcW w:w="922" w:type="pct"/>
            <w:shd w:val="clear" w:color="auto" w:fill="auto"/>
          </w:tcPr>
          <w:p w:rsidR="000153D0" w:rsidRPr="00C55B44" w:rsidRDefault="000153D0" w:rsidP="000153D0">
            <w:pPr>
              <w:pStyle w:val="TableBodyText"/>
              <w:jc w:val="left"/>
              <w:rPr>
                <w:rFonts w:asciiTheme="minorHAnsi" w:hAnsiTheme="minorHAnsi" w:cstheme="minorHAnsi"/>
                <w:b/>
              </w:rPr>
            </w:pPr>
            <w:r w:rsidRPr="00C55B44">
              <w:rPr>
                <w:rFonts w:asciiTheme="minorHAnsi" w:hAnsiTheme="minorHAnsi" w:cstheme="minorHAnsi"/>
                <w:b/>
              </w:rPr>
              <w:t>Key data gaps/ issues</w:t>
            </w:r>
          </w:p>
        </w:tc>
        <w:tc>
          <w:tcPr>
            <w:tcW w:w="4078" w:type="pct"/>
            <w:shd w:val="clear" w:color="auto" w:fill="auto"/>
          </w:tcPr>
          <w:p w:rsidR="000153D0" w:rsidRPr="00C55B44" w:rsidRDefault="000153D0" w:rsidP="000153D0">
            <w:pPr>
              <w:pStyle w:val="TableBodyText"/>
              <w:jc w:val="both"/>
              <w:rPr>
                <w:rFonts w:asciiTheme="minorHAnsi" w:hAnsiTheme="minorHAnsi" w:cstheme="minorHAnsi"/>
              </w:rPr>
            </w:pPr>
            <w:r w:rsidRPr="00C55B44">
              <w:rPr>
                <w:rFonts w:asciiTheme="minorHAnsi" w:hAnsiTheme="minorHAnsi" w:cstheme="minorHAnsi"/>
              </w:rPr>
              <w:t xml:space="preserve">The Steering Committee notes the following key data gaps/issues: </w:t>
            </w:r>
          </w:p>
          <w:p w:rsidR="00A75B94" w:rsidRPr="00C55B44" w:rsidRDefault="00A75B94" w:rsidP="00A75B94">
            <w:pPr>
              <w:pStyle w:val="TableBullet"/>
              <w:jc w:val="both"/>
              <w:rPr>
                <w:rFonts w:asciiTheme="minorHAnsi" w:hAnsiTheme="minorHAnsi" w:cstheme="minorHAnsi"/>
              </w:rPr>
            </w:pPr>
            <w:r w:rsidRPr="00C55B44">
              <w:rPr>
                <w:rFonts w:asciiTheme="minorHAnsi" w:hAnsiTheme="minorHAnsi" w:cstheme="minorHAnsi"/>
              </w:rPr>
              <w:t>The Steering Committee recommends that potential alternative data sources for reporting against this indicator continue to be investigated for years where Census data are not available.</w:t>
            </w:r>
          </w:p>
          <w:p w:rsidR="00A75B94" w:rsidRPr="00C55B44" w:rsidRDefault="00A75B94" w:rsidP="00A75B94">
            <w:pPr>
              <w:pStyle w:val="TableBullet"/>
              <w:jc w:val="both"/>
              <w:rPr>
                <w:rFonts w:asciiTheme="minorHAnsi" w:hAnsiTheme="minorHAnsi" w:cstheme="minorHAnsi"/>
              </w:rPr>
            </w:pPr>
            <w:r w:rsidRPr="00C55B44">
              <w:rPr>
                <w:rFonts w:asciiTheme="minorHAnsi" w:hAnsiTheme="minorHAnsi" w:cstheme="minorHAnsi"/>
              </w:rPr>
              <w:t xml:space="preserve">A new national Specialist Homelessness Services (SHS) data collection </w:t>
            </w:r>
            <w:r w:rsidR="0034563A" w:rsidRPr="00C55B44">
              <w:rPr>
                <w:rFonts w:asciiTheme="minorHAnsi" w:hAnsiTheme="minorHAnsi" w:cstheme="minorHAnsi"/>
              </w:rPr>
              <w:t xml:space="preserve">commenced on </w:t>
            </w:r>
            <w:r w:rsidRPr="00C55B44">
              <w:rPr>
                <w:rFonts w:asciiTheme="minorHAnsi" w:hAnsiTheme="minorHAnsi" w:cstheme="minorHAnsi"/>
              </w:rPr>
              <w:t>1 July 2011. The SHS data collection will expand the scope, type of information collected and provide more timely information of those people who are provided with specialist homelessness services, which may provide a proxy measure for this indicator.</w:t>
            </w:r>
          </w:p>
          <w:p w:rsidR="00353204" w:rsidRPr="00C55B44" w:rsidRDefault="00A75B94" w:rsidP="004D4D4E">
            <w:pPr>
              <w:pStyle w:val="TableBullet"/>
              <w:jc w:val="both"/>
              <w:rPr>
                <w:rFonts w:asciiTheme="minorHAnsi" w:hAnsiTheme="minorHAnsi" w:cstheme="minorHAnsi"/>
              </w:rPr>
            </w:pPr>
            <w:r w:rsidRPr="00C55B44">
              <w:rPr>
                <w:rFonts w:asciiTheme="minorHAnsi" w:hAnsiTheme="minorHAnsi" w:cstheme="minorHAnsi"/>
              </w:rPr>
              <w:t>There are currently no adequate counts of people experiencing homelessness who access mainstream services. However, the inclusion of homelessness flags in mainstream data sets is being explored, and there is a commitment to develop a common definition and standards for adoption in agency specific mainstream services datasets</w:t>
            </w:r>
            <w:r w:rsidR="004D4D4E" w:rsidRPr="00C55B44">
              <w:rPr>
                <w:rFonts w:asciiTheme="minorHAnsi" w:hAnsiTheme="minorHAnsi" w:cstheme="minorHAnsi"/>
              </w:rPr>
              <w:t>.</w:t>
            </w:r>
          </w:p>
        </w:tc>
      </w:tr>
    </w:tbl>
    <w:p w:rsidR="009B18A0" w:rsidRPr="00C55B44" w:rsidRDefault="009B18A0" w:rsidP="00553716">
      <w:pPr>
        <w:pStyle w:val="BodyText"/>
        <w:rPr>
          <w:rFonts w:asciiTheme="minorHAnsi" w:hAnsiTheme="minorHAnsi" w:cstheme="minorHAnsi"/>
        </w:rPr>
      </w:pPr>
    </w:p>
    <w:sectPr w:rsidR="009B18A0" w:rsidRPr="00C55B44" w:rsidSect="004565CD">
      <w:headerReference w:type="even" r:id="rId9"/>
      <w:headerReference w:type="default" r:id="rId10"/>
      <w:footerReference w:type="even" r:id="rId11"/>
      <w:footerReference w:type="default" r:id="rId12"/>
      <w:pgSz w:w="11907" w:h="16840" w:code="9"/>
      <w:pgMar w:top="1440" w:right="1440" w:bottom="1440" w:left="1440"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46B" w:rsidRDefault="005C646B">
      <w:r>
        <w:separator/>
      </w:r>
    </w:p>
  </w:endnote>
  <w:endnote w:type="continuationSeparator" w:id="0">
    <w:p w:rsidR="005C646B" w:rsidRDefault="005C6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C646B" w:rsidTr="003D7E65">
      <w:trPr>
        <w:trHeight w:hRule="exact" w:val="567"/>
      </w:trPr>
      <w:tc>
        <w:tcPr>
          <w:tcW w:w="510" w:type="dxa"/>
        </w:tcPr>
        <w:p w:rsidR="005C646B" w:rsidRPr="00A24443" w:rsidRDefault="005C646B"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41049">
            <w:rPr>
              <w:rStyle w:val="PageNumber"/>
              <w:caps w:val="0"/>
              <w:noProof/>
            </w:rPr>
            <w:t>14</w:t>
          </w:r>
          <w:r w:rsidRPr="00A24443">
            <w:rPr>
              <w:rStyle w:val="PageNumber"/>
              <w:caps w:val="0"/>
            </w:rPr>
            <w:fldChar w:fldCharType="end"/>
          </w:r>
        </w:p>
      </w:tc>
      <w:tc>
        <w:tcPr>
          <w:tcW w:w="7767" w:type="dxa"/>
        </w:tcPr>
        <w:p w:rsidR="005C646B" w:rsidRPr="0013739A" w:rsidRDefault="00133BAF" w:rsidP="003D7E65">
          <w:pPr>
            <w:pStyle w:val="Footer"/>
            <w:rPr>
              <w:rFonts w:cs="Arial"/>
            </w:rPr>
          </w:pPr>
          <w:r>
            <w:rPr>
              <w:rFonts w:cs="Arial"/>
            </w:rPr>
            <w:t>Report on Government Services 2015</w:t>
          </w:r>
          <w:bookmarkStart w:id="15" w:name="DraftReportEven"/>
          <w:bookmarkEnd w:id="15"/>
        </w:p>
      </w:tc>
      <w:tc>
        <w:tcPr>
          <w:tcW w:w="510" w:type="dxa"/>
        </w:tcPr>
        <w:p w:rsidR="005C646B" w:rsidRDefault="005C646B" w:rsidP="0019293B">
          <w:pPr>
            <w:pStyle w:val="Footer"/>
          </w:pPr>
        </w:p>
      </w:tc>
    </w:tr>
  </w:tbl>
  <w:p w:rsidR="005C646B" w:rsidRDefault="005C646B" w:rsidP="0019293B">
    <w:pPr>
      <w:pStyle w:val="FooterEnd"/>
    </w:pPr>
  </w:p>
  <w:p w:rsidR="005C646B" w:rsidRDefault="005C646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C646B" w:rsidTr="003D7E65">
      <w:trPr>
        <w:trHeight w:hRule="exact" w:val="567"/>
      </w:trPr>
      <w:tc>
        <w:tcPr>
          <w:tcW w:w="510" w:type="dxa"/>
        </w:tcPr>
        <w:p w:rsidR="005C646B" w:rsidRDefault="005C646B">
          <w:pPr>
            <w:pStyle w:val="Footer"/>
            <w:ind w:right="360" w:firstLine="360"/>
          </w:pPr>
        </w:p>
      </w:tc>
      <w:tc>
        <w:tcPr>
          <w:tcW w:w="7767" w:type="dxa"/>
        </w:tcPr>
        <w:p w:rsidR="005C646B" w:rsidRPr="00BA5B14" w:rsidRDefault="00133BAF" w:rsidP="003D7E65">
          <w:pPr>
            <w:pStyle w:val="Footer"/>
            <w:jc w:val="right"/>
            <w:rPr>
              <w:rFonts w:cs="Arial"/>
            </w:rPr>
          </w:pPr>
          <w:r>
            <w:rPr>
              <w:rFonts w:cs="Arial"/>
            </w:rPr>
            <w:t>Sector overview G Housing and homelessness DQI</w:t>
          </w:r>
        </w:p>
      </w:tc>
      <w:tc>
        <w:tcPr>
          <w:tcW w:w="510" w:type="dxa"/>
        </w:tcPr>
        <w:p w:rsidR="005C646B" w:rsidRPr="00A24443" w:rsidRDefault="005C646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41049">
            <w:rPr>
              <w:rStyle w:val="PageNumber"/>
              <w:caps w:val="0"/>
              <w:noProof/>
            </w:rPr>
            <w:t>1</w:t>
          </w:r>
          <w:r w:rsidRPr="00A24443">
            <w:rPr>
              <w:rStyle w:val="PageNumber"/>
              <w:caps w:val="0"/>
            </w:rPr>
            <w:fldChar w:fldCharType="end"/>
          </w:r>
        </w:p>
      </w:tc>
    </w:tr>
  </w:tbl>
  <w:p w:rsidR="005C646B" w:rsidRDefault="005C646B">
    <w:pPr>
      <w:pStyle w:val="FooterEnd"/>
    </w:pPr>
  </w:p>
  <w:p w:rsidR="005C646B" w:rsidRDefault="005C646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46B" w:rsidRDefault="005C646B">
      <w:r>
        <w:separator/>
      </w:r>
    </w:p>
  </w:footnote>
  <w:footnote w:type="continuationSeparator" w:id="0">
    <w:p w:rsidR="005C646B" w:rsidRDefault="005C64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753AC0" w:rsidTr="00753AC0">
      <w:tc>
        <w:tcPr>
          <w:tcW w:w="2155" w:type="dxa"/>
          <w:tcBorders>
            <w:top w:val="single" w:sz="24" w:space="0" w:color="auto"/>
          </w:tcBorders>
        </w:tcPr>
        <w:p w:rsidR="00753AC0" w:rsidRDefault="00753AC0" w:rsidP="00AE2B85">
          <w:pPr>
            <w:pStyle w:val="HeaderEven"/>
          </w:pPr>
        </w:p>
      </w:tc>
      <w:tc>
        <w:tcPr>
          <w:tcW w:w="6634" w:type="dxa"/>
          <w:tcBorders>
            <w:top w:val="single" w:sz="6" w:space="0" w:color="auto"/>
          </w:tcBorders>
        </w:tcPr>
        <w:p w:rsidR="00753AC0" w:rsidRDefault="00753AC0" w:rsidP="00AE2B85">
          <w:pPr>
            <w:pStyle w:val="HeaderEven"/>
          </w:pPr>
        </w:p>
      </w:tc>
    </w:tr>
  </w:tbl>
  <w:p w:rsidR="005C646B" w:rsidRDefault="005C646B" w:rsidP="0019293B">
    <w:pPr>
      <w:pStyle w:val="HeaderEnd"/>
    </w:pPr>
  </w:p>
  <w:p w:rsidR="005C646B" w:rsidRDefault="005C646B"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53AC0" w:rsidTr="00753AC0">
      <w:tc>
        <w:tcPr>
          <w:tcW w:w="6634" w:type="dxa"/>
          <w:tcBorders>
            <w:top w:val="single" w:sz="6" w:space="0" w:color="auto"/>
          </w:tcBorders>
        </w:tcPr>
        <w:p w:rsidR="00753AC0" w:rsidRDefault="00753AC0" w:rsidP="00AE2B85">
          <w:pPr>
            <w:pStyle w:val="HeaderOdd"/>
          </w:pPr>
        </w:p>
      </w:tc>
      <w:tc>
        <w:tcPr>
          <w:tcW w:w="2155" w:type="dxa"/>
          <w:tcBorders>
            <w:top w:val="single" w:sz="24" w:space="0" w:color="auto"/>
          </w:tcBorders>
        </w:tcPr>
        <w:p w:rsidR="00753AC0" w:rsidRDefault="00753AC0" w:rsidP="00AE2B85">
          <w:pPr>
            <w:pStyle w:val="HeaderOdd"/>
          </w:pPr>
        </w:p>
      </w:tc>
    </w:tr>
  </w:tbl>
  <w:p w:rsidR="005C646B" w:rsidRDefault="005C646B" w:rsidP="00E669E2">
    <w:pPr>
      <w:pStyle w:val="HeaderEnd"/>
    </w:pPr>
  </w:p>
  <w:p w:rsidR="005C646B" w:rsidRDefault="005C646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3EE21DCA"/>
    <w:multiLevelType w:val="hybridMultilevel"/>
    <w:tmpl w:val="F6801F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768A5808"/>
    <w:multiLevelType w:val="hybridMultilevel"/>
    <w:tmpl w:val="A16064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6"/>
  </w:num>
  <w:num w:numId="3">
    <w:abstractNumId w:val="24"/>
  </w:num>
  <w:num w:numId="4">
    <w:abstractNumId w:val="4"/>
  </w:num>
  <w:num w:numId="5">
    <w:abstractNumId w:val="17"/>
  </w:num>
  <w:num w:numId="6">
    <w:abstractNumId w:val="5"/>
  </w:num>
  <w:num w:numId="7">
    <w:abstractNumId w:val="22"/>
  </w:num>
  <w:num w:numId="8">
    <w:abstractNumId w:val="19"/>
  </w:num>
  <w:num w:numId="9">
    <w:abstractNumId w:val="25"/>
  </w:num>
  <w:num w:numId="10">
    <w:abstractNumId w:val="12"/>
  </w:num>
  <w:num w:numId="11">
    <w:abstractNumId w:val="9"/>
  </w:num>
  <w:num w:numId="12">
    <w:abstractNumId w:val="18"/>
  </w:num>
  <w:num w:numId="13">
    <w:abstractNumId w:val="8"/>
  </w:num>
  <w:num w:numId="14">
    <w:abstractNumId w:val="7"/>
  </w:num>
  <w:num w:numId="15">
    <w:abstractNumId w:val="15"/>
  </w:num>
  <w:num w:numId="16">
    <w:abstractNumId w:val="11"/>
  </w:num>
  <w:num w:numId="17">
    <w:abstractNumId w:val="0"/>
  </w:num>
  <w:num w:numId="18">
    <w:abstractNumId w:val="13"/>
  </w:num>
  <w:num w:numId="19">
    <w:abstractNumId w:val="20"/>
  </w:num>
  <w:num w:numId="20">
    <w:abstractNumId w:val="16"/>
  </w:num>
  <w:num w:numId="21">
    <w:abstractNumId w:val="21"/>
  </w:num>
  <w:num w:numId="22">
    <w:abstractNumId w:val="10"/>
  </w:num>
  <w:num w:numId="23">
    <w:abstractNumId w:val="1"/>
  </w:num>
  <w:num w:numId="24">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2"/>
  </w:num>
  <w:num w:numId="2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Housing and Homelessness DQI"/>
    <w:docVar w:name="ShortReportTitle" w:val="Report on Government Services 2012"/>
  </w:docVars>
  <w:rsids>
    <w:rsidRoot w:val="00B96E3E"/>
    <w:rsid w:val="000005A5"/>
    <w:rsid w:val="00006330"/>
    <w:rsid w:val="00010854"/>
    <w:rsid w:val="0001085B"/>
    <w:rsid w:val="00012E58"/>
    <w:rsid w:val="000153D0"/>
    <w:rsid w:val="00015618"/>
    <w:rsid w:val="00016C97"/>
    <w:rsid w:val="000224D4"/>
    <w:rsid w:val="00035368"/>
    <w:rsid w:val="0003664B"/>
    <w:rsid w:val="0004111F"/>
    <w:rsid w:val="00043C13"/>
    <w:rsid w:val="00045013"/>
    <w:rsid w:val="00054C8F"/>
    <w:rsid w:val="000659D4"/>
    <w:rsid w:val="00066833"/>
    <w:rsid w:val="0006762E"/>
    <w:rsid w:val="0007150B"/>
    <w:rsid w:val="00076670"/>
    <w:rsid w:val="00081EBD"/>
    <w:rsid w:val="00083424"/>
    <w:rsid w:val="00084F4A"/>
    <w:rsid w:val="000938F5"/>
    <w:rsid w:val="00096F99"/>
    <w:rsid w:val="000A0627"/>
    <w:rsid w:val="000A6392"/>
    <w:rsid w:val="000B601B"/>
    <w:rsid w:val="000C207E"/>
    <w:rsid w:val="000C4901"/>
    <w:rsid w:val="000C6735"/>
    <w:rsid w:val="000C7BE2"/>
    <w:rsid w:val="000D221E"/>
    <w:rsid w:val="000E3B7C"/>
    <w:rsid w:val="000E6F99"/>
    <w:rsid w:val="000F4744"/>
    <w:rsid w:val="00101134"/>
    <w:rsid w:val="00101653"/>
    <w:rsid w:val="00110116"/>
    <w:rsid w:val="00110867"/>
    <w:rsid w:val="001235E8"/>
    <w:rsid w:val="001268CB"/>
    <w:rsid w:val="00126EB8"/>
    <w:rsid w:val="00130FDF"/>
    <w:rsid w:val="00133BAF"/>
    <w:rsid w:val="001351C4"/>
    <w:rsid w:val="001362D4"/>
    <w:rsid w:val="001363AA"/>
    <w:rsid w:val="00163E8D"/>
    <w:rsid w:val="00165A9D"/>
    <w:rsid w:val="0018540D"/>
    <w:rsid w:val="00190192"/>
    <w:rsid w:val="0019293B"/>
    <w:rsid w:val="00195291"/>
    <w:rsid w:val="00196EAD"/>
    <w:rsid w:val="0019761A"/>
    <w:rsid w:val="001A14AB"/>
    <w:rsid w:val="001A41F4"/>
    <w:rsid w:val="001A6E25"/>
    <w:rsid w:val="001A7053"/>
    <w:rsid w:val="001A7971"/>
    <w:rsid w:val="001C0865"/>
    <w:rsid w:val="001C3ABA"/>
    <w:rsid w:val="001C4615"/>
    <w:rsid w:val="001D35B6"/>
    <w:rsid w:val="001E5D94"/>
    <w:rsid w:val="001E7BE8"/>
    <w:rsid w:val="001F0248"/>
    <w:rsid w:val="001F424E"/>
    <w:rsid w:val="001F4544"/>
    <w:rsid w:val="001F4FF4"/>
    <w:rsid w:val="001F62B8"/>
    <w:rsid w:val="00202C2C"/>
    <w:rsid w:val="00203D32"/>
    <w:rsid w:val="0020455D"/>
    <w:rsid w:val="00206097"/>
    <w:rsid w:val="00210245"/>
    <w:rsid w:val="00211652"/>
    <w:rsid w:val="00211855"/>
    <w:rsid w:val="00211883"/>
    <w:rsid w:val="00227152"/>
    <w:rsid w:val="0023416C"/>
    <w:rsid w:val="00237E9A"/>
    <w:rsid w:val="00240478"/>
    <w:rsid w:val="00242279"/>
    <w:rsid w:val="00244562"/>
    <w:rsid w:val="00247F7B"/>
    <w:rsid w:val="002714B9"/>
    <w:rsid w:val="00282B08"/>
    <w:rsid w:val="00284CF3"/>
    <w:rsid w:val="00284FCD"/>
    <w:rsid w:val="00291B40"/>
    <w:rsid w:val="00291D34"/>
    <w:rsid w:val="002A02D9"/>
    <w:rsid w:val="002B287E"/>
    <w:rsid w:val="002B29D7"/>
    <w:rsid w:val="002B4008"/>
    <w:rsid w:val="002B7D1C"/>
    <w:rsid w:val="002D0A74"/>
    <w:rsid w:val="002D0E8E"/>
    <w:rsid w:val="002F57CA"/>
    <w:rsid w:val="002F726B"/>
    <w:rsid w:val="00301189"/>
    <w:rsid w:val="00302655"/>
    <w:rsid w:val="0030756B"/>
    <w:rsid w:val="0031201E"/>
    <w:rsid w:val="0032345F"/>
    <w:rsid w:val="00323E09"/>
    <w:rsid w:val="0033121A"/>
    <w:rsid w:val="00331500"/>
    <w:rsid w:val="00333932"/>
    <w:rsid w:val="00334DED"/>
    <w:rsid w:val="003411CB"/>
    <w:rsid w:val="00341F56"/>
    <w:rsid w:val="0034473B"/>
    <w:rsid w:val="0034563A"/>
    <w:rsid w:val="003518AA"/>
    <w:rsid w:val="00352C97"/>
    <w:rsid w:val="00353182"/>
    <w:rsid w:val="00353204"/>
    <w:rsid w:val="00356250"/>
    <w:rsid w:val="00357160"/>
    <w:rsid w:val="003602E1"/>
    <w:rsid w:val="00371240"/>
    <w:rsid w:val="00374731"/>
    <w:rsid w:val="00377BB6"/>
    <w:rsid w:val="003831B0"/>
    <w:rsid w:val="00391AC1"/>
    <w:rsid w:val="00395D4C"/>
    <w:rsid w:val="003968F4"/>
    <w:rsid w:val="003B0A1A"/>
    <w:rsid w:val="003B2856"/>
    <w:rsid w:val="003B36BA"/>
    <w:rsid w:val="003C0921"/>
    <w:rsid w:val="003C38B5"/>
    <w:rsid w:val="003C5D99"/>
    <w:rsid w:val="003C6BB7"/>
    <w:rsid w:val="003C6E8E"/>
    <w:rsid w:val="003D7E65"/>
    <w:rsid w:val="003F0789"/>
    <w:rsid w:val="003F51AC"/>
    <w:rsid w:val="00401882"/>
    <w:rsid w:val="00404F8B"/>
    <w:rsid w:val="004052E5"/>
    <w:rsid w:val="004100C8"/>
    <w:rsid w:val="00412ACE"/>
    <w:rsid w:val="00425CF8"/>
    <w:rsid w:val="004279EE"/>
    <w:rsid w:val="00431249"/>
    <w:rsid w:val="00432F7F"/>
    <w:rsid w:val="00434C19"/>
    <w:rsid w:val="004366E5"/>
    <w:rsid w:val="00442BDE"/>
    <w:rsid w:val="00450810"/>
    <w:rsid w:val="004565CD"/>
    <w:rsid w:val="004633B4"/>
    <w:rsid w:val="004671F8"/>
    <w:rsid w:val="00467DF8"/>
    <w:rsid w:val="0047189B"/>
    <w:rsid w:val="0047376D"/>
    <w:rsid w:val="00477144"/>
    <w:rsid w:val="004812E7"/>
    <w:rsid w:val="004816A1"/>
    <w:rsid w:val="004817C1"/>
    <w:rsid w:val="00483C88"/>
    <w:rsid w:val="00484823"/>
    <w:rsid w:val="004932E5"/>
    <w:rsid w:val="0049459F"/>
    <w:rsid w:val="00495FF8"/>
    <w:rsid w:val="004A57E7"/>
    <w:rsid w:val="004A6E56"/>
    <w:rsid w:val="004A6FD8"/>
    <w:rsid w:val="004B3A52"/>
    <w:rsid w:val="004B3E11"/>
    <w:rsid w:val="004B43AE"/>
    <w:rsid w:val="004B7494"/>
    <w:rsid w:val="004C30ED"/>
    <w:rsid w:val="004C5D26"/>
    <w:rsid w:val="004C7CE7"/>
    <w:rsid w:val="004D4D4E"/>
    <w:rsid w:val="004E0BAF"/>
    <w:rsid w:val="004E39AA"/>
    <w:rsid w:val="004E5241"/>
    <w:rsid w:val="004E6E5C"/>
    <w:rsid w:val="004F37A7"/>
    <w:rsid w:val="004F62FD"/>
    <w:rsid w:val="004F7C4C"/>
    <w:rsid w:val="00500E95"/>
    <w:rsid w:val="0050738F"/>
    <w:rsid w:val="00507BC7"/>
    <w:rsid w:val="005110ED"/>
    <w:rsid w:val="00513314"/>
    <w:rsid w:val="005139E5"/>
    <w:rsid w:val="005167FD"/>
    <w:rsid w:val="00526A78"/>
    <w:rsid w:val="00527F93"/>
    <w:rsid w:val="00532140"/>
    <w:rsid w:val="00544E63"/>
    <w:rsid w:val="005455AC"/>
    <w:rsid w:val="00546B24"/>
    <w:rsid w:val="00553716"/>
    <w:rsid w:val="0055464B"/>
    <w:rsid w:val="00555FBB"/>
    <w:rsid w:val="0056248A"/>
    <w:rsid w:val="005667C8"/>
    <w:rsid w:val="005730BB"/>
    <w:rsid w:val="0057603F"/>
    <w:rsid w:val="00583C39"/>
    <w:rsid w:val="005909CF"/>
    <w:rsid w:val="00591E71"/>
    <w:rsid w:val="00593810"/>
    <w:rsid w:val="00593F78"/>
    <w:rsid w:val="005967D6"/>
    <w:rsid w:val="005A0D14"/>
    <w:rsid w:val="005A1C87"/>
    <w:rsid w:val="005B11D7"/>
    <w:rsid w:val="005C5457"/>
    <w:rsid w:val="005C646B"/>
    <w:rsid w:val="005C7CE6"/>
    <w:rsid w:val="005D3EA0"/>
    <w:rsid w:val="005E066E"/>
    <w:rsid w:val="005E605C"/>
    <w:rsid w:val="005F2F6F"/>
    <w:rsid w:val="005F4EE9"/>
    <w:rsid w:val="006038B1"/>
    <w:rsid w:val="00604F9C"/>
    <w:rsid w:val="0060519A"/>
    <w:rsid w:val="00607BAA"/>
    <w:rsid w:val="00607BF1"/>
    <w:rsid w:val="00612D94"/>
    <w:rsid w:val="00630D4D"/>
    <w:rsid w:val="00632A74"/>
    <w:rsid w:val="006340A3"/>
    <w:rsid w:val="00636B8C"/>
    <w:rsid w:val="00640E63"/>
    <w:rsid w:val="006413EA"/>
    <w:rsid w:val="00644B3E"/>
    <w:rsid w:val="0065629B"/>
    <w:rsid w:val="006564BC"/>
    <w:rsid w:val="00657C3A"/>
    <w:rsid w:val="00657FF6"/>
    <w:rsid w:val="00665312"/>
    <w:rsid w:val="00666D1D"/>
    <w:rsid w:val="00676F2B"/>
    <w:rsid w:val="00680A1D"/>
    <w:rsid w:val="00684DB8"/>
    <w:rsid w:val="00691ABA"/>
    <w:rsid w:val="0069744C"/>
    <w:rsid w:val="006A10EE"/>
    <w:rsid w:val="006A2257"/>
    <w:rsid w:val="006A4655"/>
    <w:rsid w:val="006B0837"/>
    <w:rsid w:val="006B1495"/>
    <w:rsid w:val="006B3370"/>
    <w:rsid w:val="006B61B4"/>
    <w:rsid w:val="006C3528"/>
    <w:rsid w:val="006C7038"/>
    <w:rsid w:val="006D00A0"/>
    <w:rsid w:val="006D2674"/>
    <w:rsid w:val="006E0230"/>
    <w:rsid w:val="006E520F"/>
    <w:rsid w:val="006E6135"/>
    <w:rsid w:val="006E73EF"/>
    <w:rsid w:val="006F0D3C"/>
    <w:rsid w:val="006F5A92"/>
    <w:rsid w:val="007009F4"/>
    <w:rsid w:val="00702250"/>
    <w:rsid w:val="007064E9"/>
    <w:rsid w:val="007066FD"/>
    <w:rsid w:val="0071166E"/>
    <w:rsid w:val="00711B1C"/>
    <w:rsid w:val="007128B4"/>
    <w:rsid w:val="007137BC"/>
    <w:rsid w:val="00722AD4"/>
    <w:rsid w:val="00725526"/>
    <w:rsid w:val="00730827"/>
    <w:rsid w:val="00731481"/>
    <w:rsid w:val="00735300"/>
    <w:rsid w:val="007422A3"/>
    <w:rsid w:val="00744E48"/>
    <w:rsid w:val="00744F14"/>
    <w:rsid w:val="00753AC0"/>
    <w:rsid w:val="007604BB"/>
    <w:rsid w:val="0076083F"/>
    <w:rsid w:val="00761E78"/>
    <w:rsid w:val="0076288B"/>
    <w:rsid w:val="00762957"/>
    <w:rsid w:val="00765BDA"/>
    <w:rsid w:val="00772DAD"/>
    <w:rsid w:val="00781C59"/>
    <w:rsid w:val="00790B48"/>
    <w:rsid w:val="00794B4C"/>
    <w:rsid w:val="007A0BC1"/>
    <w:rsid w:val="007A0D49"/>
    <w:rsid w:val="007A21EB"/>
    <w:rsid w:val="007A23BF"/>
    <w:rsid w:val="007A265A"/>
    <w:rsid w:val="007B3ABE"/>
    <w:rsid w:val="007B63F5"/>
    <w:rsid w:val="007C1E30"/>
    <w:rsid w:val="007C36C9"/>
    <w:rsid w:val="007C6C28"/>
    <w:rsid w:val="007C736C"/>
    <w:rsid w:val="007C79D3"/>
    <w:rsid w:val="007C79DA"/>
    <w:rsid w:val="007D0BFD"/>
    <w:rsid w:val="007D10A5"/>
    <w:rsid w:val="007D66CA"/>
    <w:rsid w:val="007E01E4"/>
    <w:rsid w:val="007E1567"/>
    <w:rsid w:val="007E2755"/>
    <w:rsid w:val="007E6B15"/>
    <w:rsid w:val="007F2378"/>
    <w:rsid w:val="007F7107"/>
    <w:rsid w:val="00803FAD"/>
    <w:rsid w:val="0081030F"/>
    <w:rsid w:val="00813ABE"/>
    <w:rsid w:val="00814046"/>
    <w:rsid w:val="00814383"/>
    <w:rsid w:val="0082087D"/>
    <w:rsid w:val="00823B25"/>
    <w:rsid w:val="008353B9"/>
    <w:rsid w:val="008377E7"/>
    <w:rsid w:val="00841049"/>
    <w:rsid w:val="008447A7"/>
    <w:rsid w:val="00854AF1"/>
    <w:rsid w:val="00857672"/>
    <w:rsid w:val="0086082C"/>
    <w:rsid w:val="00864ADC"/>
    <w:rsid w:val="00865FC5"/>
    <w:rsid w:val="008661B0"/>
    <w:rsid w:val="00873488"/>
    <w:rsid w:val="00874DB4"/>
    <w:rsid w:val="00880153"/>
    <w:rsid w:val="00880B18"/>
    <w:rsid w:val="00880F97"/>
    <w:rsid w:val="0088133A"/>
    <w:rsid w:val="00883DCF"/>
    <w:rsid w:val="00885C6B"/>
    <w:rsid w:val="00891D67"/>
    <w:rsid w:val="0089285E"/>
    <w:rsid w:val="0089436C"/>
    <w:rsid w:val="008A48B7"/>
    <w:rsid w:val="008A79C7"/>
    <w:rsid w:val="008C00BE"/>
    <w:rsid w:val="008C6DA6"/>
    <w:rsid w:val="008E6C10"/>
    <w:rsid w:val="008F2084"/>
    <w:rsid w:val="008F4871"/>
    <w:rsid w:val="008F48FE"/>
    <w:rsid w:val="009012EA"/>
    <w:rsid w:val="00902803"/>
    <w:rsid w:val="009030BF"/>
    <w:rsid w:val="009034FE"/>
    <w:rsid w:val="00905C85"/>
    <w:rsid w:val="00905E38"/>
    <w:rsid w:val="00906994"/>
    <w:rsid w:val="009106F0"/>
    <w:rsid w:val="00910938"/>
    <w:rsid w:val="009122D6"/>
    <w:rsid w:val="00913921"/>
    <w:rsid w:val="00914368"/>
    <w:rsid w:val="009178BD"/>
    <w:rsid w:val="009309BB"/>
    <w:rsid w:val="00931076"/>
    <w:rsid w:val="009345D9"/>
    <w:rsid w:val="00934B15"/>
    <w:rsid w:val="00937F9F"/>
    <w:rsid w:val="00942B62"/>
    <w:rsid w:val="00944C01"/>
    <w:rsid w:val="00944D4A"/>
    <w:rsid w:val="00955B16"/>
    <w:rsid w:val="009564F2"/>
    <w:rsid w:val="00956A0C"/>
    <w:rsid w:val="00956BD9"/>
    <w:rsid w:val="00962489"/>
    <w:rsid w:val="00964D1A"/>
    <w:rsid w:val="00965610"/>
    <w:rsid w:val="0097125C"/>
    <w:rsid w:val="00972785"/>
    <w:rsid w:val="00980CE7"/>
    <w:rsid w:val="00980D72"/>
    <w:rsid w:val="00983A55"/>
    <w:rsid w:val="00984DC3"/>
    <w:rsid w:val="00986035"/>
    <w:rsid w:val="00995521"/>
    <w:rsid w:val="0099620F"/>
    <w:rsid w:val="00997D05"/>
    <w:rsid w:val="009A6E2F"/>
    <w:rsid w:val="009B18A0"/>
    <w:rsid w:val="009B1A18"/>
    <w:rsid w:val="009C1048"/>
    <w:rsid w:val="009C6DDE"/>
    <w:rsid w:val="009D5D88"/>
    <w:rsid w:val="009E4070"/>
    <w:rsid w:val="009E76E0"/>
    <w:rsid w:val="009F093C"/>
    <w:rsid w:val="009F199D"/>
    <w:rsid w:val="009F696D"/>
    <w:rsid w:val="009F6BC6"/>
    <w:rsid w:val="00A0671F"/>
    <w:rsid w:val="00A0683E"/>
    <w:rsid w:val="00A16EAC"/>
    <w:rsid w:val="00A17328"/>
    <w:rsid w:val="00A24340"/>
    <w:rsid w:val="00A25129"/>
    <w:rsid w:val="00A2703A"/>
    <w:rsid w:val="00A31A65"/>
    <w:rsid w:val="00A3292F"/>
    <w:rsid w:val="00A33879"/>
    <w:rsid w:val="00A33DA6"/>
    <w:rsid w:val="00A33DFF"/>
    <w:rsid w:val="00A350DA"/>
    <w:rsid w:val="00A35115"/>
    <w:rsid w:val="00A3758E"/>
    <w:rsid w:val="00A377A9"/>
    <w:rsid w:val="00A43812"/>
    <w:rsid w:val="00A554AB"/>
    <w:rsid w:val="00A6216D"/>
    <w:rsid w:val="00A7432A"/>
    <w:rsid w:val="00A75B94"/>
    <w:rsid w:val="00A8586A"/>
    <w:rsid w:val="00A918A7"/>
    <w:rsid w:val="00A94FA6"/>
    <w:rsid w:val="00A95137"/>
    <w:rsid w:val="00A95241"/>
    <w:rsid w:val="00AA3037"/>
    <w:rsid w:val="00AA6710"/>
    <w:rsid w:val="00AB0681"/>
    <w:rsid w:val="00AB1021"/>
    <w:rsid w:val="00AC7E8A"/>
    <w:rsid w:val="00AD7267"/>
    <w:rsid w:val="00AD77E4"/>
    <w:rsid w:val="00AE2DAF"/>
    <w:rsid w:val="00AE2DD3"/>
    <w:rsid w:val="00B02671"/>
    <w:rsid w:val="00B10B3B"/>
    <w:rsid w:val="00B1622C"/>
    <w:rsid w:val="00B216F7"/>
    <w:rsid w:val="00B24B06"/>
    <w:rsid w:val="00B303E8"/>
    <w:rsid w:val="00B304FF"/>
    <w:rsid w:val="00B30A97"/>
    <w:rsid w:val="00B41F54"/>
    <w:rsid w:val="00B45911"/>
    <w:rsid w:val="00B50306"/>
    <w:rsid w:val="00B52F92"/>
    <w:rsid w:val="00B53114"/>
    <w:rsid w:val="00B53E7E"/>
    <w:rsid w:val="00B6342E"/>
    <w:rsid w:val="00B651D5"/>
    <w:rsid w:val="00B6560A"/>
    <w:rsid w:val="00B668BF"/>
    <w:rsid w:val="00B7113F"/>
    <w:rsid w:val="00B76C5D"/>
    <w:rsid w:val="00B82253"/>
    <w:rsid w:val="00B9194C"/>
    <w:rsid w:val="00B95CAB"/>
    <w:rsid w:val="00B96E3E"/>
    <w:rsid w:val="00BA73B6"/>
    <w:rsid w:val="00BB2AD6"/>
    <w:rsid w:val="00BB4FCD"/>
    <w:rsid w:val="00BB52CD"/>
    <w:rsid w:val="00BB531B"/>
    <w:rsid w:val="00BC0078"/>
    <w:rsid w:val="00BC16F8"/>
    <w:rsid w:val="00BC2AF8"/>
    <w:rsid w:val="00BC3AA3"/>
    <w:rsid w:val="00BC6FE9"/>
    <w:rsid w:val="00BD13EA"/>
    <w:rsid w:val="00BD2AAD"/>
    <w:rsid w:val="00BD5BAE"/>
    <w:rsid w:val="00BE0209"/>
    <w:rsid w:val="00BE375B"/>
    <w:rsid w:val="00BE3808"/>
    <w:rsid w:val="00BE6B7C"/>
    <w:rsid w:val="00BE7173"/>
    <w:rsid w:val="00BF56E9"/>
    <w:rsid w:val="00BF5DA0"/>
    <w:rsid w:val="00C01491"/>
    <w:rsid w:val="00C039AF"/>
    <w:rsid w:val="00C062E9"/>
    <w:rsid w:val="00C13721"/>
    <w:rsid w:val="00C13C0D"/>
    <w:rsid w:val="00C13DB6"/>
    <w:rsid w:val="00C14543"/>
    <w:rsid w:val="00C1558F"/>
    <w:rsid w:val="00C16FC8"/>
    <w:rsid w:val="00C17B56"/>
    <w:rsid w:val="00C25288"/>
    <w:rsid w:val="00C341A4"/>
    <w:rsid w:val="00C3593E"/>
    <w:rsid w:val="00C43E88"/>
    <w:rsid w:val="00C44E1F"/>
    <w:rsid w:val="00C45D2C"/>
    <w:rsid w:val="00C47351"/>
    <w:rsid w:val="00C543F4"/>
    <w:rsid w:val="00C55674"/>
    <w:rsid w:val="00C55B44"/>
    <w:rsid w:val="00C5702B"/>
    <w:rsid w:val="00C61376"/>
    <w:rsid w:val="00C6291C"/>
    <w:rsid w:val="00C633CB"/>
    <w:rsid w:val="00C66FA0"/>
    <w:rsid w:val="00C74137"/>
    <w:rsid w:val="00C744E0"/>
    <w:rsid w:val="00C8762C"/>
    <w:rsid w:val="00C933F7"/>
    <w:rsid w:val="00CA00F9"/>
    <w:rsid w:val="00CA2961"/>
    <w:rsid w:val="00CA481F"/>
    <w:rsid w:val="00CA5839"/>
    <w:rsid w:val="00CB2B41"/>
    <w:rsid w:val="00CB50D7"/>
    <w:rsid w:val="00CB6200"/>
    <w:rsid w:val="00CB7177"/>
    <w:rsid w:val="00CC1998"/>
    <w:rsid w:val="00CC4946"/>
    <w:rsid w:val="00CC5BFC"/>
    <w:rsid w:val="00CC6152"/>
    <w:rsid w:val="00CC71BA"/>
    <w:rsid w:val="00CD06CC"/>
    <w:rsid w:val="00CD47FC"/>
    <w:rsid w:val="00CF2438"/>
    <w:rsid w:val="00CF52FD"/>
    <w:rsid w:val="00D07BDB"/>
    <w:rsid w:val="00D1110B"/>
    <w:rsid w:val="00D1116B"/>
    <w:rsid w:val="00D15ADD"/>
    <w:rsid w:val="00D2412D"/>
    <w:rsid w:val="00D270A4"/>
    <w:rsid w:val="00D27589"/>
    <w:rsid w:val="00D34169"/>
    <w:rsid w:val="00D34E1B"/>
    <w:rsid w:val="00D406AF"/>
    <w:rsid w:val="00D472AB"/>
    <w:rsid w:val="00D54CFC"/>
    <w:rsid w:val="00D56338"/>
    <w:rsid w:val="00D6212D"/>
    <w:rsid w:val="00D63D73"/>
    <w:rsid w:val="00D66E1E"/>
    <w:rsid w:val="00D74546"/>
    <w:rsid w:val="00D75722"/>
    <w:rsid w:val="00D76509"/>
    <w:rsid w:val="00D77F87"/>
    <w:rsid w:val="00D82068"/>
    <w:rsid w:val="00D867B1"/>
    <w:rsid w:val="00D91108"/>
    <w:rsid w:val="00D94811"/>
    <w:rsid w:val="00D95B0F"/>
    <w:rsid w:val="00DA1CC9"/>
    <w:rsid w:val="00DA63F4"/>
    <w:rsid w:val="00DB67C9"/>
    <w:rsid w:val="00DC0C95"/>
    <w:rsid w:val="00DD3D61"/>
    <w:rsid w:val="00DD6580"/>
    <w:rsid w:val="00DE36F2"/>
    <w:rsid w:val="00E01822"/>
    <w:rsid w:val="00E16D0A"/>
    <w:rsid w:val="00E17C72"/>
    <w:rsid w:val="00E24E83"/>
    <w:rsid w:val="00E2640B"/>
    <w:rsid w:val="00E30316"/>
    <w:rsid w:val="00E41DFB"/>
    <w:rsid w:val="00E5369C"/>
    <w:rsid w:val="00E546B7"/>
    <w:rsid w:val="00E631E4"/>
    <w:rsid w:val="00E6375F"/>
    <w:rsid w:val="00E669E2"/>
    <w:rsid w:val="00E67440"/>
    <w:rsid w:val="00E724FA"/>
    <w:rsid w:val="00E76135"/>
    <w:rsid w:val="00E7685D"/>
    <w:rsid w:val="00E8373C"/>
    <w:rsid w:val="00E862F3"/>
    <w:rsid w:val="00E86448"/>
    <w:rsid w:val="00E877F6"/>
    <w:rsid w:val="00E93257"/>
    <w:rsid w:val="00EA2AAB"/>
    <w:rsid w:val="00EB1CE3"/>
    <w:rsid w:val="00EB36A1"/>
    <w:rsid w:val="00EC5697"/>
    <w:rsid w:val="00EC651C"/>
    <w:rsid w:val="00ED3AA8"/>
    <w:rsid w:val="00EE3D80"/>
    <w:rsid w:val="00EE5F4F"/>
    <w:rsid w:val="00EF007B"/>
    <w:rsid w:val="00EF5328"/>
    <w:rsid w:val="00EF71BA"/>
    <w:rsid w:val="00EF7BAE"/>
    <w:rsid w:val="00F056FC"/>
    <w:rsid w:val="00F06593"/>
    <w:rsid w:val="00F11831"/>
    <w:rsid w:val="00F135D8"/>
    <w:rsid w:val="00F26C33"/>
    <w:rsid w:val="00F30B63"/>
    <w:rsid w:val="00F30C6C"/>
    <w:rsid w:val="00F31299"/>
    <w:rsid w:val="00F3263B"/>
    <w:rsid w:val="00F3534A"/>
    <w:rsid w:val="00F4327E"/>
    <w:rsid w:val="00F467C2"/>
    <w:rsid w:val="00F46FE8"/>
    <w:rsid w:val="00F47708"/>
    <w:rsid w:val="00F50331"/>
    <w:rsid w:val="00F72A6A"/>
    <w:rsid w:val="00F85325"/>
    <w:rsid w:val="00F86EB2"/>
    <w:rsid w:val="00F90328"/>
    <w:rsid w:val="00F96165"/>
    <w:rsid w:val="00FA05D6"/>
    <w:rsid w:val="00FA20C6"/>
    <w:rsid w:val="00FA2C06"/>
    <w:rsid w:val="00FB0D9C"/>
    <w:rsid w:val="00FB146B"/>
    <w:rsid w:val="00FC00C5"/>
    <w:rsid w:val="00FC138C"/>
    <w:rsid w:val="00FC5421"/>
    <w:rsid w:val="00FD22B1"/>
    <w:rsid w:val="00FD3878"/>
    <w:rsid w:val="00FD704D"/>
    <w:rsid w:val="00FE557C"/>
    <w:rsid w:val="00FF14FD"/>
    <w:rsid w:val="00FF24E3"/>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41049"/>
    <w:rPr>
      <w:sz w:val="24"/>
      <w:szCs w:val="24"/>
    </w:rPr>
  </w:style>
  <w:style w:type="paragraph" w:styleId="Heading1">
    <w:name w:val="heading 1"/>
    <w:basedOn w:val="BodyText"/>
    <w:next w:val="BodyText"/>
    <w:rsid w:val="0084104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4104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41049"/>
    <w:pPr>
      <w:spacing w:before="560" w:line="320" w:lineRule="exact"/>
      <w:ind w:left="0" w:firstLine="0"/>
      <w:outlineLvl w:val="2"/>
    </w:pPr>
    <w:rPr>
      <w:sz w:val="26"/>
    </w:rPr>
  </w:style>
  <w:style w:type="paragraph" w:styleId="Heading4">
    <w:name w:val="heading 4"/>
    <w:basedOn w:val="Heading3"/>
    <w:next w:val="BodyText"/>
    <w:qFormat/>
    <w:rsid w:val="00841049"/>
    <w:pPr>
      <w:spacing w:before="480"/>
      <w:outlineLvl w:val="3"/>
    </w:pPr>
    <w:rPr>
      <w:b w:val="0"/>
      <w:sz w:val="24"/>
    </w:rPr>
  </w:style>
  <w:style w:type="paragraph" w:styleId="Heading5">
    <w:name w:val="heading 5"/>
    <w:basedOn w:val="Heading4"/>
    <w:next w:val="BodyText"/>
    <w:link w:val="Heading5Char"/>
    <w:qFormat/>
    <w:rsid w:val="00841049"/>
    <w:pPr>
      <w:outlineLvl w:val="4"/>
    </w:pPr>
    <w:rPr>
      <w:i/>
      <w:sz w:val="22"/>
    </w:rPr>
  </w:style>
  <w:style w:type="paragraph" w:styleId="Heading6">
    <w:name w:val="heading 6"/>
    <w:basedOn w:val="BodyText"/>
    <w:next w:val="BodyText"/>
    <w:rsid w:val="00841049"/>
    <w:pPr>
      <w:spacing w:after="60"/>
      <w:jc w:val="left"/>
      <w:outlineLvl w:val="5"/>
    </w:pPr>
    <w:rPr>
      <w:i/>
      <w:sz w:val="22"/>
    </w:rPr>
  </w:style>
  <w:style w:type="paragraph" w:styleId="Heading7">
    <w:name w:val="heading 7"/>
    <w:basedOn w:val="BodyText"/>
    <w:next w:val="BodyText"/>
    <w:rsid w:val="00841049"/>
    <w:pPr>
      <w:spacing w:after="60" w:line="240" w:lineRule="auto"/>
      <w:jc w:val="left"/>
      <w:outlineLvl w:val="6"/>
    </w:pPr>
    <w:rPr>
      <w:rFonts w:ascii="Arial" w:hAnsi="Arial"/>
      <w:sz w:val="20"/>
    </w:rPr>
  </w:style>
  <w:style w:type="paragraph" w:styleId="Heading8">
    <w:name w:val="heading 8"/>
    <w:basedOn w:val="BodyText"/>
    <w:next w:val="BodyText"/>
    <w:rsid w:val="00841049"/>
    <w:pPr>
      <w:spacing w:after="60" w:line="240" w:lineRule="auto"/>
      <w:jc w:val="left"/>
      <w:outlineLvl w:val="7"/>
    </w:pPr>
    <w:rPr>
      <w:rFonts w:ascii="Arial" w:hAnsi="Arial"/>
      <w:i/>
      <w:sz w:val="20"/>
    </w:rPr>
  </w:style>
  <w:style w:type="paragraph" w:styleId="Heading9">
    <w:name w:val="heading 9"/>
    <w:basedOn w:val="BodyText"/>
    <w:next w:val="BodyText"/>
    <w:rsid w:val="0084104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410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1049"/>
  </w:style>
  <w:style w:type="paragraph" w:styleId="BodyText">
    <w:name w:val="Body Text"/>
    <w:link w:val="BodyTextChar"/>
    <w:qFormat/>
    <w:rsid w:val="00841049"/>
    <w:pPr>
      <w:spacing w:before="240" w:line="300" w:lineRule="atLeast"/>
      <w:jc w:val="both"/>
    </w:pPr>
    <w:rPr>
      <w:sz w:val="24"/>
    </w:rPr>
  </w:style>
  <w:style w:type="paragraph" w:styleId="Footer">
    <w:name w:val="footer"/>
    <w:basedOn w:val="BodyText"/>
    <w:link w:val="FooterChar"/>
    <w:rsid w:val="00841049"/>
    <w:pPr>
      <w:spacing w:before="80" w:line="200" w:lineRule="exact"/>
      <w:ind w:right="6"/>
      <w:jc w:val="left"/>
    </w:pPr>
    <w:rPr>
      <w:rFonts w:ascii="Arial" w:hAnsi="Arial"/>
      <w:caps/>
      <w:spacing w:val="-4"/>
      <w:sz w:val="16"/>
    </w:rPr>
  </w:style>
  <w:style w:type="paragraph" w:customStyle="1" w:styleId="FooterEnd">
    <w:name w:val="Footer End"/>
    <w:basedOn w:val="Footer"/>
    <w:rsid w:val="00841049"/>
    <w:pPr>
      <w:spacing w:before="0" w:line="20" w:lineRule="exact"/>
    </w:pPr>
  </w:style>
  <w:style w:type="paragraph" w:styleId="Header">
    <w:name w:val="header"/>
    <w:basedOn w:val="BodyText"/>
    <w:rsid w:val="0084104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41049"/>
    <w:pPr>
      <w:spacing w:line="20" w:lineRule="exact"/>
    </w:pPr>
    <w:rPr>
      <w:sz w:val="16"/>
    </w:rPr>
  </w:style>
  <w:style w:type="paragraph" w:customStyle="1" w:styleId="HeaderEven">
    <w:name w:val="Header Even"/>
    <w:basedOn w:val="Header"/>
    <w:rsid w:val="00841049"/>
  </w:style>
  <w:style w:type="paragraph" w:customStyle="1" w:styleId="HeaderOdd">
    <w:name w:val="Header Odd"/>
    <w:basedOn w:val="Header"/>
    <w:rsid w:val="00841049"/>
  </w:style>
  <w:style w:type="character" w:styleId="PageNumber">
    <w:name w:val="page number"/>
    <w:basedOn w:val="DefaultParagraphFont"/>
    <w:rsid w:val="00841049"/>
    <w:rPr>
      <w:rFonts w:ascii="Arial" w:hAnsi="Arial"/>
      <w:b/>
      <w:sz w:val="16"/>
    </w:rPr>
  </w:style>
  <w:style w:type="paragraph" w:customStyle="1" w:styleId="Abbreviation">
    <w:name w:val="Abbreviation"/>
    <w:basedOn w:val="BodyText"/>
    <w:rsid w:val="00841049"/>
    <w:pPr>
      <w:spacing w:before="120"/>
      <w:ind w:left="2381" w:hanging="2381"/>
      <w:jc w:val="left"/>
    </w:pPr>
  </w:style>
  <w:style w:type="paragraph" w:customStyle="1" w:styleId="Box">
    <w:name w:val="Box"/>
    <w:basedOn w:val="BodyText"/>
    <w:qFormat/>
    <w:rsid w:val="00841049"/>
    <w:pPr>
      <w:keepNext/>
      <w:spacing w:before="120" w:line="260" w:lineRule="atLeast"/>
    </w:pPr>
    <w:rPr>
      <w:rFonts w:ascii="Arial" w:hAnsi="Arial"/>
      <w:sz w:val="20"/>
    </w:rPr>
  </w:style>
  <w:style w:type="paragraph" w:customStyle="1" w:styleId="BoxContinued">
    <w:name w:val="Box Continued"/>
    <w:basedOn w:val="BodyText"/>
    <w:next w:val="BodyText"/>
    <w:semiHidden/>
    <w:rsid w:val="00841049"/>
    <w:pPr>
      <w:spacing w:before="180" w:line="220" w:lineRule="exact"/>
      <w:jc w:val="right"/>
    </w:pPr>
    <w:rPr>
      <w:rFonts w:ascii="Arial" w:hAnsi="Arial"/>
      <w:sz w:val="18"/>
    </w:rPr>
  </w:style>
  <w:style w:type="paragraph" w:customStyle="1" w:styleId="BoxHeading1">
    <w:name w:val="Box Heading 1"/>
    <w:basedOn w:val="BodyText"/>
    <w:next w:val="Box"/>
    <w:rsid w:val="00841049"/>
    <w:pPr>
      <w:keepNext/>
      <w:spacing w:before="200" w:line="280" w:lineRule="atLeast"/>
    </w:pPr>
    <w:rPr>
      <w:rFonts w:ascii="Arial" w:hAnsi="Arial"/>
      <w:b/>
      <w:sz w:val="22"/>
    </w:rPr>
  </w:style>
  <w:style w:type="paragraph" w:customStyle="1" w:styleId="BoxHeading2">
    <w:name w:val="Box Heading 2"/>
    <w:basedOn w:val="BoxHeading1"/>
    <w:next w:val="Normal"/>
    <w:rsid w:val="00841049"/>
    <w:rPr>
      <w:b w:val="0"/>
      <w:i/>
    </w:rPr>
  </w:style>
  <w:style w:type="paragraph" w:customStyle="1" w:styleId="BoxListBullet">
    <w:name w:val="Box List Bullet"/>
    <w:basedOn w:val="BodyText"/>
    <w:rsid w:val="00841049"/>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41049"/>
    <w:pPr>
      <w:numPr>
        <w:numId w:val="2"/>
      </w:numPr>
      <w:ind w:left="568" w:hanging="284"/>
    </w:pPr>
  </w:style>
  <w:style w:type="paragraph" w:customStyle="1" w:styleId="BoxListNumber">
    <w:name w:val="Box List Number"/>
    <w:basedOn w:val="BodyText"/>
    <w:rsid w:val="0084104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41049"/>
    <w:pPr>
      <w:numPr>
        <w:ilvl w:val="1"/>
      </w:numPr>
      <w:ind w:left="681" w:hanging="397"/>
    </w:pPr>
  </w:style>
  <w:style w:type="paragraph" w:customStyle="1" w:styleId="BoxQuote">
    <w:name w:val="Box Quote"/>
    <w:basedOn w:val="BodyText"/>
    <w:next w:val="Box"/>
    <w:qFormat/>
    <w:rsid w:val="00841049"/>
    <w:pPr>
      <w:keepNext/>
      <w:spacing w:before="60" w:line="240" w:lineRule="exact"/>
      <w:ind w:left="284"/>
    </w:pPr>
    <w:rPr>
      <w:rFonts w:ascii="Arial" w:hAnsi="Arial"/>
      <w:sz w:val="18"/>
    </w:rPr>
  </w:style>
  <w:style w:type="paragraph" w:customStyle="1" w:styleId="Note">
    <w:name w:val="Note"/>
    <w:basedOn w:val="BodyText"/>
    <w:next w:val="BodyText"/>
    <w:rsid w:val="00841049"/>
    <w:pPr>
      <w:keepLines/>
      <w:spacing w:before="80" w:line="220" w:lineRule="exact"/>
    </w:pPr>
    <w:rPr>
      <w:rFonts w:ascii="Arial" w:hAnsi="Arial"/>
      <w:sz w:val="18"/>
    </w:rPr>
  </w:style>
  <w:style w:type="paragraph" w:customStyle="1" w:styleId="Source">
    <w:name w:val="Source"/>
    <w:basedOn w:val="Normal"/>
    <w:next w:val="BodyText"/>
    <w:rsid w:val="00841049"/>
    <w:pPr>
      <w:keepLines/>
      <w:spacing w:before="80" w:line="220" w:lineRule="exact"/>
      <w:jc w:val="both"/>
    </w:pPr>
    <w:rPr>
      <w:rFonts w:ascii="Arial" w:hAnsi="Arial"/>
      <w:sz w:val="18"/>
      <w:szCs w:val="20"/>
    </w:rPr>
  </w:style>
  <w:style w:type="paragraph" w:customStyle="1" w:styleId="BoxSource">
    <w:name w:val="Box Source"/>
    <w:basedOn w:val="Source"/>
    <w:next w:val="BodyText"/>
    <w:rsid w:val="00841049"/>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84104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41049"/>
    <w:pPr>
      <w:spacing w:before="120" w:after="0"/>
    </w:pPr>
  </w:style>
  <w:style w:type="paragraph" w:customStyle="1" w:styleId="BoxSubtitle">
    <w:name w:val="Box Subtitle"/>
    <w:basedOn w:val="BoxTitle"/>
    <w:next w:val="Normal"/>
    <w:rsid w:val="00841049"/>
    <w:pPr>
      <w:spacing w:after="80" w:line="200" w:lineRule="exact"/>
      <w:ind w:firstLine="0"/>
    </w:pPr>
    <w:rPr>
      <w:b w:val="0"/>
      <w:sz w:val="20"/>
    </w:rPr>
  </w:style>
  <w:style w:type="paragraph" w:customStyle="1" w:styleId="Chapter">
    <w:name w:val="Chapter"/>
    <w:basedOn w:val="Heading1"/>
    <w:next w:val="BodyText"/>
    <w:semiHidden/>
    <w:rsid w:val="00841049"/>
    <w:pPr>
      <w:ind w:left="0" w:firstLine="0"/>
      <w:outlineLvl w:val="9"/>
    </w:pPr>
  </w:style>
  <w:style w:type="paragraph" w:customStyle="1" w:styleId="ChapterSummary">
    <w:name w:val="Chapter Summary"/>
    <w:basedOn w:val="BodyText"/>
    <w:rsid w:val="00841049"/>
    <w:pPr>
      <w:spacing w:line="280" w:lineRule="atLeast"/>
      <w:ind w:left="907"/>
    </w:pPr>
    <w:rPr>
      <w:rFonts w:ascii="Arial" w:hAnsi="Arial"/>
      <w:b/>
      <w:sz w:val="20"/>
    </w:rPr>
  </w:style>
  <w:style w:type="character" w:styleId="CommentReference">
    <w:name w:val="annotation reference"/>
    <w:basedOn w:val="DefaultParagraphFont"/>
    <w:semiHidden/>
    <w:rsid w:val="00841049"/>
    <w:rPr>
      <w:b/>
      <w:vanish/>
      <w:color w:val="FF00FF"/>
      <w:sz w:val="20"/>
    </w:rPr>
  </w:style>
  <w:style w:type="paragraph" w:styleId="CommentText">
    <w:name w:val="annotation text"/>
    <w:basedOn w:val="Normal"/>
    <w:semiHidden/>
    <w:rsid w:val="00841049"/>
    <w:pPr>
      <w:spacing w:before="120" w:line="240" w:lineRule="atLeast"/>
      <w:ind w:left="567" w:hanging="567"/>
    </w:pPr>
    <w:rPr>
      <w:sz w:val="20"/>
    </w:rPr>
  </w:style>
  <w:style w:type="paragraph" w:customStyle="1" w:styleId="Continued">
    <w:name w:val="Continued"/>
    <w:basedOn w:val="BoxContinued"/>
    <w:next w:val="BodyText"/>
    <w:rsid w:val="00841049"/>
  </w:style>
  <w:style w:type="character" w:customStyle="1" w:styleId="DocumentInfo">
    <w:name w:val="Document Info"/>
    <w:basedOn w:val="DefaultParagraphFont"/>
    <w:semiHidden/>
    <w:rsid w:val="00841049"/>
    <w:rPr>
      <w:rFonts w:ascii="Arial" w:hAnsi="Arial"/>
      <w:sz w:val="14"/>
    </w:rPr>
  </w:style>
  <w:style w:type="character" w:customStyle="1" w:styleId="DraftingNote">
    <w:name w:val="Drafting Note"/>
    <w:basedOn w:val="DefaultParagraphFont"/>
    <w:rsid w:val="00841049"/>
    <w:rPr>
      <w:b/>
      <w:color w:val="FF0000"/>
      <w:sz w:val="24"/>
      <w:u w:val="dotted"/>
    </w:rPr>
  </w:style>
  <w:style w:type="paragraph" w:customStyle="1" w:styleId="Figure">
    <w:name w:val="Figure"/>
    <w:basedOn w:val="BodyText"/>
    <w:rsid w:val="00841049"/>
    <w:pPr>
      <w:keepNext/>
      <w:spacing w:before="120" w:after="120" w:line="240" w:lineRule="atLeast"/>
      <w:jc w:val="center"/>
    </w:pPr>
  </w:style>
  <w:style w:type="paragraph" w:customStyle="1" w:styleId="FigureTitle">
    <w:name w:val="Figure Title"/>
    <w:basedOn w:val="Caption"/>
    <w:next w:val="Subtitle"/>
    <w:rsid w:val="00841049"/>
    <w:pPr>
      <w:spacing w:before="120"/>
    </w:pPr>
  </w:style>
  <w:style w:type="paragraph" w:styleId="Subtitle">
    <w:name w:val="Subtitle"/>
    <w:basedOn w:val="Caption"/>
    <w:link w:val="SubtitleChar"/>
    <w:qFormat/>
    <w:rsid w:val="00841049"/>
    <w:pPr>
      <w:spacing w:before="0" w:line="200" w:lineRule="exact"/>
      <w:ind w:firstLine="0"/>
    </w:pPr>
    <w:rPr>
      <w:b w:val="0"/>
      <w:sz w:val="20"/>
    </w:rPr>
  </w:style>
  <w:style w:type="paragraph" w:customStyle="1" w:styleId="Finding">
    <w:name w:val="Finding"/>
    <w:basedOn w:val="BodyText"/>
    <w:rsid w:val="00841049"/>
    <w:pPr>
      <w:keepLines/>
      <w:spacing w:before="120" w:line="280" w:lineRule="atLeast"/>
    </w:pPr>
    <w:rPr>
      <w:rFonts w:ascii="Arial" w:hAnsi="Arial"/>
      <w:sz w:val="22"/>
    </w:rPr>
  </w:style>
  <w:style w:type="paragraph" w:customStyle="1" w:styleId="FindingBullet">
    <w:name w:val="Finding Bullet"/>
    <w:basedOn w:val="Finding"/>
    <w:rsid w:val="00841049"/>
    <w:pPr>
      <w:numPr>
        <w:numId w:val="3"/>
      </w:numPr>
      <w:spacing w:before="80"/>
    </w:pPr>
  </w:style>
  <w:style w:type="paragraph" w:customStyle="1" w:styleId="FindingNoTitle">
    <w:name w:val="Finding NoTitle"/>
    <w:basedOn w:val="Finding"/>
    <w:rsid w:val="00841049"/>
    <w:pPr>
      <w:spacing w:before="240"/>
    </w:pPr>
  </w:style>
  <w:style w:type="paragraph" w:customStyle="1" w:styleId="RecTitle">
    <w:name w:val="Rec Title"/>
    <w:basedOn w:val="BodyText"/>
    <w:next w:val="Rec"/>
    <w:qFormat/>
    <w:rsid w:val="00841049"/>
    <w:pPr>
      <w:keepNext/>
      <w:keepLines/>
      <w:spacing w:line="280" w:lineRule="atLeast"/>
    </w:pPr>
    <w:rPr>
      <w:rFonts w:ascii="Arial" w:hAnsi="Arial"/>
      <w:caps/>
      <w:sz w:val="18"/>
    </w:rPr>
  </w:style>
  <w:style w:type="paragraph" w:customStyle="1" w:styleId="FindingTitle">
    <w:name w:val="Finding Title"/>
    <w:basedOn w:val="RecTitle"/>
    <w:next w:val="Finding"/>
    <w:rsid w:val="00841049"/>
  </w:style>
  <w:style w:type="character" w:styleId="FootnoteReference">
    <w:name w:val="footnote reference"/>
    <w:basedOn w:val="DefaultParagraphFont"/>
    <w:semiHidden/>
    <w:rsid w:val="00841049"/>
    <w:rPr>
      <w:rFonts w:ascii="Times New Roman" w:hAnsi="Times New Roman"/>
      <w:position w:val="6"/>
      <w:sz w:val="20"/>
      <w:vertAlign w:val="baseline"/>
    </w:rPr>
  </w:style>
  <w:style w:type="paragraph" w:styleId="FootnoteText">
    <w:name w:val="footnote text"/>
    <w:basedOn w:val="BodyText"/>
    <w:rsid w:val="0084104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41049"/>
    <w:rPr>
      <w:i/>
    </w:rPr>
  </w:style>
  <w:style w:type="paragraph" w:customStyle="1" w:styleId="Jurisdictioncommentsbodytext">
    <w:name w:val="Jurisdiction comments body text"/>
    <w:rsid w:val="00841049"/>
    <w:pPr>
      <w:spacing w:after="140"/>
      <w:jc w:val="both"/>
    </w:pPr>
    <w:rPr>
      <w:rFonts w:ascii="Arial" w:hAnsi="Arial"/>
      <w:sz w:val="24"/>
      <w:lang w:eastAsia="en-US"/>
    </w:rPr>
  </w:style>
  <w:style w:type="paragraph" w:customStyle="1" w:styleId="Jurisdictioncommentsheading">
    <w:name w:val="Jurisdiction comments heading"/>
    <w:rsid w:val="0084104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41049"/>
    <w:pPr>
      <w:numPr>
        <w:numId w:val="4"/>
      </w:numPr>
      <w:spacing w:after="140"/>
      <w:jc w:val="both"/>
    </w:pPr>
    <w:rPr>
      <w:rFonts w:ascii="Arial" w:hAnsi="Arial"/>
      <w:sz w:val="24"/>
      <w:lang w:eastAsia="en-US"/>
    </w:rPr>
  </w:style>
  <w:style w:type="paragraph" w:styleId="ListBullet">
    <w:name w:val="List Bullet"/>
    <w:basedOn w:val="BodyText"/>
    <w:rsid w:val="00841049"/>
    <w:pPr>
      <w:numPr>
        <w:numId w:val="5"/>
      </w:numPr>
      <w:spacing w:before="120"/>
    </w:pPr>
  </w:style>
  <w:style w:type="paragraph" w:styleId="ListBullet2">
    <w:name w:val="List Bullet 2"/>
    <w:basedOn w:val="BodyText"/>
    <w:rsid w:val="00841049"/>
    <w:pPr>
      <w:numPr>
        <w:numId w:val="6"/>
      </w:numPr>
      <w:spacing w:before="120"/>
    </w:pPr>
  </w:style>
  <w:style w:type="paragraph" w:styleId="ListBullet3">
    <w:name w:val="List Bullet 3"/>
    <w:basedOn w:val="BodyText"/>
    <w:rsid w:val="00841049"/>
    <w:pPr>
      <w:numPr>
        <w:numId w:val="7"/>
      </w:numPr>
      <w:spacing w:before="120"/>
      <w:ind w:left="1020" w:hanging="340"/>
    </w:pPr>
  </w:style>
  <w:style w:type="paragraph" w:styleId="ListNumber">
    <w:name w:val="List Number"/>
    <w:basedOn w:val="BodyText"/>
    <w:rsid w:val="00841049"/>
    <w:pPr>
      <w:numPr>
        <w:numId w:val="13"/>
      </w:numPr>
      <w:spacing w:before="120"/>
    </w:pPr>
  </w:style>
  <w:style w:type="paragraph" w:styleId="ListNumber2">
    <w:name w:val="List Number 2"/>
    <w:basedOn w:val="ListNumber"/>
    <w:rsid w:val="00841049"/>
    <w:pPr>
      <w:numPr>
        <w:ilvl w:val="1"/>
      </w:numPr>
    </w:pPr>
  </w:style>
  <w:style w:type="paragraph" w:styleId="ListNumber3">
    <w:name w:val="List Number 3"/>
    <w:basedOn w:val="ListNumber2"/>
    <w:rsid w:val="00841049"/>
    <w:pPr>
      <w:numPr>
        <w:ilvl w:val="2"/>
      </w:numPr>
    </w:pPr>
  </w:style>
  <w:style w:type="character" w:customStyle="1" w:styleId="NoteLabel">
    <w:name w:val="Note Label"/>
    <w:basedOn w:val="DefaultParagraphFont"/>
    <w:rsid w:val="00841049"/>
    <w:rPr>
      <w:rFonts w:ascii="Arial" w:hAnsi="Arial"/>
      <w:b/>
      <w:position w:val="6"/>
      <w:sz w:val="18"/>
    </w:rPr>
  </w:style>
  <w:style w:type="paragraph" w:customStyle="1" w:styleId="PartDivider">
    <w:name w:val="Part Divider"/>
    <w:basedOn w:val="BodyText"/>
    <w:next w:val="BodyText"/>
    <w:semiHidden/>
    <w:rsid w:val="00841049"/>
    <w:pPr>
      <w:spacing w:before="0" w:line="40" w:lineRule="exact"/>
      <w:jc w:val="right"/>
    </w:pPr>
    <w:rPr>
      <w:smallCaps/>
      <w:sz w:val="16"/>
    </w:rPr>
  </w:style>
  <w:style w:type="paragraph" w:customStyle="1" w:styleId="PartNumber">
    <w:name w:val="Part Number"/>
    <w:basedOn w:val="BodyText"/>
    <w:next w:val="BodyText"/>
    <w:semiHidden/>
    <w:rsid w:val="00841049"/>
    <w:pPr>
      <w:spacing w:before="4000" w:line="320" w:lineRule="exact"/>
      <w:ind w:left="6634"/>
      <w:jc w:val="right"/>
    </w:pPr>
    <w:rPr>
      <w:smallCaps/>
      <w:spacing w:val="60"/>
      <w:sz w:val="32"/>
    </w:rPr>
  </w:style>
  <w:style w:type="paragraph" w:customStyle="1" w:styleId="PartTitle">
    <w:name w:val="Part Title"/>
    <w:basedOn w:val="BodyText"/>
    <w:semiHidden/>
    <w:rsid w:val="00841049"/>
    <w:pPr>
      <w:spacing w:before="160" w:after="1360" w:line="520" w:lineRule="exact"/>
      <w:ind w:right="2381"/>
      <w:jc w:val="right"/>
    </w:pPr>
    <w:rPr>
      <w:smallCaps/>
      <w:sz w:val="52"/>
    </w:rPr>
  </w:style>
  <w:style w:type="paragraph" w:styleId="Quote">
    <w:name w:val="Quote"/>
    <w:basedOn w:val="BodyText"/>
    <w:next w:val="BodyText"/>
    <w:qFormat/>
    <w:rsid w:val="00841049"/>
    <w:pPr>
      <w:spacing w:before="120" w:line="280" w:lineRule="exact"/>
      <w:ind w:left="340"/>
    </w:pPr>
    <w:rPr>
      <w:sz w:val="22"/>
    </w:rPr>
  </w:style>
  <w:style w:type="paragraph" w:customStyle="1" w:styleId="QuoteBullet">
    <w:name w:val="Quote Bullet"/>
    <w:basedOn w:val="Quote"/>
    <w:rsid w:val="00841049"/>
    <w:pPr>
      <w:numPr>
        <w:numId w:val="8"/>
      </w:numPr>
    </w:pPr>
  </w:style>
  <w:style w:type="paragraph" w:customStyle="1" w:styleId="Rec">
    <w:name w:val="Rec"/>
    <w:basedOn w:val="BodyText"/>
    <w:qFormat/>
    <w:rsid w:val="00841049"/>
    <w:pPr>
      <w:keepLines/>
      <w:spacing w:before="120" w:line="280" w:lineRule="atLeast"/>
    </w:pPr>
    <w:rPr>
      <w:rFonts w:ascii="Arial" w:hAnsi="Arial"/>
      <w:sz w:val="22"/>
    </w:rPr>
  </w:style>
  <w:style w:type="paragraph" w:customStyle="1" w:styleId="RecBullet">
    <w:name w:val="Rec Bullet"/>
    <w:basedOn w:val="Rec"/>
    <w:rsid w:val="00841049"/>
    <w:pPr>
      <w:numPr>
        <w:numId w:val="9"/>
      </w:numPr>
      <w:spacing w:before="80"/>
    </w:pPr>
  </w:style>
  <w:style w:type="paragraph" w:customStyle="1" w:styleId="RecB">
    <w:name w:val="RecB"/>
    <w:basedOn w:val="Normal"/>
    <w:rsid w:val="0084104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41049"/>
    <w:pPr>
      <w:numPr>
        <w:numId w:val="10"/>
      </w:numPr>
      <w:spacing w:before="80"/>
    </w:pPr>
  </w:style>
  <w:style w:type="paragraph" w:customStyle="1" w:styleId="RecBNoTitle">
    <w:name w:val="RecB NoTitle"/>
    <w:basedOn w:val="RecB"/>
    <w:rsid w:val="00841049"/>
    <w:pPr>
      <w:spacing w:before="240"/>
    </w:pPr>
  </w:style>
  <w:style w:type="paragraph" w:customStyle="1" w:styleId="Reference">
    <w:name w:val="Reference"/>
    <w:basedOn w:val="BodyText"/>
    <w:rsid w:val="00841049"/>
    <w:pPr>
      <w:spacing w:before="120"/>
      <w:ind w:left="340" w:hanging="340"/>
    </w:pPr>
  </w:style>
  <w:style w:type="paragraph" w:customStyle="1" w:styleId="SequenceInfo">
    <w:name w:val="Sequence Info"/>
    <w:basedOn w:val="BodyText"/>
    <w:semiHidden/>
    <w:rsid w:val="00841049"/>
    <w:rPr>
      <w:vanish/>
      <w:sz w:val="16"/>
    </w:rPr>
  </w:style>
  <w:style w:type="paragraph" w:customStyle="1" w:styleId="SideNote">
    <w:name w:val="Side Note"/>
    <w:basedOn w:val="BodyText"/>
    <w:next w:val="BodyText"/>
    <w:semiHidden/>
    <w:rsid w:val="0084104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41049"/>
    <w:pPr>
      <w:framePr w:wrap="around"/>
      <w:numPr>
        <w:numId w:val="11"/>
      </w:numPr>
      <w:tabs>
        <w:tab w:val="left" w:pos="227"/>
      </w:tabs>
    </w:pPr>
  </w:style>
  <w:style w:type="paragraph" w:customStyle="1" w:styleId="SideNoteGraphic">
    <w:name w:val="Side Note Graphic"/>
    <w:basedOn w:val="SideNote"/>
    <w:next w:val="BodyText"/>
    <w:semiHidden/>
    <w:rsid w:val="00841049"/>
    <w:pPr>
      <w:framePr w:wrap="around"/>
    </w:pPr>
  </w:style>
  <w:style w:type="paragraph" w:customStyle="1" w:styleId="TableBodyText">
    <w:name w:val="Table Body Text"/>
    <w:basedOn w:val="BodyText"/>
    <w:link w:val="TableBodyTextChar"/>
    <w:rsid w:val="0084104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41049"/>
    <w:pPr>
      <w:numPr>
        <w:numId w:val="12"/>
      </w:numPr>
      <w:jc w:val="left"/>
    </w:pPr>
  </w:style>
  <w:style w:type="paragraph" w:customStyle="1" w:styleId="TableColumnHeading">
    <w:name w:val="Table Column Heading"/>
    <w:basedOn w:val="TableBodyText"/>
    <w:rsid w:val="00841049"/>
    <w:pPr>
      <w:spacing w:before="80" w:after="80"/>
    </w:pPr>
    <w:rPr>
      <w:i/>
    </w:rPr>
  </w:style>
  <w:style w:type="paragraph" w:styleId="TOC2">
    <w:name w:val="toc 2"/>
    <w:basedOn w:val="TOC1"/>
    <w:rsid w:val="00841049"/>
    <w:pPr>
      <w:ind w:left="1134" w:hanging="624"/>
    </w:pPr>
    <w:rPr>
      <w:b w:val="0"/>
    </w:rPr>
  </w:style>
  <w:style w:type="paragraph" w:styleId="TOC3">
    <w:name w:val="toc 3"/>
    <w:basedOn w:val="TOC2"/>
    <w:rsid w:val="00841049"/>
    <w:pPr>
      <w:spacing w:before="60"/>
      <w:ind w:left="1190" w:hanging="680"/>
    </w:pPr>
  </w:style>
  <w:style w:type="paragraph" w:styleId="TableofFigures">
    <w:name w:val="table of figures"/>
    <w:basedOn w:val="TOC3"/>
    <w:next w:val="BodyText"/>
    <w:semiHidden/>
    <w:rsid w:val="00841049"/>
    <w:pPr>
      <w:ind w:left="737" w:hanging="737"/>
    </w:pPr>
  </w:style>
  <w:style w:type="paragraph" w:customStyle="1" w:styleId="TableTitle">
    <w:name w:val="Table Title"/>
    <w:basedOn w:val="Caption"/>
    <w:next w:val="Subtitle"/>
    <w:qFormat/>
    <w:rsid w:val="00841049"/>
    <w:pPr>
      <w:spacing w:before="120"/>
    </w:pPr>
  </w:style>
  <w:style w:type="paragraph" w:customStyle="1" w:styleId="TableUnitsRow">
    <w:name w:val="Table Units Row"/>
    <w:basedOn w:val="TableBodyText"/>
    <w:rsid w:val="00841049"/>
    <w:pPr>
      <w:spacing w:before="40"/>
    </w:pPr>
  </w:style>
  <w:style w:type="paragraph" w:styleId="TOC1">
    <w:name w:val="toc 1"/>
    <w:basedOn w:val="Normal"/>
    <w:next w:val="TOC2"/>
    <w:link w:val="TOC1Char"/>
    <w:rsid w:val="0084104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41049"/>
    <w:pPr>
      <w:ind w:left="1191" w:firstLine="0"/>
    </w:pPr>
  </w:style>
  <w:style w:type="character" w:styleId="Hyperlink">
    <w:name w:val="Hyperlink"/>
    <w:basedOn w:val="DefaultParagraphFont"/>
    <w:rsid w:val="00B96E3E"/>
    <w:rPr>
      <w:color w:val="0000FF"/>
      <w:u w:val="single"/>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841049"/>
    <w:rPr>
      <w:rFonts w:ascii="Tahoma" w:hAnsi="Tahoma" w:cs="Tahoma"/>
      <w:sz w:val="16"/>
      <w:szCs w:val="16"/>
    </w:rPr>
  </w:style>
  <w:style w:type="character" w:customStyle="1" w:styleId="BalloonTextChar">
    <w:name w:val="Balloon Text Char"/>
    <w:basedOn w:val="DefaultParagraphFont"/>
    <w:link w:val="BalloonText"/>
    <w:rsid w:val="00841049"/>
    <w:rPr>
      <w:rFonts w:ascii="Tahoma" w:hAnsi="Tahoma" w:cs="Tahoma"/>
      <w:sz w:val="16"/>
      <w:szCs w:val="16"/>
    </w:rPr>
  </w:style>
  <w:style w:type="paragraph" w:customStyle="1" w:styleId="AIHWbodytext">
    <w:name w:val="AIHW body text"/>
    <w:basedOn w:val="Normal"/>
    <w:link w:val="AIHWbodytextChar"/>
    <w:qFormat/>
    <w:rsid w:val="0076288B"/>
    <w:pPr>
      <w:spacing w:after="200" w:line="276" w:lineRule="auto"/>
    </w:pPr>
    <w:rPr>
      <w:rFonts w:asciiTheme="minorHAnsi" w:eastAsiaTheme="minorHAnsi" w:hAnsiTheme="minorHAnsi" w:cstheme="minorBidi"/>
      <w:sz w:val="22"/>
      <w:szCs w:val="20"/>
      <w:lang w:eastAsia="en-US"/>
    </w:rPr>
  </w:style>
  <w:style w:type="paragraph" w:customStyle="1" w:styleId="Bullet1">
    <w:name w:val="Bullet 1"/>
    <w:basedOn w:val="AIHWbodytext"/>
    <w:uiPriority w:val="2"/>
    <w:qFormat/>
    <w:rsid w:val="0076288B"/>
    <w:pPr>
      <w:numPr>
        <w:numId w:val="16"/>
      </w:numPr>
      <w:tabs>
        <w:tab w:val="clear" w:pos="397"/>
      </w:tabs>
      <w:spacing w:before="40" w:after="80"/>
      <w:ind w:left="680" w:hanging="340"/>
    </w:pPr>
  </w:style>
  <w:style w:type="character" w:customStyle="1" w:styleId="BodyTextChar">
    <w:name w:val="Body Text Char"/>
    <w:basedOn w:val="DefaultParagraphFont"/>
    <w:link w:val="BodyText"/>
    <w:rsid w:val="00841049"/>
    <w:rPr>
      <w:sz w:val="24"/>
    </w:rPr>
  </w:style>
  <w:style w:type="character" w:customStyle="1" w:styleId="AIHWbodytextChar">
    <w:name w:val="AIHW body text Char"/>
    <w:link w:val="AIHWbodytext"/>
    <w:locked/>
    <w:rsid w:val="0076288B"/>
    <w:rPr>
      <w:rFonts w:asciiTheme="minorHAnsi" w:eastAsiaTheme="minorHAnsi" w:hAnsiTheme="minorHAnsi" w:cstheme="minorBidi"/>
      <w:sz w:val="22"/>
      <w:lang w:eastAsia="en-US"/>
    </w:rPr>
  </w:style>
  <w:style w:type="paragraph" w:styleId="ListBullet4">
    <w:name w:val="List Bullet 4"/>
    <w:basedOn w:val="Normal"/>
    <w:rsid w:val="005667C8"/>
    <w:pPr>
      <w:numPr>
        <w:numId w:val="17"/>
      </w:numPr>
      <w:spacing w:after="200" w:line="276" w:lineRule="auto"/>
    </w:pPr>
    <w:rPr>
      <w:rFonts w:asciiTheme="minorHAnsi" w:eastAsiaTheme="minorHAnsi" w:hAnsiTheme="minorHAnsi" w:cstheme="minorBidi"/>
      <w:sz w:val="22"/>
      <w:szCs w:val="22"/>
    </w:rPr>
  </w:style>
  <w:style w:type="character" w:customStyle="1" w:styleId="TableBodyTextChar">
    <w:name w:val="Table Body Text Char"/>
    <w:link w:val="TableBodyText"/>
    <w:locked/>
    <w:rsid w:val="005667C8"/>
    <w:rPr>
      <w:rFonts w:ascii="Arial" w:hAnsi="Arial"/>
      <w:sz w:val="18"/>
    </w:rPr>
  </w:style>
  <w:style w:type="table" w:styleId="TableGrid">
    <w:name w:val="Table Grid"/>
    <w:basedOn w:val="TableNormal"/>
    <w:rsid w:val="008410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6A78"/>
    <w:pPr>
      <w:ind w:left="720"/>
      <w:contextualSpacing/>
    </w:pPr>
  </w:style>
  <w:style w:type="paragraph" w:customStyle="1" w:styleId="BoxSpaceAbove">
    <w:name w:val="Box Space Above"/>
    <w:basedOn w:val="BodyText"/>
    <w:rsid w:val="00841049"/>
    <w:pPr>
      <w:keepNext/>
      <w:spacing w:before="360" w:line="80" w:lineRule="exact"/>
      <w:jc w:val="left"/>
    </w:pPr>
  </w:style>
  <w:style w:type="paragraph" w:customStyle="1" w:styleId="RecBBullet2">
    <w:name w:val="RecB Bullet 2"/>
    <w:basedOn w:val="ListBullet2"/>
    <w:semiHidden/>
    <w:rsid w:val="00841049"/>
    <w:pPr>
      <w:pBdr>
        <w:left w:val="single" w:sz="24" w:space="29" w:color="C0C0C0"/>
      </w:pBdr>
    </w:pPr>
    <w:rPr>
      <w:b/>
      <w:i/>
    </w:rPr>
  </w:style>
  <w:style w:type="character" w:customStyle="1" w:styleId="SubtitleChar">
    <w:name w:val="Subtitle Char"/>
    <w:basedOn w:val="DefaultParagraphFont"/>
    <w:link w:val="Subtitle"/>
    <w:rsid w:val="00841049"/>
    <w:rPr>
      <w:rFonts w:ascii="Arial" w:hAnsi="Arial"/>
      <w:szCs w:val="24"/>
    </w:rPr>
  </w:style>
  <w:style w:type="paragraph" w:customStyle="1" w:styleId="BoxListBullet3">
    <w:name w:val="Box List Bullet 3"/>
    <w:basedOn w:val="ListBullet3"/>
    <w:rsid w:val="00841049"/>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41049"/>
    <w:rPr>
      <w:i/>
      <w:iCs/>
    </w:rPr>
  </w:style>
  <w:style w:type="paragraph" w:customStyle="1" w:styleId="BoxQuoteBullet">
    <w:name w:val="Box Quote Bullet"/>
    <w:basedOn w:val="BoxQuote"/>
    <w:next w:val="Box"/>
    <w:rsid w:val="00841049"/>
    <w:pPr>
      <w:numPr>
        <w:numId w:val="18"/>
      </w:numPr>
      <w:ind w:left="568" w:hanging="284"/>
    </w:pPr>
  </w:style>
  <w:style w:type="paragraph" w:customStyle="1" w:styleId="InformationRequestBullet">
    <w:name w:val="Information Request Bullet"/>
    <w:basedOn w:val="ListBullet"/>
    <w:next w:val="BodyText"/>
    <w:rsid w:val="00841049"/>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841049"/>
    <w:pPr>
      <w:keepNext w:val="0"/>
      <w:spacing w:before="60" w:after="60" w:line="80" w:lineRule="exact"/>
    </w:pPr>
    <w:rPr>
      <w:sz w:val="14"/>
    </w:rPr>
  </w:style>
  <w:style w:type="paragraph" w:customStyle="1" w:styleId="KeyPointsListBullet">
    <w:name w:val="Key Points List Bullet"/>
    <w:basedOn w:val="Normal"/>
    <w:qFormat/>
    <w:rsid w:val="00841049"/>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41049"/>
    <w:pPr>
      <w:numPr>
        <w:numId w:val="22"/>
      </w:numPr>
      <w:ind w:left="568" w:hanging="284"/>
    </w:pPr>
  </w:style>
  <w:style w:type="paragraph" w:customStyle="1" w:styleId="InformationRequestTitle">
    <w:name w:val="Information Request Title"/>
    <w:basedOn w:val="FindingTitle"/>
    <w:next w:val="InformationRequest"/>
    <w:rsid w:val="00841049"/>
    <w:rPr>
      <w:i/>
    </w:rPr>
  </w:style>
  <w:style w:type="paragraph" w:customStyle="1" w:styleId="Space">
    <w:name w:val="Space"/>
    <w:basedOn w:val="Normal"/>
    <w:rsid w:val="00841049"/>
    <w:pPr>
      <w:keepNext/>
      <w:spacing w:line="120" w:lineRule="exact"/>
      <w:jc w:val="both"/>
    </w:pPr>
    <w:rPr>
      <w:rFonts w:ascii="Arial" w:hAnsi="Arial"/>
      <w:sz w:val="20"/>
      <w:szCs w:val="20"/>
    </w:rPr>
  </w:style>
  <w:style w:type="paragraph" w:customStyle="1" w:styleId="Heading1nochapterno">
    <w:name w:val="Heading 1 (no chapter no.)"/>
    <w:basedOn w:val="Heading1"/>
    <w:rsid w:val="00841049"/>
    <w:pPr>
      <w:spacing w:before="0"/>
      <w:ind w:left="0" w:firstLine="0"/>
    </w:pPr>
  </w:style>
  <w:style w:type="paragraph" w:customStyle="1" w:styleId="Heading2nosectionno">
    <w:name w:val="Heading 2 (no section no.)"/>
    <w:basedOn w:val="Heading2"/>
    <w:rsid w:val="00841049"/>
    <w:pPr>
      <w:ind w:left="0" w:firstLine="0"/>
    </w:pPr>
  </w:style>
  <w:style w:type="character" w:customStyle="1" w:styleId="Heading5Char">
    <w:name w:val="Heading 5 Char"/>
    <w:basedOn w:val="DefaultParagraphFont"/>
    <w:link w:val="Heading5"/>
    <w:rsid w:val="00841049"/>
    <w:rPr>
      <w:rFonts w:ascii="Arial" w:hAnsi="Arial"/>
      <w:i/>
      <w:sz w:val="22"/>
    </w:rPr>
  </w:style>
  <w:style w:type="paragraph" w:customStyle="1" w:styleId="Figurespace">
    <w:name w:val="Figure space"/>
    <w:basedOn w:val="Box"/>
    <w:rsid w:val="00841049"/>
    <w:pPr>
      <w:spacing w:before="0" w:line="120" w:lineRule="exact"/>
    </w:pPr>
  </w:style>
  <w:style w:type="paragraph" w:customStyle="1" w:styleId="FooterDraftReport">
    <w:name w:val="FooterDraftReport"/>
    <w:basedOn w:val="Footer"/>
    <w:link w:val="FooterDraftReportChar"/>
    <w:rsid w:val="0084104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41049"/>
    <w:rPr>
      <w:rFonts w:ascii="Arial" w:hAnsi="Arial"/>
      <w:caps/>
      <w:spacing w:val="-4"/>
      <w:sz w:val="16"/>
    </w:rPr>
  </w:style>
  <w:style w:type="character" w:customStyle="1" w:styleId="FooterDraftReportChar">
    <w:name w:val="FooterDraftReport Char"/>
    <w:basedOn w:val="FooterChar"/>
    <w:link w:val="FooterDraftReport"/>
    <w:rsid w:val="0084104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41049"/>
    <w:rPr>
      <w:rFonts w:ascii="Arial" w:hAnsi="Arial"/>
      <w:b/>
      <w:sz w:val="26"/>
      <w:szCs w:val="26"/>
      <w:lang w:eastAsia="en-US"/>
    </w:rPr>
  </w:style>
  <w:style w:type="character" w:customStyle="1" w:styleId="Heading3Char">
    <w:name w:val="Heading 3 Char"/>
    <w:basedOn w:val="DefaultParagraphFont"/>
    <w:link w:val="Heading3"/>
    <w:rsid w:val="0076083F"/>
    <w:rPr>
      <w:rFonts w:ascii="Arial" w:hAnsi="Arial"/>
      <w:b/>
      <w:sz w:val="26"/>
    </w:rPr>
  </w:style>
  <w:style w:type="paragraph" w:customStyle="1" w:styleId="Heading1NotTOC">
    <w:name w:val="Heading 1 Not TOC"/>
    <w:basedOn w:val="Heading1"/>
    <w:next w:val="BodyText"/>
    <w:rsid w:val="0076083F"/>
    <w:rPr>
      <w:kern w:val="28"/>
      <w:szCs w:val="26"/>
      <w:lang w:eastAsia="en-US"/>
    </w:rPr>
  </w:style>
  <w:style w:type="character" w:customStyle="1" w:styleId="TableBulletChar">
    <w:name w:val="Table Bullet Char"/>
    <w:basedOn w:val="TableBodyTextChar"/>
    <w:link w:val="TableBullet"/>
    <w:locked/>
    <w:rsid w:val="006A2257"/>
    <w:rPr>
      <w:rFonts w:ascii="Arial" w:hAnsi="Arial"/>
      <w:sz w:val="18"/>
    </w:rPr>
  </w:style>
  <w:style w:type="paragraph" w:customStyle="1" w:styleId="StyleTableFigSourcesfootnotesBlackBefore3ptAfter">
    <w:name w:val="Style Table/Fig: Sources &amp; footnotes + Black Before:  3 pt After:..."/>
    <w:basedOn w:val="Normal"/>
    <w:link w:val="StyleTableFigSourcesfootnotesBlackBefore3ptAfterChar"/>
    <w:rsid w:val="00B02671"/>
    <w:pPr>
      <w:keepLines/>
      <w:tabs>
        <w:tab w:val="left" w:pos="425"/>
        <w:tab w:val="left" w:pos="851"/>
      </w:tabs>
      <w:spacing w:before="60" w:after="60" w:line="180" w:lineRule="atLeast"/>
    </w:pPr>
    <w:rPr>
      <w:rFonts w:ascii="Arial" w:hAnsi="Arial"/>
      <w:color w:val="000000"/>
      <w:sz w:val="14"/>
      <w:szCs w:val="20"/>
      <w:lang w:eastAsia="en-US"/>
    </w:rPr>
  </w:style>
  <w:style w:type="character" w:customStyle="1" w:styleId="StyleTableFigSourcesfootnotesBlackBefore3ptAfterChar">
    <w:name w:val="Style Table/Fig: Sources &amp; footnotes + Black Before:  3 pt After:... Char"/>
    <w:link w:val="StyleTableFigSourcesfootnotesBlackBefore3ptAfter"/>
    <w:rsid w:val="00B02671"/>
    <w:rPr>
      <w:rFonts w:ascii="Arial" w:hAnsi="Arial"/>
      <w:color w:val="000000"/>
      <w:sz w:val="1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41049"/>
    <w:rPr>
      <w:sz w:val="24"/>
      <w:szCs w:val="24"/>
    </w:rPr>
  </w:style>
  <w:style w:type="paragraph" w:styleId="Heading1">
    <w:name w:val="heading 1"/>
    <w:basedOn w:val="BodyText"/>
    <w:next w:val="BodyText"/>
    <w:rsid w:val="0084104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4104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41049"/>
    <w:pPr>
      <w:spacing w:before="560" w:line="320" w:lineRule="exact"/>
      <w:ind w:left="0" w:firstLine="0"/>
      <w:outlineLvl w:val="2"/>
    </w:pPr>
    <w:rPr>
      <w:sz w:val="26"/>
    </w:rPr>
  </w:style>
  <w:style w:type="paragraph" w:styleId="Heading4">
    <w:name w:val="heading 4"/>
    <w:basedOn w:val="Heading3"/>
    <w:next w:val="BodyText"/>
    <w:qFormat/>
    <w:rsid w:val="00841049"/>
    <w:pPr>
      <w:spacing w:before="480"/>
      <w:outlineLvl w:val="3"/>
    </w:pPr>
    <w:rPr>
      <w:b w:val="0"/>
      <w:sz w:val="24"/>
    </w:rPr>
  </w:style>
  <w:style w:type="paragraph" w:styleId="Heading5">
    <w:name w:val="heading 5"/>
    <w:basedOn w:val="Heading4"/>
    <w:next w:val="BodyText"/>
    <w:link w:val="Heading5Char"/>
    <w:qFormat/>
    <w:rsid w:val="00841049"/>
    <w:pPr>
      <w:outlineLvl w:val="4"/>
    </w:pPr>
    <w:rPr>
      <w:i/>
      <w:sz w:val="22"/>
    </w:rPr>
  </w:style>
  <w:style w:type="paragraph" w:styleId="Heading6">
    <w:name w:val="heading 6"/>
    <w:basedOn w:val="BodyText"/>
    <w:next w:val="BodyText"/>
    <w:rsid w:val="00841049"/>
    <w:pPr>
      <w:spacing w:after="60"/>
      <w:jc w:val="left"/>
      <w:outlineLvl w:val="5"/>
    </w:pPr>
    <w:rPr>
      <w:i/>
      <w:sz w:val="22"/>
    </w:rPr>
  </w:style>
  <w:style w:type="paragraph" w:styleId="Heading7">
    <w:name w:val="heading 7"/>
    <w:basedOn w:val="BodyText"/>
    <w:next w:val="BodyText"/>
    <w:rsid w:val="00841049"/>
    <w:pPr>
      <w:spacing w:after="60" w:line="240" w:lineRule="auto"/>
      <w:jc w:val="left"/>
      <w:outlineLvl w:val="6"/>
    </w:pPr>
    <w:rPr>
      <w:rFonts w:ascii="Arial" w:hAnsi="Arial"/>
      <w:sz w:val="20"/>
    </w:rPr>
  </w:style>
  <w:style w:type="paragraph" w:styleId="Heading8">
    <w:name w:val="heading 8"/>
    <w:basedOn w:val="BodyText"/>
    <w:next w:val="BodyText"/>
    <w:rsid w:val="00841049"/>
    <w:pPr>
      <w:spacing w:after="60" w:line="240" w:lineRule="auto"/>
      <w:jc w:val="left"/>
      <w:outlineLvl w:val="7"/>
    </w:pPr>
    <w:rPr>
      <w:rFonts w:ascii="Arial" w:hAnsi="Arial"/>
      <w:i/>
      <w:sz w:val="20"/>
    </w:rPr>
  </w:style>
  <w:style w:type="paragraph" w:styleId="Heading9">
    <w:name w:val="heading 9"/>
    <w:basedOn w:val="BodyText"/>
    <w:next w:val="BodyText"/>
    <w:rsid w:val="0084104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410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1049"/>
  </w:style>
  <w:style w:type="paragraph" w:styleId="BodyText">
    <w:name w:val="Body Text"/>
    <w:link w:val="BodyTextChar"/>
    <w:qFormat/>
    <w:rsid w:val="00841049"/>
    <w:pPr>
      <w:spacing w:before="240" w:line="300" w:lineRule="atLeast"/>
      <w:jc w:val="both"/>
    </w:pPr>
    <w:rPr>
      <w:sz w:val="24"/>
    </w:rPr>
  </w:style>
  <w:style w:type="paragraph" w:styleId="Footer">
    <w:name w:val="footer"/>
    <w:basedOn w:val="BodyText"/>
    <w:link w:val="FooterChar"/>
    <w:rsid w:val="00841049"/>
    <w:pPr>
      <w:spacing w:before="80" w:line="200" w:lineRule="exact"/>
      <w:ind w:right="6"/>
      <w:jc w:val="left"/>
    </w:pPr>
    <w:rPr>
      <w:rFonts w:ascii="Arial" w:hAnsi="Arial"/>
      <w:caps/>
      <w:spacing w:val="-4"/>
      <w:sz w:val="16"/>
    </w:rPr>
  </w:style>
  <w:style w:type="paragraph" w:customStyle="1" w:styleId="FooterEnd">
    <w:name w:val="Footer End"/>
    <w:basedOn w:val="Footer"/>
    <w:rsid w:val="00841049"/>
    <w:pPr>
      <w:spacing w:before="0" w:line="20" w:lineRule="exact"/>
    </w:pPr>
  </w:style>
  <w:style w:type="paragraph" w:styleId="Header">
    <w:name w:val="header"/>
    <w:basedOn w:val="BodyText"/>
    <w:rsid w:val="0084104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41049"/>
    <w:pPr>
      <w:spacing w:line="20" w:lineRule="exact"/>
    </w:pPr>
    <w:rPr>
      <w:sz w:val="16"/>
    </w:rPr>
  </w:style>
  <w:style w:type="paragraph" w:customStyle="1" w:styleId="HeaderEven">
    <w:name w:val="Header Even"/>
    <w:basedOn w:val="Header"/>
    <w:rsid w:val="00841049"/>
  </w:style>
  <w:style w:type="paragraph" w:customStyle="1" w:styleId="HeaderOdd">
    <w:name w:val="Header Odd"/>
    <w:basedOn w:val="Header"/>
    <w:rsid w:val="00841049"/>
  </w:style>
  <w:style w:type="character" w:styleId="PageNumber">
    <w:name w:val="page number"/>
    <w:basedOn w:val="DefaultParagraphFont"/>
    <w:rsid w:val="00841049"/>
    <w:rPr>
      <w:rFonts w:ascii="Arial" w:hAnsi="Arial"/>
      <w:b/>
      <w:sz w:val="16"/>
    </w:rPr>
  </w:style>
  <w:style w:type="paragraph" w:customStyle="1" w:styleId="Abbreviation">
    <w:name w:val="Abbreviation"/>
    <w:basedOn w:val="BodyText"/>
    <w:rsid w:val="00841049"/>
    <w:pPr>
      <w:spacing w:before="120"/>
      <w:ind w:left="2381" w:hanging="2381"/>
      <w:jc w:val="left"/>
    </w:pPr>
  </w:style>
  <w:style w:type="paragraph" w:customStyle="1" w:styleId="Box">
    <w:name w:val="Box"/>
    <w:basedOn w:val="BodyText"/>
    <w:qFormat/>
    <w:rsid w:val="00841049"/>
    <w:pPr>
      <w:keepNext/>
      <w:spacing w:before="120" w:line="260" w:lineRule="atLeast"/>
    </w:pPr>
    <w:rPr>
      <w:rFonts w:ascii="Arial" w:hAnsi="Arial"/>
      <w:sz w:val="20"/>
    </w:rPr>
  </w:style>
  <w:style w:type="paragraph" w:customStyle="1" w:styleId="BoxContinued">
    <w:name w:val="Box Continued"/>
    <w:basedOn w:val="BodyText"/>
    <w:next w:val="BodyText"/>
    <w:semiHidden/>
    <w:rsid w:val="00841049"/>
    <w:pPr>
      <w:spacing w:before="180" w:line="220" w:lineRule="exact"/>
      <w:jc w:val="right"/>
    </w:pPr>
    <w:rPr>
      <w:rFonts w:ascii="Arial" w:hAnsi="Arial"/>
      <w:sz w:val="18"/>
    </w:rPr>
  </w:style>
  <w:style w:type="paragraph" w:customStyle="1" w:styleId="BoxHeading1">
    <w:name w:val="Box Heading 1"/>
    <w:basedOn w:val="BodyText"/>
    <w:next w:val="Box"/>
    <w:rsid w:val="00841049"/>
    <w:pPr>
      <w:keepNext/>
      <w:spacing w:before="200" w:line="280" w:lineRule="atLeast"/>
    </w:pPr>
    <w:rPr>
      <w:rFonts w:ascii="Arial" w:hAnsi="Arial"/>
      <w:b/>
      <w:sz w:val="22"/>
    </w:rPr>
  </w:style>
  <w:style w:type="paragraph" w:customStyle="1" w:styleId="BoxHeading2">
    <w:name w:val="Box Heading 2"/>
    <w:basedOn w:val="BoxHeading1"/>
    <w:next w:val="Normal"/>
    <w:rsid w:val="00841049"/>
    <w:rPr>
      <w:b w:val="0"/>
      <w:i/>
    </w:rPr>
  </w:style>
  <w:style w:type="paragraph" w:customStyle="1" w:styleId="BoxListBullet">
    <w:name w:val="Box List Bullet"/>
    <w:basedOn w:val="BodyText"/>
    <w:rsid w:val="00841049"/>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41049"/>
    <w:pPr>
      <w:numPr>
        <w:numId w:val="2"/>
      </w:numPr>
      <w:ind w:left="568" w:hanging="284"/>
    </w:pPr>
  </w:style>
  <w:style w:type="paragraph" w:customStyle="1" w:styleId="BoxListNumber">
    <w:name w:val="Box List Number"/>
    <w:basedOn w:val="BodyText"/>
    <w:rsid w:val="0084104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841049"/>
    <w:pPr>
      <w:numPr>
        <w:ilvl w:val="1"/>
      </w:numPr>
      <w:ind w:left="681" w:hanging="397"/>
    </w:pPr>
  </w:style>
  <w:style w:type="paragraph" w:customStyle="1" w:styleId="BoxQuote">
    <w:name w:val="Box Quote"/>
    <w:basedOn w:val="BodyText"/>
    <w:next w:val="Box"/>
    <w:qFormat/>
    <w:rsid w:val="00841049"/>
    <w:pPr>
      <w:keepNext/>
      <w:spacing w:before="60" w:line="240" w:lineRule="exact"/>
      <w:ind w:left="284"/>
    </w:pPr>
    <w:rPr>
      <w:rFonts w:ascii="Arial" w:hAnsi="Arial"/>
      <w:sz w:val="18"/>
    </w:rPr>
  </w:style>
  <w:style w:type="paragraph" w:customStyle="1" w:styleId="Note">
    <w:name w:val="Note"/>
    <w:basedOn w:val="BodyText"/>
    <w:next w:val="BodyText"/>
    <w:rsid w:val="00841049"/>
    <w:pPr>
      <w:keepLines/>
      <w:spacing w:before="80" w:line="220" w:lineRule="exact"/>
    </w:pPr>
    <w:rPr>
      <w:rFonts w:ascii="Arial" w:hAnsi="Arial"/>
      <w:sz w:val="18"/>
    </w:rPr>
  </w:style>
  <w:style w:type="paragraph" w:customStyle="1" w:styleId="Source">
    <w:name w:val="Source"/>
    <w:basedOn w:val="Normal"/>
    <w:next w:val="BodyText"/>
    <w:rsid w:val="00841049"/>
    <w:pPr>
      <w:keepLines/>
      <w:spacing w:before="80" w:line="220" w:lineRule="exact"/>
      <w:jc w:val="both"/>
    </w:pPr>
    <w:rPr>
      <w:rFonts w:ascii="Arial" w:hAnsi="Arial"/>
      <w:sz w:val="18"/>
      <w:szCs w:val="20"/>
    </w:rPr>
  </w:style>
  <w:style w:type="paragraph" w:customStyle="1" w:styleId="BoxSource">
    <w:name w:val="Box Source"/>
    <w:basedOn w:val="Source"/>
    <w:next w:val="BodyText"/>
    <w:rsid w:val="00841049"/>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84104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41049"/>
    <w:pPr>
      <w:spacing w:before="120" w:after="0"/>
    </w:pPr>
  </w:style>
  <w:style w:type="paragraph" w:customStyle="1" w:styleId="BoxSubtitle">
    <w:name w:val="Box Subtitle"/>
    <w:basedOn w:val="BoxTitle"/>
    <w:next w:val="Normal"/>
    <w:rsid w:val="00841049"/>
    <w:pPr>
      <w:spacing w:after="80" w:line="200" w:lineRule="exact"/>
      <w:ind w:firstLine="0"/>
    </w:pPr>
    <w:rPr>
      <w:b w:val="0"/>
      <w:sz w:val="20"/>
    </w:rPr>
  </w:style>
  <w:style w:type="paragraph" w:customStyle="1" w:styleId="Chapter">
    <w:name w:val="Chapter"/>
    <w:basedOn w:val="Heading1"/>
    <w:next w:val="BodyText"/>
    <w:semiHidden/>
    <w:rsid w:val="00841049"/>
    <w:pPr>
      <w:ind w:left="0" w:firstLine="0"/>
      <w:outlineLvl w:val="9"/>
    </w:pPr>
  </w:style>
  <w:style w:type="paragraph" w:customStyle="1" w:styleId="ChapterSummary">
    <w:name w:val="Chapter Summary"/>
    <w:basedOn w:val="BodyText"/>
    <w:rsid w:val="00841049"/>
    <w:pPr>
      <w:spacing w:line="280" w:lineRule="atLeast"/>
      <w:ind w:left="907"/>
    </w:pPr>
    <w:rPr>
      <w:rFonts w:ascii="Arial" w:hAnsi="Arial"/>
      <w:b/>
      <w:sz w:val="20"/>
    </w:rPr>
  </w:style>
  <w:style w:type="character" w:styleId="CommentReference">
    <w:name w:val="annotation reference"/>
    <w:basedOn w:val="DefaultParagraphFont"/>
    <w:semiHidden/>
    <w:rsid w:val="00841049"/>
    <w:rPr>
      <w:b/>
      <w:vanish/>
      <w:color w:val="FF00FF"/>
      <w:sz w:val="20"/>
    </w:rPr>
  </w:style>
  <w:style w:type="paragraph" w:styleId="CommentText">
    <w:name w:val="annotation text"/>
    <w:basedOn w:val="Normal"/>
    <w:semiHidden/>
    <w:rsid w:val="00841049"/>
    <w:pPr>
      <w:spacing w:before="120" w:line="240" w:lineRule="atLeast"/>
      <w:ind w:left="567" w:hanging="567"/>
    </w:pPr>
    <w:rPr>
      <w:sz w:val="20"/>
    </w:rPr>
  </w:style>
  <w:style w:type="paragraph" w:customStyle="1" w:styleId="Continued">
    <w:name w:val="Continued"/>
    <w:basedOn w:val="BoxContinued"/>
    <w:next w:val="BodyText"/>
    <w:rsid w:val="00841049"/>
  </w:style>
  <w:style w:type="character" w:customStyle="1" w:styleId="DocumentInfo">
    <w:name w:val="Document Info"/>
    <w:basedOn w:val="DefaultParagraphFont"/>
    <w:semiHidden/>
    <w:rsid w:val="00841049"/>
    <w:rPr>
      <w:rFonts w:ascii="Arial" w:hAnsi="Arial"/>
      <w:sz w:val="14"/>
    </w:rPr>
  </w:style>
  <w:style w:type="character" w:customStyle="1" w:styleId="DraftingNote">
    <w:name w:val="Drafting Note"/>
    <w:basedOn w:val="DefaultParagraphFont"/>
    <w:rsid w:val="00841049"/>
    <w:rPr>
      <w:b/>
      <w:color w:val="FF0000"/>
      <w:sz w:val="24"/>
      <w:u w:val="dotted"/>
    </w:rPr>
  </w:style>
  <w:style w:type="paragraph" w:customStyle="1" w:styleId="Figure">
    <w:name w:val="Figure"/>
    <w:basedOn w:val="BodyText"/>
    <w:rsid w:val="00841049"/>
    <w:pPr>
      <w:keepNext/>
      <w:spacing w:before="120" w:after="120" w:line="240" w:lineRule="atLeast"/>
      <w:jc w:val="center"/>
    </w:pPr>
  </w:style>
  <w:style w:type="paragraph" w:customStyle="1" w:styleId="FigureTitle">
    <w:name w:val="Figure Title"/>
    <w:basedOn w:val="Caption"/>
    <w:next w:val="Subtitle"/>
    <w:rsid w:val="00841049"/>
    <w:pPr>
      <w:spacing w:before="120"/>
    </w:pPr>
  </w:style>
  <w:style w:type="paragraph" w:styleId="Subtitle">
    <w:name w:val="Subtitle"/>
    <w:basedOn w:val="Caption"/>
    <w:link w:val="SubtitleChar"/>
    <w:qFormat/>
    <w:rsid w:val="00841049"/>
    <w:pPr>
      <w:spacing w:before="0" w:line="200" w:lineRule="exact"/>
      <w:ind w:firstLine="0"/>
    </w:pPr>
    <w:rPr>
      <w:b w:val="0"/>
      <w:sz w:val="20"/>
    </w:rPr>
  </w:style>
  <w:style w:type="paragraph" w:customStyle="1" w:styleId="Finding">
    <w:name w:val="Finding"/>
    <w:basedOn w:val="BodyText"/>
    <w:rsid w:val="00841049"/>
    <w:pPr>
      <w:keepLines/>
      <w:spacing w:before="120" w:line="280" w:lineRule="atLeast"/>
    </w:pPr>
    <w:rPr>
      <w:rFonts w:ascii="Arial" w:hAnsi="Arial"/>
      <w:sz w:val="22"/>
    </w:rPr>
  </w:style>
  <w:style w:type="paragraph" w:customStyle="1" w:styleId="FindingBullet">
    <w:name w:val="Finding Bullet"/>
    <w:basedOn w:val="Finding"/>
    <w:rsid w:val="00841049"/>
    <w:pPr>
      <w:numPr>
        <w:numId w:val="3"/>
      </w:numPr>
      <w:spacing w:before="80"/>
    </w:pPr>
  </w:style>
  <w:style w:type="paragraph" w:customStyle="1" w:styleId="FindingNoTitle">
    <w:name w:val="Finding NoTitle"/>
    <w:basedOn w:val="Finding"/>
    <w:rsid w:val="00841049"/>
    <w:pPr>
      <w:spacing w:before="240"/>
    </w:pPr>
  </w:style>
  <w:style w:type="paragraph" w:customStyle="1" w:styleId="RecTitle">
    <w:name w:val="Rec Title"/>
    <w:basedOn w:val="BodyText"/>
    <w:next w:val="Rec"/>
    <w:qFormat/>
    <w:rsid w:val="00841049"/>
    <w:pPr>
      <w:keepNext/>
      <w:keepLines/>
      <w:spacing w:line="280" w:lineRule="atLeast"/>
    </w:pPr>
    <w:rPr>
      <w:rFonts w:ascii="Arial" w:hAnsi="Arial"/>
      <w:caps/>
      <w:sz w:val="18"/>
    </w:rPr>
  </w:style>
  <w:style w:type="paragraph" w:customStyle="1" w:styleId="FindingTitle">
    <w:name w:val="Finding Title"/>
    <w:basedOn w:val="RecTitle"/>
    <w:next w:val="Finding"/>
    <w:rsid w:val="00841049"/>
  </w:style>
  <w:style w:type="character" w:styleId="FootnoteReference">
    <w:name w:val="footnote reference"/>
    <w:basedOn w:val="DefaultParagraphFont"/>
    <w:semiHidden/>
    <w:rsid w:val="00841049"/>
    <w:rPr>
      <w:rFonts w:ascii="Times New Roman" w:hAnsi="Times New Roman"/>
      <w:position w:val="6"/>
      <w:sz w:val="20"/>
      <w:vertAlign w:val="baseline"/>
    </w:rPr>
  </w:style>
  <w:style w:type="paragraph" w:styleId="FootnoteText">
    <w:name w:val="footnote text"/>
    <w:basedOn w:val="BodyText"/>
    <w:rsid w:val="0084104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41049"/>
    <w:rPr>
      <w:i/>
    </w:rPr>
  </w:style>
  <w:style w:type="paragraph" w:customStyle="1" w:styleId="Jurisdictioncommentsbodytext">
    <w:name w:val="Jurisdiction comments body text"/>
    <w:rsid w:val="00841049"/>
    <w:pPr>
      <w:spacing w:after="140"/>
      <w:jc w:val="both"/>
    </w:pPr>
    <w:rPr>
      <w:rFonts w:ascii="Arial" w:hAnsi="Arial"/>
      <w:sz w:val="24"/>
      <w:lang w:eastAsia="en-US"/>
    </w:rPr>
  </w:style>
  <w:style w:type="paragraph" w:customStyle="1" w:styleId="Jurisdictioncommentsheading">
    <w:name w:val="Jurisdiction comments heading"/>
    <w:rsid w:val="0084104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41049"/>
    <w:pPr>
      <w:numPr>
        <w:numId w:val="4"/>
      </w:numPr>
      <w:spacing w:after="140"/>
      <w:jc w:val="both"/>
    </w:pPr>
    <w:rPr>
      <w:rFonts w:ascii="Arial" w:hAnsi="Arial"/>
      <w:sz w:val="24"/>
      <w:lang w:eastAsia="en-US"/>
    </w:rPr>
  </w:style>
  <w:style w:type="paragraph" w:styleId="ListBullet">
    <w:name w:val="List Bullet"/>
    <w:basedOn w:val="BodyText"/>
    <w:rsid w:val="00841049"/>
    <w:pPr>
      <w:numPr>
        <w:numId w:val="5"/>
      </w:numPr>
      <w:spacing w:before="120"/>
    </w:pPr>
  </w:style>
  <w:style w:type="paragraph" w:styleId="ListBullet2">
    <w:name w:val="List Bullet 2"/>
    <w:basedOn w:val="BodyText"/>
    <w:rsid w:val="00841049"/>
    <w:pPr>
      <w:numPr>
        <w:numId w:val="6"/>
      </w:numPr>
      <w:spacing w:before="120"/>
    </w:pPr>
  </w:style>
  <w:style w:type="paragraph" w:styleId="ListBullet3">
    <w:name w:val="List Bullet 3"/>
    <w:basedOn w:val="BodyText"/>
    <w:rsid w:val="00841049"/>
    <w:pPr>
      <w:numPr>
        <w:numId w:val="7"/>
      </w:numPr>
      <w:spacing w:before="120"/>
      <w:ind w:left="1020" w:hanging="340"/>
    </w:pPr>
  </w:style>
  <w:style w:type="paragraph" w:styleId="ListNumber">
    <w:name w:val="List Number"/>
    <w:basedOn w:val="BodyText"/>
    <w:rsid w:val="00841049"/>
    <w:pPr>
      <w:numPr>
        <w:numId w:val="13"/>
      </w:numPr>
      <w:spacing w:before="120"/>
    </w:pPr>
  </w:style>
  <w:style w:type="paragraph" w:styleId="ListNumber2">
    <w:name w:val="List Number 2"/>
    <w:basedOn w:val="ListNumber"/>
    <w:rsid w:val="00841049"/>
    <w:pPr>
      <w:numPr>
        <w:ilvl w:val="1"/>
      </w:numPr>
    </w:pPr>
  </w:style>
  <w:style w:type="paragraph" w:styleId="ListNumber3">
    <w:name w:val="List Number 3"/>
    <w:basedOn w:val="ListNumber2"/>
    <w:rsid w:val="00841049"/>
    <w:pPr>
      <w:numPr>
        <w:ilvl w:val="2"/>
      </w:numPr>
    </w:pPr>
  </w:style>
  <w:style w:type="character" w:customStyle="1" w:styleId="NoteLabel">
    <w:name w:val="Note Label"/>
    <w:basedOn w:val="DefaultParagraphFont"/>
    <w:rsid w:val="00841049"/>
    <w:rPr>
      <w:rFonts w:ascii="Arial" w:hAnsi="Arial"/>
      <w:b/>
      <w:position w:val="6"/>
      <w:sz w:val="18"/>
    </w:rPr>
  </w:style>
  <w:style w:type="paragraph" w:customStyle="1" w:styleId="PartDivider">
    <w:name w:val="Part Divider"/>
    <w:basedOn w:val="BodyText"/>
    <w:next w:val="BodyText"/>
    <w:semiHidden/>
    <w:rsid w:val="00841049"/>
    <w:pPr>
      <w:spacing w:before="0" w:line="40" w:lineRule="exact"/>
      <w:jc w:val="right"/>
    </w:pPr>
    <w:rPr>
      <w:smallCaps/>
      <w:sz w:val="16"/>
    </w:rPr>
  </w:style>
  <w:style w:type="paragraph" w:customStyle="1" w:styleId="PartNumber">
    <w:name w:val="Part Number"/>
    <w:basedOn w:val="BodyText"/>
    <w:next w:val="BodyText"/>
    <w:semiHidden/>
    <w:rsid w:val="00841049"/>
    <w:pPr>
      <w:spacing w:before="4000" w:line="320" w:lineRule="exact"/>
      <w:ind w:left="6634"/>
      <w:jc w:val="right"/>
    </w:pPr>
    <w:rPr>
      <w:smallCaps/>
      <w:spacing w:val="60"/>
      <w:sz w:val="32"/>
    </w:rPr>
  </w:style>
  <w:style w:type="paragraph" w:customStyle="1" w:styleId="PartTitle">
    <w:name w:val="Part Title"/>
    <w:basedOn w:val="BodyText"/>
    <w:semiHidden/>
    <w:rsid w:val="00841049"/>
    <w:pPr>
      <w:spacing w:before="160" w:after="1360" w:line="520" w:lineRule="exact"/>
      <w:ind w:right="2381"/>
      <w:jc w:val="right"/>
    </w:pPr>
    <w:rPr>
      <w:smallCaps/>
      <w:sz w:val="52"/>
    </w:rPr>
  </w:style>
  <w:style w:type="paragraph" w:styleId="Quote">
    <w:name w:val="Quote"/>
    <w:basedOn w:val="BodyText"/>
    <w:next w:val="BodyText"/>
    <w:qFormat/>
    <w:rsid w:val="00841049"/>
    <w:pPr>
      <w:spacing w:before="120" w:line="280" w:lineRule="exact"/>
      <w:ind w:left="340"/>
    </w:pPr>
    <w:rPr>
      <w:sz w:val="22"/>
    </w:rPr>
  </w:style>
  <w:style w:type="paragraph" w:customStyle="1" w:styleId="QuoteBullet">
    <w:name w:val="Quote Bullet"/>
    <w:basedOn w:val="Quote"/>
    <w:rsid w:val="00841049"/>
    <w:pPr>
      <w:numPr>
        <w:numId w:val="8"/>
      </w:numPr>
    </w:pPr>
  </w:style>
  <w:style w:type="paragraph" w:customStyle="1" w:styleId="Rec">
    <w:name w:val="Rec"/>
    <w:basedOn w:val="BodyText"/>
    <w:qFormat/>
    <w:rsid w:val="00841049"/>
    <w:pPr>
      <w:keepLines/>
      <w:spacing w:before="120" w:line="280" w:lineRule="atLeast"/>
    </w:pPr>
    <w:rPr>
      <w:rFonts w:ascii="Arial" w:hAnsi="Arial"/>
      <w:sz w:val="22"/>
    </w:rPr>
  </w:style>
  <w:style w:type="paragraph" w:customStyle="1" w:styleId="RecBullet">
    <w:name w:val="Rec Bullet"/>
    <w:basedOn w:val="Rec"/>
    <w:rsid w:val="00841049"/>
    <w:pPr>
      <w:numPr>
        <w:numId w:val="9"/>
      </w:numPr>
      <w:spacing w:before="80"/>
    </w:pPr>
  </w:style>
  <w:style w:type="paragraph" w:customStyle="1" w:styleId="RecB">
    <w:name w:val="RecB"/>
    <w:basedOn w:val="Normal"/>
    <w:rsid w:val="00841049"/>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41049"/>
    <w:pPr>
      <w:numPr>
        <w:numId w:val="10"/>
      </w:numPr>
      <w:spacing w:before="80"/>
    </w:pPr>
  </w:style>
  <w:style w:type="paragraph" w:customStyle="1" w:styleId="RecBNoTitle">
    <w:name w:val="RecB NoTitle"/>
    <w:basedOn w:val="RecB"/>
    <w:rsid w:val="00841049"/>
    <w:pPr>
      <w:spacing w:before="240"/>
    </w:pPr>
  </w:style>
  <w:style w:type="paragraph" w:customStyle="1" w:styleId="Reference">
    <w:name w:val="Reference"/>
    <w:basedOn w:val="BodyText"/>
    <w:rsid w:val="00841049"/>
    <w:pPr>
      <w:spacing w:before="120"/>
      <w:ind w:left="340" w:hanging="340"/>
    </w:pPr>
  </w:style>
  <w:style w:type="paragraph" w:customStyle="1" w:styleId="SequenceInfo">
    <w:name w:val="Sequence Info"/>
    <w:basedOn w:val="BodyText"/>
    <w:semiHidden/>
    <w:rsid w:val="00841049"/>
    <w:rPr>
      <w:vanish/>
      <w:sz w:val="16"/>
    </w:rPr>
  </w:style>
  <w:style w:type="paragraph" w:customStyle="1" w:styleId="SideNote">
    <w:name w:val="Side Note"/>
    <w:basedOn w:val="BodyText"/>
    <w:next w:val="BodyText"/>
    <w:semiHidden/>
    <w:rsid w:val="0084104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41049"/>
    <w:pPr>
      <w:framePr w:wrap="around"/>
      <w:numPr>
        <w:numId w:val="11"/>
      </w:numPr>
      <w:tabs>
        <w:tab w:val="left" w:pos="227"/>
      </w:tabs>
    </w:pPr>
  </w:style>
  <w:style w:type="paragraph" w:customStyle="1" w:styleId="SideNoteGraphic">
    <w:name w:val="Side Note Graphic"/>
    <w:basedOn w:val="SideNote"/>
    <w:next w:val="BodyText"/>
    <w:semiHidden/>
    <w:rsid w:val="00841049"/>
    <w:pPr>
      <w:framePr w:wrap="around"/>
    </w:pPr>
  </w:style>
  <w:style w:type="paragraph" w:customStyle="1" w:styleId="TableBodyText">
    <w:name w:val="Table Body Text"/>
    <w:basedOn w:val="BodyText"/>
    <w:link w:val="TableBodyTextChar"/>
    <w:rsid w:val="0084104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41049"/>
    <w:pPr>
      <w:numPr>
        <w:numId w:val="12"/>
      </w:numPr>
      <w:jc w:val="left"/>
    </w:pPr>
  </w:style>
  <w:style w:type="paragraph" w:customStyle="1" w:styleId="TableColumnHeading">
    <w:name w:val="Table Column Heading"/>
    <w:basedOn w:val="TableBodyText"/>
    <w:rsid w:val="00841049"/>
    <w:pPr>
      <w:spacing w:before="80" w:after="80"/>
    </w:pPr>
    <w:rPr>
      <w:i/>
    </w:rPr>
  </w:style>
  <w:style w:type="paragraph" w:styleId="TOC2">
    <w:name w:val="toc 2"/>
    <w:basedOn w:val="TOC1"/>
    <w:rsid w:val="00841049"/>
    <w:pPr>
      <w:ind w:left="1134" w:hanging="624"/>
    </w:pPr>
    <w:rPr>
      <w:b w:val="0"/>
    </w:rPr>
  </w:style>
  <w:style w:type="paragraph" w:styleId="TOC3">
    <w:name w:val="toc 3"/>
    <w:basedOn w:val="TOC2"/>
    <w:rsid w:val="00841049"/>
    <w:pPr>
      <w:spacing w:before="60"/>
      <w:ind w:left="1190" w:hanging="680"/>
    </w:pPr>
  </w:style>
  <w:style w:type="paragraph" w:styleId="TableofFigures">
    <w:name w:val="table of figures"/>
    <w:basedOn w:val="TOC3"/>
    <w:next w:val="BodyText"/>
    <w:semiHidden/>
    <w:rsid w:val="00841049"/>
    <w:pPr>
      <w:ind w:left="737" w:hanging="737"/>
    </w:pPr>
  </w:style>
  <w:style w:type="paragraph" w:customStyle="1" w:styleId="TableTitle">
    <w:name w:val="Table Title"/>
    <w:basedOn w:val="Caption"/>
    <w:next w:val="Subtitle"/>
    <w:qFormat/>
    <w:rsid w:val="00841049"/>
    <w:pPr>
      <w:spacing w:before="120"/>
    </w:pPr>
  </w:style>
  <w:style w:type="paragraph" w:customStyle="1" w:styleId="TableUnitsRow">
    <w:name w:val="Table Units Row"/>
    <w:basedOn w:val="TableBodyText"/>
    <w:rsid w:val="00841049"/>
    <w:pPr>
      <w:spacing w:before="40"/>
    </w:pPr>
  </w:style>
  <w:style w:type="paragraph" w:styleId="TOC1">
    <w:name w:val="toc 1"/>
    <w:basedOn w:val="Normal"/>
    <w:next w:val="TOC2"/>
    <w:link w:val="TOC1Char"/>
    <w:rsid w:val="0084104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41049"/>
    <w:pPr>
      <w:ind w:left="1191" w:firstLine="0"/>
    </w:pPr>
  </w:style>
  <w:style w:type="character" w:styleId="Hyperlink">
    <w:name w:val="Hyperlink"/>
    <w:basedOn w:val="DefaultParagraphFont"/>
    <w:rsid w:val="00B96E3E"/>
    <w:rPr>
      <w:color w:val="0000FF"/>
      <w:u w:val="single"/>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paragraph" w:styleId="BalloonText">
    <w:name w:val="Balloon Text"/>
    <w:basedOn w:val="Normal"/>
    <w:link w:val="BalloonTextChar"/>
    <w:rsid w:val="00841049"/>
    <w:rPr>
      <w:rFonts w:ascii="Tahoma" w:hAnsi="Tahoma" w:cs="Tahoma"/>
      <w:sz w:val="16"/>
      <w:szCs w:val="16"/>
    </w:rPr>
  </w:style>
  <w:style w:type="character" w:customStyle="1" w:styleId="BalloonTextChar">
    <w:name w:val="Balloon Text Char"/>
    <w:basedOn w:val="DefaultParagraphFont"/>
    <w:link w:val="BalloonText"/>
    <w:rsid w:val="00841049"/>
    <w:rPr>
      <w:rFonts w:ascii="Tahoma" w:hAnsi="Tahoma" w:cs="Tahoma"/>
      <w:sz w:val="16"/>
      <w:szCs w:val="16"/>
    </w:rPr>
  </w:style>
  <w:style w:type="paragraph" w:customStyle="1" w:styleId="AIHWbodytext">
    <w:name w:val="AIHW body text"/>
    <w:basedOn w:val="Normal"/>
    <w:link w:val="AIHWbodytextChar"/>
    <w:qFormat/>
    <w:rsid w:val="0076288B"/>
    <w:pPr>
      <w:spacing w:after="200" w:line="276" w:lineRule="auto"/>
    </w:pPr>
    <w:rPr>
      <w:rFonts w:asciiTheme="minorHAnsi" w:eastAsiaTheme="minorHAnsi" w:hAnsiTheme="minorHAnsi" w:cstheme="minorBidi"/>
      <w:sz w:val="22"/>
      <w:szCs w:val="20"/>
      <w:lang w:eastAsia="en-US"/>
    </w:rPr>
  </w:style>
  <w:style w:type="paragraph" w:customStyle="1" w:styleId="Bullet1">
    <w:name w:val="Bullet 1"/>
    <w:basedOn w:val="AIHWbodytext"/>
    <w:uiPriority w:val="2"/>
    <w:qFormat/>
    <w:rsid w:val="0076288B"/>
    <w:pPr>
      <w:numPr>
        <w:numId w:val="16"/>
      </w:numPr>
      <w:tabs>
        <w:tab w:val="clear" w:pos="397"/>
      </w:tabs>
      <w:spacing w:before="40" w:after="80"/>
      <w:ind w:left="680" w:hanging="340"/>
    </w:pPr>
  </w:style>
  <w:style w:type="character" w:customStyle="1" w:styleId="BodyTextChar">
    <w:name w:val="Body Text Char"/>
    <w:basedOn w:val="DefaultParagraphFont"/>
    <w:link w:val="BodyText"/>
    <w:rsid w:val="00841049"/>
    <w:rPr>
      <w:sz w:val="24"/>
    </w:rPr>
  </w:style>
  <w:style w:type="character" w:customStyle="1" w:styleId="AIHWbodytextChar">
    <w:name w:val="AIHW body text Char"/>
    <w:link w:val="AIHWbodytext"/>
    <w:locked/>
    <w:rsid w:val="0076288B"/>
    <w:rPr>
      <w:rFonts w:asciiTheme="minorHAnsi" w:eastAsiaTheme="minorHAnsi" w:hAnsiTheme="minorHAnsi" w:cstheme="minorBidi"/>
      <w:sz w:val="22"/>
      <w:lang w:eastAsia="en-US"/>
    </w:rPr>
  </w:style>
  <w:style w:type="paragraph" w:styleId="ListBullet4">
    <w:name w:val="List Bullet 4"/>
    <w:basedOn w:val="Normal"/>
    <w:rsid w:val="005667C8"/>
    <w:pPr>
      <w:numPr>
        <w:numId w:val="17"/>
      </w:numPr>
      <w:spacing w:after="200" w:line="276" w:lineRule="auto"/>
    </w:pPr>
    <w:rPr>
      <w:rFonts w:asciiTheme="minorHAnsi" w:eastAsiaTheme="minorHAnsi" w:hAnsiTheme="minorHAnsi" w:cstheme="minorBidi"/>
      <w:sz w:val="22"/>
      <w:szCs w:val="22"/>
    </w:rPr>
  </w:style>
  <w:style w:type="character" w:customStyle="1" w:styleId="TableBodyTextChar">
    <w:name w:val="Table Body Text Char"/>
    <w:link w:val="TableBodyText"/>
    <w:locked/>
    <w:rsid w:val="005667C8"/>
    <w:rPr>
      <w:rFonts w:ascii="Arial" w:hAnsi="Arial"/>
      <w:sz w:val="18"/>
    </w:rPr>
  </w:style>
  <w:style w:type="table" w:styleId="TableGrid">
    <w:name w:val="Table Grid"/>
    <w:basedOn w:val="TableNormal"/>
    <w:rsid w:val="008410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6A78"/>
    <w:pPr>
      <w:ind w:left="720"/>
      <w:contextualSpacing/>
    </w:pPr>
  </w:style>
  <w:style w:type="paragraph" w:customStyle="1" w:styleId="BoxSpaceAbove">
    <w:name w:val="Box Space Above"/>
    <w:basedOn w:val="BodyText"/>
    <w:rsid w:val="00841049"/>
    <w:pPr>
      <w:keepNext/>
      <w:spacing w:before="360" w:line="80" w:lineRule="exact"/>
      <w:jc w:val="left"/>
    </w:pPr>
  </w:style>
  <w:style w:type="paragraph" w:customStyle="1" w:styleId="RecBBullet2">
    <w:name w:val="RecB Bullet 2"/>
    <w:basedOn w:val="ListBullet2"/>
    <w:semiHidden/>
    <w:rsid w:val="00841049"/>
    <w:pPr>
      <w:pBdr>
        <w:left w:val="single" w:sz="24" w:space="29" w:color="C0C0C0"/>
      </w:pBdr>
    </w:pPr>
    <w:rPr>
      <w:b/>
      <w:i/>
    </w:rPr>
  </w:style>
  <w:style w:type="character" w:customStyle="1" w:styleId="SubtitleChar">
    <w:name w:val="Subtitle Char"/>
    <w:basedOn w:val="DefaultParagraphFont"/>
    <w:link w:val="Subtitle"/>
    <w:rsid w:val="00841049"/>
    <w:rPr>
      <w:rFonts w:ascii="Arial" w:hAnsi="Arial"/>
      <w:szCs w:val="24"/>
    </w:rPr>
  </w:style>
  <w:style w:type="paragraph" w:customStyle="1" w:styleId="BoxListBullet3">
    <w:name w:val="Box List Bullet 3"/>
    <w:basedOn w:val="ListBullet3"/>
    <w:rsid w:val="00841049"/>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41049"/>
    <w:rPr>
      <w:i/>
      <w:iCs/>
    </w:rPr>
  </w:style>
  <w:style w:type="paragraph" w:customStyle="1" w:styleId="BoxQuoteBullet">
    <w:name w:val="Box Quote Bullet"/>
    <w:basedOn w:val="BoxQuote"/>
    <w:next w:val="Box"/>
    <w:rsid w:val="00841049"/>
    <w:pPr>
      <w:numPr>
        <w:numId w:val="18"/>
      </w:numPr>
      <w:ind w:left="568" w:hanging="284"/>
    </w:pPr>
  </w:style>
  <w:style w:type="paragraph" w:customStyle="1" w:styleId="InformationRequestBullet">
    <w:name w:val="Information Request Bullet"/>
    <w:basedOn w:val="ListBullet"/>
    <w:next w:val="BodyText"/>
    <w:rsid w:val="00841049"/>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841049"/>
    <w:pPr>
      <w:keepNext w:val="0"/>
      <w:spacing w:before="60" w:after="60" w:line="80" w:lineRule="exact"/>
    </w:pPr>
    <w:rPr>
      <w:sz w:val="14"/>
    </w:rPr>
  </w:style>
  <w:style w:type="paragraph" w:customStyle="1" w:styleId="KeyPointsListBullet">
    <w:name w:val="Key Points List Bullet"/>
    <w:basedOn w:val="Normal"/>
    <w:qFormat/>
    <w:rsid w:val="00841049"/>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41049"/>
    <w:pPr>
      <w:numPr>
        <w:numId w:val="22"/>
      </w:numPr>
      <w:ind w:left="568" w:hanging="284"/>
    </w:pPr>
  </w:style>
  <w:style w:type="paragraph" w:customStyle="1" w:styleId="InformationRequestTitle">
    <w:name w:val="Information Request Title"/>
    <w:basedOn w:val="FindingTitle"/>
    <w:next w:val="InformationRequest"/>
    <w:rsid w:val="00841049"/>
    <w:rPr>
      <w:i/>
    </w:rPr>
  </w:style>
  <w:style w:type="paragraph" w:customStyle="1" w:styleId="Space">
    <w:name w:val="Space"/>
    <w:basedOn w:val="Normal"/>
    <w:rsid w:val="00841049"/>
    <w:pPr>
      <w:keepNext/>
      <w:spacing w:line="120" w:lineRule="exact"/>
      <w:jc w:val="both"/>
    </w:pPr>
    <w:rPr>
      <w:rFonts w:ascii="Arial" w:hAnsi="Arial"/>
      <w:sz w:val="20"/>
      <w:szCs w:val="20"/>
    </w:rPr>
  </w:style>
  <w:style w:type="paragraph" w:customStyle="1" w:styleId="Heading1nochapterno">
    <w:name w:val="Heading 1 (no chapter no.)"/>
    <w:basedOn w:val="Heading1"/>
    <w:rsid w:val="00841049"/>
    <w:pPr>
      <w:spacing w:before="0"/>
      <w:ind w:left="0" w:firstLine="0"/>
    </w:pPr>
  </w:style>
  <w:style w:type="paragraph" w:customStyle="1" w:styleId="Heading2nosectionno">
    <w:name w:val="Heading 2 (no section no.)"/>
    <w:basedOn w:val="Heading2"/>
    <w:rsid w:val="00841049"/>
    <w:pPr>
      <w:ind w:left="0" w:firstLine="0"/>
    </w:pPr>
  </w:style>
  <w:style w:type="character" w:customStyle="1" w:styleId="Heading5Char">
    <w:name w:val="Heading 5 Char"/>
    <w:basedOn w:val="DefaultParagraphFont"/>
    <w:link w:val="Heading5"/>
    <w:rsid w:val="00841049"/>
    <w:rPr>
      <w:rFonts w:ascii="Arial" w:hAnsi="Arial"/>
      <w:i/>
      <w:sz w:val="22"/>
    </w:rPr>
  </w:style>
  <w:style w:type="paragraph" w:customStyle="1" w:styleId="Figurespace">
    <w:name w:val="Figure space"/>
    <w:basedOn w:val="Box"/>
    <w:rsid w:val="00841049"/>
    <w:pPr>
      <w:spacing w:before="0" w:line="120" w:lineRule="exact"/>
    </w:pPr>
  </w:style>
  <w:style w:type="paragraph" w:customStyle="1" w:styleId="FooterDraftReport">
    <w:name w:val="FooterDraftReport"/>
    <w:basedOn w:val="Footer"/>
    <w:link w:val="FooterDraftReportChar"/>
    <w:rsid w:val="0084104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841049"/>
    <w:rPr>
      <w:rFonts w:ascii="Arial" w:hAnsi="Arial"/>
      <w:caps/>
      <w:spacing w:val="-4"/>
      <w:sz w:val="16"/>
    </w:rPr>
  </w:style>
  <w:style w:type="character" w:customStyle="1" w:styleId="FooterDraftReportChar">
    <w:name w:val="FooterDraftReport Char"/>
    <w:basedOn w:val="FooterChar"/>
    <w:link w:val="FooterDraftReport"/>
    <w:rsid w:val="0084104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841049"/>
    <w:rPr>
      <w:rFonts w:ascii="Arial" w:hAnsi="Arial"/>
      <w:b/>
      <w:sz w:val="26"/>
      <w:szCs w:val="26"/>
      <w:lang w:eastAsia="en-US"/>
    </w:rPr>
  </w:style>
  <w:style w:type="character" w:customStyle="1" w:styleId="Heading3Char">
    <w:name w:val="Heading 3 Char"/>
    <w:basedOn w:val="DefaultParagraphFont"/>
    <w:link w:val="Heading3"/>
    <w:rsid w:val="0076083F"/>
    <w:rPr>
      <w:rFonts w:ascii="Arial" w:hAnsi="Arial"/>
      <w:b/>
      <w:sz w:val="26"/>
    </w:rPr>
  </w:style>
  <w:style w:type="paragraph" w:customStyle="1" w:styleId="Heading1NotTOC">
    <w:name w:val="Heading 1 Not TOC"/>
    <w:basedOn w:val="Heading1"/>
    <w:next w:val="BodyText"/>
    <w:rsid w:val="0076083F"/>
    <w:rPr>
      <w:kern w:val="28"/>
      <w:szCs w:val="26"/>
      <w:lang w:eastAsia="en-US"/>
    </w:rPr>
  </w:style>
  <w:style w:type="character" w:customStyle="1" w:styleId="TableBulletChar">
    <w:name w:val="Table Bullet Char"/>
    <w:basedOn w:val="TableBodyTextChar"/>
    <w:link w:val="TableBullet"/>
    <w:locked/>
    <w:rsid w:val="006A2257"/>
    <w:rPr>
      <w:rFonts w:ascii="Arial" w:hAnsi="Arial"/>
      <w:sz w:val="18"/>
    </w:rPr>
  </w:style>
  <w:style w:type="paragraph" w:customStyle="1" w:styleId="StyleTableFigSourcesfootnotesBlackBefore3ptAfter">
    <w:name w:val="Style Table/Fig: Sources &amp; footnotes + Black Before:  3 pt After:..."/>
    <w:basedOn w:val="Normal"/>
    <w:link w:val="StyleTableFigSourcesfootnotesBlackBefore3ptAfterChar"/>
    <w:rsid w:val="00B02671"/>
    <w:pPr>
      <w:keepLines/>
      <w:tabs>
        <w:tab w:val="left" w:pos="425"/>
        <w:tab w:val="left" w:pos="851"/>
      </w:tabs>
      <w:spacing w:before="60" w:after="60" w:line="180" w:lineRule="atLeast"/>
    </w:pPr>
    <w:rPr>
      <w:rFonts w:ascii="Arial" w:hAnsi="Arial"/>
      <w:color w:val="000000"/>
      <w:sz w:val="14"/>
      <w:szCs w:val="20"/>
      <w:lang w:eastAsia="en-US"/>
    </w:rPr>
  </w:style>
  <w:style w:type="character" w:customStyle="1" w:styleId="StyleTableFigSourcesfootnotesBlackBefore3ptAfterChar">
    <w:name w:val="Style Table/Fig: Sources &amp; footnotes + Black Before:  3 pt After:... Char"/>
    <w:link w:val="StyleTableFigSourcesfootnotesBlackBefore3ptAfter"/>
    <w:rsid w:val="00B02671"/>
    <w:rPr>
      <w:rFonts w:ascii="Arial" w:hAnsi="Arial"/>
      <w:color w:val="000000"/>
      <w:sz w:val="1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596A7-4F4B-4B42-8995-CFD2080D8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264</TotalTime>
  <Pages>14</Pages>
  <Words>5103</Words>
  <Characters>29088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DQI G Housing and Homelessness services - Report on Government Services 2015</vt:lpstr>
    </vt:vector>
  </TitlesOfParts>
  <Manager/>
  <Company>Productivity Commission</Company>
  <LinksUpToDate>false</LinksUpToDate>
  <CharactersWithSpaces>34123</CharactersWithSpaces>
  <SharedDoc>false</SharedDoc>
  <HLinks>
    <vt:vector size="42" baseType="variant">
      <vt:variant>
        <vt:i4>5177364</vt:i4>
      </vt:variant>
      <vt:variant>
        <vt:i4>36</vt:i4>
      </vt:variant>
      <vt:variant>
        <vt:i4>0</vt:i4>
      </vt:variant>
      <vt:variant>
        <vt:i4>5</vt:i4>
      </vt:variant>
      <vt:variant>
        <vt:lpwstr>http://www.aihw.gov.au/publications/index.cfm/title/10832</vt:lpwstr>
      </vt:variant>
      <vt:variant>
        <vt:lpwstr/>
      </vt:variant>
      <vt:variant>
        <vt:i4>4718632</vt:i4>
      </vt:variant>
      <vt:variant>
        <vt:i4>33</vt:i4>
      </vt:variant>
      <vt:variant>
        <vt:i4>0</vt:i4>
      </vt:variant>
      <vt:variant>
        <vt:i4>5</vt:i4>
      </vt:variant>
      <vt:variant>
        <vt:lpwstr>mailto:abs@.nsf/Lookup/2050.0Main+Features12006?OpenDocument</vt:lpwstr>
      </vt:variant>
      <vt:variant>
        <vt:lpwstr/>
      </vt:variant>
      <vt:variant>
        <vt:i4>1048628</vt:i4>
      </vt:variant>
      <vt:variant>
        <vt:i4>26</vt:i4>
      </vt:variant>
      <vt:variant>
        <vt:i4>0</vt:i4>
      </vt:variant>
      <vt:variant>
        <vt:i4>5</vt:i4>
      </vt:variant>
      <vt:variant>
        <vt:lpwstr/>
      </vt:variant>
      <vt:variant>
        <vt:lpwstr>_Toc306721316</vt:lpwstr>
      </vt:variant>
      <vt:variant>
        <vt:i4>1048628</vt:i4>
      </vt:variant>
      <vt:variant>
        <vt:i4>20</vt:i4>
      </vt:variant>
      <vt:variant>
        <vt:i4>0</vt:i4>
      </vt:variant>
      <vt:variant>
        <vt:i4>5</vt:i4>
      </vt:variant>
      <vt:variant>
        <vt:lpwstr/>
      </vt:variant>
      <vt:variant>
        <vt:lpwstr>_Toc306721315</vt:lpwstr>
      </vt:variant>
      <vt:variant>
        <vt:i4>1048628</vt:i4>
      </vt:variant>
      <vt:variant>
        <vt:i4>14</vt:i4>
      </vt:variant>
      <vt:variant>
        <vt:i4>0</vt:i4>
      </vt:variant>
      <vt:variant>
        <vt:i4>5</vt:i4>
      </vt:variant>
      <vt:variant>
        <vt:lpwstr/>
      </vt:variant>
      <vt:variant>
        <vt:lpwstr>_Toc306721314</vt:lpwstr>
      </vt:variant>
      <vt:variant>
        <vt:i4>1048628</vt:i4>
      </vt:variant>
      <vt:variant>
        <vt:i4>8</vt:i4>
      </vt:variant>
      <vt:variant>
        <vt:i4>0</vt:i4>
      </vt:variant>
      <vt:variant>
        <vt:i4>5</vt:i4>
      </vt:variant>
      <vt:variant>
        <vt:lpwstr/>
      </vt:variant>
      <vt:variant>
        <vt:lpwstr>_Toc306721313</vt:lpwstr>
      </vt:variant>
      <vt:variant>
        <vt:i4>1048628</vt:i4>
      </vt:variant>
      <vt:variant>
        <vt:i4>2</vt:i4>
      </vt:variant>
      <vt:variant>
        <vt:i4>0</vt:i4>
      </vt:variant>
      <vt:variant>
        <vt:i4>5</vt:i4>
      </vt:variant>
      <vt:variant>
        <vt:lpwstr/>
      </vt:variant>
      <vt:variant>
        <vt:lpwstr>_Toc306721312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G Housing and Homelessness services - Report on Government Services 2015</dc:title>
  <dc:subject/>
  <dc:creator>Steering Committee for the Review of Government Service Provision</dc:creator>
  <cp:keywords/>
  <cp:lastModifiedBy>Bucsuhazy, Rachel</cp:lastModifiedBy>
  <cp:revision>8</cp:revision>
  <cp:lastPrinted>2014-12-16T03:23:00Z</cp:lastPrinted>
  <dcterms:created xsi:type="dcterms:W3CDTF">2013-10-28T02:27:00Z</dcterms:created>
  <dcterms:modified xsi:type="dcterms:W3CDTF">2015-01-23T02:56:00Z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